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031" w:rsidP="00DE00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PSPFRU002 Conduct fraud control awareness sessions</w:t>
      </w:r>
      <w:r>
        <w:fldChar w:fldCharType="end"/>
      </w:r>
    </w:p>
    <w:p w:rsidR="00DE0031" w:rsidP="00DE0031">
      <w:pPr>
        <w:pStyle w:val="Version"/>
        <w:sectPr w:rsidSect="00DD1D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1D67" w:rsidP="00DD1D67">
      <w:pPr>
        <w:pStyle w:val="SuperHeading"/>
      </w:pPr>
      <w:r w:rsidRPr="00DD1D67">
        <w:t>PSPFRU002 Conduct fraud control awareness sessions</w:t>
      </w:r>
    </w:p>
    <w:p w:rsidR="00000000" w:rsidRPr="00DD1D67" w:rsidP="00DD1D67">
      <w:pPr>
        <w:pStyle w:val="Heading1"/>
      </w:pPr>
      <w:bookmarkStart w:id="1" w:name="O_815098"/>
      <w:bookmarkEnd w:id="1"/>
      <w:r w:rsidRPr="00DD1D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D67">
            <w:pPr>
              <w:pStyle w:val="TableHeading"/>
              <w:rPr>
                <w:lang w:val="en-NZ"/>
              </w:rPr>
            </w:pPr>
            <w:r w:rsidRPr="00DD1D6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D67">
            <w:pPr>
              <w:pStyle w:val="TableHeading"/>
              <w:rPr>
                <w:lang w:val="en-NZ"/>
              </w:rPr>
            </w:pPr>
            <w:r w:rsidRPr="00DD1D67">
              <w:t>Comments</w:t>
            </w:r>
          </w:p>
        </w:tc>
      </w:tr>
      <w:tr w:rsidTr="00D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D67">
            <w:pPr>
              <w:pStyle w:val="BodyText"/>
              <w:rPr>
                <w:lang w:val="en-NZ"/>
              </w:rPr>
            </w:pPr>
            <w:r w:rsidRPr="00DD1D6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D67" w:rsidP="00DD1D67">
            <w:pPr>
              <w:pStyle w:val="BodyText"/>
            </w:pPr>
            <w:r w:rsidRPr="00DD1D67">
              <w:t xml:space="preserve">This unit was released in PSP Public Sector Training Package release 1.0 and meets the Standards for Training Packages. </w:t>
            </w:r>
          </w:p>
          <w:p w:rsidR="00000000" w:rsidRPr="00DD1D67" w:rsidP="00DD1D67">
            <w:pPr>
              <w:pStyle w:val="BodyText"/>
            </w:pPr>
          </w:p>
          <w:p w:rsidR="00000000" w:rsidRPr="00DD1D67" w:rsidP="00DD1D67">
            <w:pPr>
              <w:pStyle w:val="BodyText"/>
            </w:pPr>
            <w:r w:rsidRPr="00DD1D67">
              <w:t>This unit supersedes and is equivalent to PSPFRAU407B Conduct fraud control awareness</w:t>
            </w:r>
            <w:r w:rsidRPr="00DD1D67">
              <w:t xml:space="preserve"> sessions.</w:t>
            </w:r>
          </w:p>
          <w:p w:rsidR="00000000" w:rsidRPr="00DD1D67" w:rsidP="00DD1D67">
            <w:pPr>
              <w:pStyle w:val="BodyText"/>
            </w:pPr>
          </w:p>
          <w:p w:rsidR="00000000" w:rsidRPr="00DD1D67" w:rsidP="00DD1D67">
            <w:pPr>
              <w:pStyle w:val="ListBullet"/>
            </w:pPr>
            <w:r w:rsidRPr="00DD1D67">
              <w:t>Unit code updated</w:t>
            </w:r>
          </w:p>
          <w:p w:rsidR="00000000" w:rsidRPr="00DD1D67" w:rsidP="00DD1D67">
            <w:pPr>
              <w:pStyle w:val="ListBullet"/>
            </w:pPr>
            <w:r w:rsidRPr="00DD1D67">
              <w:t>Content and formatting updated to comply with new standards</w:t>
            </w:r>
          </w:p>
          <w:p w:rsidR="00000000" w:rsidRPr="00DD1D67" w:rsidP="00DD1D67">
            <w:pPr>
              <w:pStyle w:val="ListBullet"/>
            </w:pPr>
            <w:r w:rsidRPr="00DD1D67">
              <w:t>All PC transitioned from passive to active voice</w:t>
            </w:r>
          </w:p>
        </w:tc>
      </w:tr>
    </w:tbl>
    <w:p w:rsidR="00000000" w:rsidRPr="00DD1D67" w:rsidP="00DD1D67">
      <w:pPr>
        <w:pStyle w:val="BodyText"/>
      </w:pPr>
    </w:p>
    <w:p w:rsidR="00000000" w:rsidRPr="00DD1D67" w:rsidP="00DD1D67">
      <w:pPr>
        <w:pStyle w:val="AllowPageBreak"/>
      </w:pPr>
    </w:p>
    <w:p w:rsidR="00000000" w:rsidRPr="00DD1D67" w:rsidP="00DD1D67">
      <w:pPr>
        <w:pStyle w:val="Heading1"/>
      </w:pPr>
      <w:bookmarkStart w:id="2" w:name="O_815099"/>
      <w:bookmarkEnd w:id="2"/>
      <w:r w:rsidRPr="00DD1D67">
        <w:t>Application</w:t>
      </w:r>
    </w:p>
    <w:p w:rsidR="00000000" w:rsidRPr="00DD1D67" w:rsidP="00DE0031">
      <w:pPr>
        <w:pStyle w:val="BodyText"/>
      </w:pPr>
      <w:r w:rsidRPr="00DD1D67">
        <w:t>This unit describes the skills required to present information and/or awareness sessions focused on fraud and corruption control activities. It includes preparing for and delivering fraud and corruption control awareness presentations and reviewing the out</w:t>
      </w:r>
      <w:r w:rsidRPr="00DD1D67">
        <w:t>comes.</w:t>
      </w:r>
    </w:p>
    <w:p w:rsidR="00000000" w:rsidRPr="00DD1D67" w:rsidP="00DE0031">
      <w:pPr>
        <w:pStyle w:val="BodyText"/>
      </w:pPr>
      <w:r w:rsidRPr="00DD1D67">
        <w:t>This unit applies to those whose responsibilities include raising workplace awareness of actual and potential fraud, corruption, deliberate non-compliance and unethical actions.</w:t>
      </w:r>
    </w:p>
    <w:p w:rsidR="00000000" w:rsidRPr="00DD1D67" w:rsidP="00DE0031">
      <w:pPr>
        <w:pStyle w:val="BodyText"/>
      </w:pPr>
      <w:r w:rsidRPr="00DD1D67">
        <w:t>The skills and knowledge described in this unit must be applied withi</w:t>
      </w:r>
      <w:r w:rsidRPr="00DD1D67">
        <w:t>n the legislative, regulatory and policy environment in which they are carried out. Organisational policies and procedures must be consulted and adhered to.</w:t>
      </w:r>
    </w:p>
    <w:p w:rsidR="00000000" w:rsidRPr="00DD1D67" w:rsidP="00DE0031">
      <w:pPr>
        <w:pStyle w:val="BodyText"/>
      </w:pPr>
      <w:r w:rsidRPr="00DD1D67">
        <w:t>Those undertaking this unit would work independently, performing complex tasks in familiar context</w:t>
      </w:r>
      <w:r w:rsidRPr="00DD1D67">
        <w:t>s.</w:t>
      </w:r>
    </w:p>
    <w:p w:rsidR="00DE0031" w:rsidP="00DE0031">
      <w:pPr>
        <w:pStyle w:val="BodyText"/>
      </w:pPr>
      <w:r w:rsidRPr="00DD1D67">
        <w:t>No licensing, legislative or certification requirements apply to unit at the time of publication.</w:t>
      </w:r>
    </w:p>
    <w:p w:rsidR="00000000" w:rsidRPr="00DD1D67" w:rsidP="00DD1D67">
      <w:pPr>
        <w:pStyle w:val="Heading1"/>
      </w:pPr>
      <w:bookmarkStart w:id="3" w:name="O_815101"/>
      <w:bookmarkEnd w:id="3"/>
      <w:r w:rsidRPr="00DD1D67">
        <w:t>Competency Field</w:t>
      </w:r>
    </w:p>
    <w:p w:rsidR="00000000" w:rsidRPr="00DD1D67" w:rsidP="00DE0031">
      <w:pPr>
        <w:pStyle w:val="BodyText"/>
      </w:pPr>
      <w:r w:rsidRPr="00DD1D67">
        <w:t>Fraud control</w:t>
      </w:r>
    </w:p>
    <w:p w:rsidR="00000000" w:rsidRPr="00DD1D67" w:rsidP="00DD1D67">
      <w:pPr>
        <w:pStyle w:val="Heading1"/>
      </w:pPr>
      <w:bookmarkStart w:id="4" w:name="O_815103"/>
      <w:bookmarkEnd w:id="4"/>
      <w:r w:rsidRPr="00DD1D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DD1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D67">
            <w:pPr>
              <w:pStyle w:val="TableHeading"/>
              <w:rPr>
                <w:lang w:val="en-NZ"/>
              </w:rPr>
            </w:pPr>
            <w:r w:rsidRPr="00DD1D67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D67">
            <w:pPr>
              <w:pStyle w:val="TableHeading"/>
              <w:rPr>
                <w:lang w:val="en-NZ"/>
              </w:rPr>
            </w:pPr>
            <w:r w:rsidRPr="00DD1D67">
              <w:t>PERFORMANCE CRITERIA</w:t>
            </w:r>
          </w:p>
        </w:tc>
      </w:tr>
      <w:tr w:rsidTr="00DD1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D67">
            <w:pPr>
              <w:pStyle w:val="BodyText"/>
              <w:rPr>
                <w:lang w:val="en-NZ"/>
              </w:rPr>
            </w:pPr>
            <w:r w:rsidRPr="00DD1D67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D67">
            <w:pPr>
              <w:pStyle w:val="BodyText"/>
              <w:rPr>
                <w:lang w:val="en-NZ"/>
              </w:rPr>
            </w:pPr>
            <w:r w:rsidRPr="00DD1D67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DD1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D67">
            <w:pPr>
              <w:pStyle w:val="List"/>
              <w:rPr>
                <w:lang w:val="en-NZ"/>
              </w:rPr>
            </w:pPr>
            <w:r w:rsidRPr="00DD1D67">
              <w:rPr>
                <w:rStyle w:val="SpecialBold"/>
              </w:rPr>
              <w:t>1.</w:t>
            </w:r>
            <w:r w:rsidRPr="00DD1D67">
              <w:rPr>
                <w:rStyle w:val="SpecialBold"/>
              </w:rPr>
              <w:tab/>
              <w:t>Prepare for</w:t>
            </w:r>
            <w:r w:rsidRPr="00DD1D67">
              <w:rPr>
                <w:rStyle w:val="SpecialBold"/>
              </w:rPr>
              <w:t xml:space="preserve"> fraud and corruption control awareness presentation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D67" w:rsidP="00DD1D67">
            <w:pPr>
              <w:pStyle w:val="List"/>
            </w:pPr>
            <w:r w:rsidRPr="00DD1D67">
              <w:t>1.1</w:t>
            </w:r>
            <w:r w:rsidRPr="00DD1D67">
              <w:tab/>
              <w:t>Develop objectives for the presentation reflecting the identified needs of the participants and state these in terms of achievable outcomes.</w:t>
            </w:r>
          </w:p>
          <w:p w:rsidR="00000000" w:rsidRPr="00DD1D67" w:rsidP="00DD1D67">
            <w:pPr>
              <w:pStyle w:val="List"/>
            </w:pPr>
            <w:r w:rsidRPr="00DD1D67">
              <w:t>1.2</w:t>
            </w:r>
            <w:r w:rsidRPr="00DD1D67">
              <w:tab/>
              <w:t>Select presentation methods to suit identified outcome</w:t>
            </w:r>
            <w:r w:rsidRPr="00DD1D67">
              <w:t>s, participants’ needs and availability of equipment and resources.</w:t>
            </w:r>
          </w:p>
          <w:p w:rsidR="00000000" w:rsidRPr="00DD1D67" w:rsidP="00DD1D67">
            <w:pPr>
              <w:pStyle w:val="List"/>
            </w:pPr>
            <w:r w:rsidRPr="00DD1D67">
              <w:t>1.3</w:t>
            </w:r>
            <w:r w:rsidRPr="00DD1D67">
              <w:tab/>
              <w:t>Allow participants to contribute to the session based on their experience.</w:t>
            </w:r>
          </w:p>
          <w:p w:rsidR="00000000" w:rsidRPr="00DD1D67" w:rsidP="00DD1D67">
            <w:pPr>
              <w:pStyle w:val="List"/>
            </w:pPr>
            <w:r w:rsidRPr="00DD1D67">
              <w:t>1.4</w:t>
            </w:r>
            <w:r w:rsidRPr="00DD1D67">
              <w:tab/>
              <w:t>Validate content of materials to be used, by experience where possible.</w:t>
            </w:r>
          </w:p>
          <w:p w:rsidR="00000000" w:rsidRPr="00DD1D67" w:rsidP="00DD1D67">
            <w:pPr>
              <w:pStyle w:val="List"/>
            </w:pPr>
            <w:r w:rsidRPr="00DD1D67">
              <w:t>1.5</w:t>
            </w:r>
            <w:r w:rsidRPr="00DD1D67">
              <w:tab/>
              <w:t>Include examples of incidents</w:t>
            </w:r>
            <w:r w:rsidRPr="00DD1D67">
              <w:t xml:space="preserve"> and results of non-compliance in presentation materials.</w:t>
            </w:r>
          </w:p>
          <w:p w:rsidR="00000000" w:rsidRPr="00DD1D67" w:rsidP="00DD1D67">
            <w:pPr>
              <w:pStyle w:val="List"/>
            </w:pPr>
            <w:r w:rsidRPr="00DD1D67">
              <w:t>1.6</w:t>
            </w:r>
            <w:r w:rsidRPr="00DD1D67">
              <w:tab/>
              <w:t>Include examples of successful cooperative arrangements in presentation materials.</w:t>
            </w:r>
          </w:p>
          <w:p w:rsidR="00000000" w:rsidP="00DD1D67">
            <w:pPr>
              <w:pStyle w:val="List"/>
              <w:rPr>
                <w:lang w:val="en-NZ"/>
              </w:rPr>
            </w:pPr>
            <w:r w:rsidRPr="00DD1D67">
              <w:t>1.7</w:t>
            </w:r>
            <w:r w:rsidRPr="00DD1D67">
              <w:tab/>
              <w:t>Structure presentation methods and information to suit the specified objectives of the session, needs of th</w:t>
            </w:r>
            <w:r w:rsidRPr="00DD1D67">
              <w:t>e participants and the size and location of the group.</w:t>
            </w:r>
          </w:p>
        </w:tc>
      </w:tr>
      <w:tr w:rsidTr="00DD1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D67">
            <w:pPr>
              <w:pStyle w:val="List"/>
              <w:rPr>
                <w:lang w:val="en-NZ"/>
              </w:rPr>
            </w:pPr>
            <w:r w:rsidRPr="00DD1D67">
              <w:rPr>
                <w:rStyle w:val="SpecialBold"/>
              </w:rPr>
              <w:t>2.</w:t>
            </w:r>
            <w:r w:rsidRPr="00DD1D67">
              <w:rPr>
                <w:rStyle w:val="SpecialBold"/>
              </w:rPr>
              <w:tab/>
              <w:t>Deliver session on fraud and corruption awareness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D67" w:rsidP="00DD1D67">
            <w:pPr>
              <w:pStyle w:val="List"/>
            </w:pPr>
            <w:r w:rsidRPr="00DD1D67">
              <w:t>2.1</w:t>
            </w:r>
            <w:r w:rsidRPr="00DD1D67">
              <w:tab/>
              <w:t>Structure session to facilitate opportunities for discussion of broad conceptual, ethical and legal issues.</w:t>
            </w:r>
          </w:p>
          <w:p w:rsidR="00000000" w:rsidRPr="00DD1D67" w:rsidP="00DD1D67">
            <w:pPr>
              <w:pStyle w:val="List"/>
            </w:pPr>
            <w:r w:rsidRPr="00DD1D67">
              <w:t>2.2</w:t>
            </w:r>
            <w:r w:rsidRPr="00DD1D67">
              <w:tab/>
              <w:t>Explain objectives of the sessi</w:t>
            </w:r>
            <w:r w:rsidRPr="00DD1D67">
              <w:t>on, structure of the activities and other details to suit participants</w:t>
            </w:r>
            <w:r>
              <w:t>’</w:t>
            </w:r>
            <w:r w:rsidRPr="00DD1D67">
              <w:t xml:space="preserve"> level of understanding and experience, and seek feedback.</w:t>
            </w:r>
          </w:p>
          <w:p w:rsidR="00000000" w:rsidRPr="00DD1D67" w:rsidP="00DD1D67">
            <w:pPr>
              <w:pStyle w:val="List"/>
            </w:pPr>
            <w:r w:rsidRPr="00DD1D67">
              <w:t>2.3</w:t>
            </w:r>
            <w:r w:rsidRPr="00DD1D67">
              <w:tab/>
              <w:t>Adapt materials and presentation techniques to the particular audience.</w:t>
            </w:r>
          </w:p>
          <w:p w:rsidR="00000000" w:rsidRPr="00DD1D67" w:rsidP="00DD1D67">
            <w:pPr>
              <w:pStyle w:val="List"/>
            </w:pPr>
            <w:r w:rsidRPr="00DD1D67">
              <w:t>2.4</w:t>
            </w:r>
            <w:r w:rsidRPr="00DD1D67">
              <w:tab/>
              <w:t>Establish a positive response in the organisat</w:t>
            </w:r>
            <w:r w:rsidRPr="00DD1D67">
              <w:t>ion and its clients regarding fraud and corruption control through presentation.</w:t>
            </w:r>
          </w:p>
          <w:p w:rsidR="00000000" w:rsidRPr="00DD1D67" w:rsidP="00DD1D67">
            <w:pPr>
              <w:pStyle w:val="List"/>
            </w:pPr>
            <w:r w:rsidRPr="00DD1D67">
              <w:t>2.5</w:t>
            </w:r>
            <w:r w:rsidRPr="00DD1D67">
              <w:tab/>
              <w:t>Use case studies for illustrative purposes.</w:t>
            </w:r>
          </w:p>
          <w:p w:rsidR="00000000" w:rsidP="00DD1D67">
            <w:pPr>
              <w:pStyle w:val="List"/>
              <w:rPr>
                <w:lang w:val="en-NZ"/>
              </w:rPr>
            </w:pPr>
            <w:r w:rsidRPr="00DD1D67">
              <w:t>2.6</w:t>
            </w:r>
            <w:r w:rsidRPr="00DD1D67">
              <w:tab/>
              <w:t>Highlight models of excellence of fraud and corruption control in the public and private sectors.</w:t>
            </w:r>
          </w:p>
        </w:tc>
      </w:tr>
      <w:tr w:rsidTr="00DD1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D67">
            <w:pPr>
              <w:pStyle w:val="List"/>
              <w:rPr>
                <w:lang w:val="en-NZ"/>
              </w:rPr>
            </w:pPr>
            <w:r w:rsidRPr="00DD1D67">
              <w:rPr>
                <w:rStyle w:val="SpecialBold"/>
              </w:rPr>
              <w:t>3.</w:t>
            </w:r>
            <w:r w:rsidRPr="00DD1D67">
              <w:rPr>
                <w:rStyle w:val="SpecialBold"/>
              </w:rPr>
              <w:tab/>
              <w:t>Review fraud and corr</w:t>
            </w:r>
            <w:r w:rsidRPr="00DD1D67">
              <w:rPr>
                <w:rStyle w:val="SpecialBold"/>
              </w:rPr>
              <w:t>uption control awareness session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D67" w:rsidP="00DD1D67">
            <w:pPr>
              <w:pStyle w:val="List"/>
            </w:pPr>
            <w:r w:rsidRPr="00DD1D67">
              <w:t>3.1</w:t>
            </w:r>
            <w:r w:rsidRPr="00DD1D67">
              <w:tab/>
              <w:t>Encourage participants to provide feedback on all aspects of the awareness sessions.</w:t>
            </w:r>
          </w:p>
          <w:p w:rsidR="00000000" w:rsidRPr="00DD1D67" w:rsidP="00DD1D67">
            <w:pPr>
              <w:pStyle w:val="List"/>
            </w:pPr>
            <w:r w:rsidRPr="00DD1D67">
              <w:t>3.2</w:t>
            </w:r>
            <w:r w:rsidRPr="00DD1D67">
              <w:tab/>
              <w:t>Review suitability of approach, content and outcomes as a guide for further activities.</w:t>
            </w:r>
          </w:p>
          <w:p w:rsidR="00000000" w:rsidRPr="00DD1D67" w:rsidP="00DD1D67">
            <w:pPr>
              <w:pStyle w:val="List"/>
            </w:pPr>
            <w:r w:rsidRPr="00DD1D67">
              <w:t>3.3</w:t>
            </w:r>
            <w:r w:rsidRPr="00DD1D67">
              <w:tab/>
            </w:r>
            <w:r w:rsidRPr="00DD1D67">
              <w:t>Review own performance against objectives and in response to participants’ responses and comments.</w:t>
            </w:r>
          </w:p>
          <w:p w:rsidR="00000000" w:rsidRPr="00DD1D67" w:rsidP="00DD1D67">
            <w:pPr>
              <w:pStyle w:val="List"/>
            </w:pPr>
            <w:r w:rsidRPr="00DD1D67">
              <w:t>3.4</w:t>
            </w:r>
            <w:r w:rsidRPr="00DD1D67">
              <w:tab/>
              <w:t xml:space="preserve">Provide advice regarding possible future activities or amendments to organisational awareness strategy and programs, </w:t>
            </w:r>
            <w:r w:rsidRPr="00DD1D67">
              <w:t>including identification of high ris</w:t>
            </w:r>
            <w:r w:rsidRPr="00DD1D67">
              <w:t>k areas for fraud and corruption activities.</w:t>
            </w:r>
          </w:p>
        </w:tc>
      </w:tr>
    </w:tbl>
    <w:p w:rsidR="00000000" w:rsidRPr="00DD1D67" w:rsidP="00DD1D67">
      <w:pPr>
        <w:pStyle w:val="BodyText"/>
      </w:pPr>
    </w:p>
    <w:p w:rsidR="00000000" w:rsidRPr="00DD1D67" w:rsidP="00DD1D67">
      <w:pPr>
        <w:pStyle w:val="AllowPageBreak"/>
      </w:pPr>
    </w:p>
    <w:p w:rsidR="00000000" w:rsidRPr="00DD1D67" w:rsidP="00DD1D67">
      <w:pPr>
        <w:pStyle w:val="Heading1"/>
      </w:pPr>
      <w:bookmarkStart w:id="5" w:name="O_815104"/>
      <w:bookmarkEnd w:id="5"/>
      <w:r w:rsidRPr="00DD1D67">
        <w:t>Foundation Skills</w:t>
      </w:r>
    </w:p>
    <w:p w:rsidR="00000000" w:rsidRPr="00DD1D67" w:rsidP="00DE0031">
      <w:pPr>
        <w:pStyle w:val="BodyText"/>
      </w:pPr>
      <w:r w:rsidRPr="00DD1D67">
        <w:t>Foundation skills are embedded within the elements and performance criteria of this unit.</w:t>
      </w:r>
    </w:p>
    <w:p w:rsidR="00000000" w:rsidRPr="00DD1D67" w:rsidP="00DD1D67">
      <w:pPr>
        <w:pStyle w:val="Heading1"/>
      </w:pPr>
      <w:bookmarkStart w:id="6" w:name="O_815106"/>
      <w:bookmarkEnd w:id="6"/>
      <w:r w:rsidRPr="00DD1D67">
        <w:t>Unit Mapping Information</w:t>
      </w:r>
    </w:p>
    <w:p w:rsidR="00000000" w:rsidRPr="00DD1D67" w:rsidP="00DE0031">
      <w:pPr>
        <w:pStyle w:val="BodyText"/>
      </w:pPr>
      <w:r w:rsidRPr="00DD1D67">
        <w:t xml:space="preserve">This unit supersedes and is equivalent to </w:t>
      </w:r>
      <w:r w:rsidRPr="00DD1D67">
        <w:t>PSPFRAU407B Conduct fraud control awareness sessions.</w:t>
      </w:r>
    </w:p>
    <w:p w:rsidR="00000000" w:rsidRPr="00DD1D67" w:rsidP="00DD1D67">
      <w:pPr>
        <w:pStyle w:val="Heading1"/>
      </w:pPr>
      <w:bookmarkStart w:id="7" w:name="O_815113"/>
      <w:bookmarkEnd w:id="7"/>
      <w:r w:rsidRPr="00DD1D67">
        <w:t>Links</w:t>
      </w:r>
    </w:p>
    <w:p w:rsidR="00000000" w:rsidRPr="00DD1D67" w:rsidP="00DE0031">
      <w:pPr>
        <w:pStyle w:val="BodyText"/>
      </w:pPr>
      <w:r w:rsidRPr="00DD1D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715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1D67" w:rsidP="00DE0031">
      <w:pPr>
        <w:pStyle w:val="BodyText"/>
      </w:pPr>
      <w:r w:rsidRPr="00DD1D67">
        <w:t>Companion Volume implementation g</w:t>
      </w:r>
      <w:r w:rsidRPr="00DD1D67">
        <w:t xml:space="preserve">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715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1D67" w:rsidP="00DE0031">
      <w:pPr>
        <w:pStyle w:val="BodyText"/>
      </w:pPr>
      <w:r w:rsidRPr="00DD1D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715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1D67" w:rsidP="00DE0031">
      <w:pPr>
        <w:pStyle w:val="BodyText"/>
      </w:pPr>
      <w:r w:rsidRPr="00DD1D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715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1D67" w:rsidP="00DD1D67"/>
    <w:sectPr w:rsidSect="00DD1D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7" w:rsidRPr="00DE0031" w:rsidP="00DE00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031" w:rsidP="00DD1D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0031" w:rsidP="00DD1D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0031" w:rsidP="00DD1D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0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1D67" w:rsidRPr="00DE0031" w:rsidP="00DE00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031" w:rsidRPr="002D2AF8" w:rsidP="00DD1D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PSPFRU002 Conduct fraud control awareness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E0031" w:rsidP="00DD1D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688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D655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D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1D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1D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1D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1D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1D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1D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1D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1D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1D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1D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1D67"/>
  </w:style>
  <w:style w:type="character" w:customStyle="1" w:styleId="Heading1Char">
    <w:name w:val="Heading 1 Char"/>
    <w:basedOn w:val="DefaultParagraphFont"/>
    <w:link w:val="Heading1"/>
    <w:rsid w:val="00DD1D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1D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1D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1D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1D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1D67"/>
    <w:rPr>
      <w:b/>
      <w:spacing w:val="0"/>
    </w:rPr>
  </w:style>
  <w:style w:type="paragraph" w:customStyle="1" w:styleId="SuperHeading">
    <w:name w:val="SuperHeading"/>
    <w:basedOn w:val="Normal"/>
    <w:rsid w:val="00DD1D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1D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1D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1D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1D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1D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1D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1D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1D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1D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1D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1D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1D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1D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1D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1D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1D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1D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1D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1D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1D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1D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1D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1D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1D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1D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1D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1D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1D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1D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1D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1D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1D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1D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1D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1D67"/>
    <w:rPr>
      <w:i/>
    </w:rPr>
  </w:style>
  <w:style w:type="paragraph" w:styleId="Caption">
    <w:name w:val="caption"/>
    <w:basedOn w:val="BodyText"/>
    <w:next w:val="Normal"/>
    <w:qFormat/>
    <w:rsid w:val="00DD1D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1D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1D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1D67"/>
  </w:style>
  <w:style w:type="paragraph" w:styleId="TableofFigures">
    <w:name w:val="table of figures"/>
    <w:basedOn w:val="Normal"/>
    <w:next w:val="Normal"/>
    <w:semiHidden/>
    <w:rsid w:val="00DD1D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1D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1D67"/>
    <w:rPr>
      <w:rFonts w:ascii="Wingdings" w:hAnsi="Wingdings"/>
    </w:rPr>
  </w:style>
  <w:style w:type="character" w:customStyle="1" w:styleId="HotSpot">
    <w:name w:val="HotSpot"/>
    <w:rsid w:val="00DD1D67"/>
    <w:rPr>
      <w:color w:val="0033CC"/>
      <w:u w:val="none"/>
    </w:rPr>
  </w:style>
  <w:style w:type="paragraph" w:customStyle="1" w:styleId="BodyTextRight">
    <w:name w:val="Body Text Right"/>
    <w:basedOn w:val="BodyText"/>
    <w:rsid w:val="00DD1D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1D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1D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1D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1D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1D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1D67"/>
    <w:rPr>
      <w:sz w:val="32"/>
    </w:rPr>
  </w:style>
  <w:style w:type="paragraph" w:customStyle="1" w:styleId="HeadingProcedure">
    <w:name w:val="Heading Procedure"/>
    <w:basedOn w:val="HeadingBase"/>
    <w:next w:val="Normal"/>
    <w:rsid w:val="00DD1D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1D67"/>
    <w:pPr>
      <w:spacing w:before="60" w:after="60"/>
    </w:pPr>
  </w:style>
  <w:style w:type="paragraph" w:styleId="ListContinue">
    <w:name w:val="List Continue"/>
    <w:basedOn w:val="List"/>
    <w:rsid w:val="00DD1D67"/>
    <w:pPr>
      <w:ind w:firstLine="0"/>
    </w:pPr>
  </w:style>
  <w:style w:type="paragraph" w:customStyle="1" w:styleId="ListNote">
    <w:name w:val="List Note"/>
    <w:basedOn w:val="List"/>
    <w:rsid w:val="00DD1D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1D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1D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1D67"/>
    <w:rPr>
      <w:rFonts w:ascii="Courier New" w:hAnsi="Courier New"/>
    </w:rPr>
  </w:style>
  <w:style w:type="paragraph" w:customStyle="1" w:styleId="NoteBullet">
    <w:name w:val="Note Bullet"/>
    <w:basedOn w:val="Note"/>
    <w:rsid w:val="00DD1D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1D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1D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1D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1D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1D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1D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1D67"/>
    <w:rPr>
      <w:b/>
      <w:smallCaps/>
    </w:rPr>
  </w:style>
  <w:style w:type="paragraph" w:customStyle="1" w:styleId="TableListNumber">
    <w:name w:val="Table List Number"/>
    <w:basedOn w:val="ListNumber"/>
    <w:rsid w:val="00DD1D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1D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1D67"/>
    <w:pPr>
      <w:numPr>
        <w:numId w:val="8"/>
      </w:numPr>
    </w:pPr>
  </w:style>
  <w:style w:type="paragraph" w:customStyle="1" w:styleId="ListAlpha2">
    <w:name w:val="List Alpha 2"/>
    <w:basedOn w:val="List2"/>
    <w:rsid w:val="00DD1D67"/>
    <w:pPr>
      <w:numPr>
        <w:numId w:val="7"/>
      </w:numPr>
    </w:pPr>
  </w:style>
  <w:style w:type="paragraph" w:styleId="List2">
    <w:name w:val="List 2"/>
    <w:basedOn w:val="BodyText"/>
    <w:rsid w:val="00DD1D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1D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1D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1D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1D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1D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1D67"/>
    <w:pPr>
      <w:numPr>
        <w:numId w:val="3"/>
      </w:numPr>
    </w:pPr>
  </w:style>
  <w:style w:type="paragraph" w:styleId="ListContinue2">
    <w:name w:val="List Continue 2"/>
    <w:basedOn w:val="List2"/>
    <w:rsid w:val="00DD1D67"/>
    <w:pPr>
      <w:ind w:firstLine="0"/>
    </w:pPr>
  </w:style>
  <w:style w:type="paragraph" w:styleId="ListContinue3">
    <w:name w:val="List Continue 3"/>
    <w:basedOn w:val="List3"/>
    <w:rsid w:val="00DD1D67"/>
    <w:pPr>
      <w:ind w:left="1021" w:firstLine="0"/>
    </w:pPr>
  </w:style>
  <w:style w:type="paragraph" w:styleId="ListContinue4">
    <w:name w:val="List Continue 4"/>
    <w:basedOn w:val="List4"/>
    <w:rsid w:val="00DD1D67"/>
    <w:pPr>
      <w:ind w:firstLine="0"/>
    </w:pPr>
  </w:style>
  <w:style w:type="paragraph" w:styleId="ListContinue5">
    <w:name w:val="List Continue 5"/>
    <w:basedOn w:val="List5"/>
    <w:rsid w:val="00DD1D67"/>
    <w:pPr>
      <w:ind w:firstLine="0"/>
    </w:pPr>
  </w:style>
  <w:style w:type="paragraph" w:styleId="ListNumber3">
    <w:name w:val="List Number 3"/>
    <w:basedOn w:val="List3"/>
    <w:rsid w:val="00DD1D67"/>
    <w:pPr>
      <w:numPr>
        <w:numId w:val="4"/>
      </w:numPr>
    </w:pPr>
  </w:style>
  <w:style w:type="paragraph" w:styleId="ListNumber4">
    <w:name w:val="List Number 4"/>
    <w:basedOn w:val="List4"/>
    <w:rsid w:val="00DD1D67"/>
    <w:pPr>
      <w:numPr>
        <w:numId w:val="5"/>
      </w:numPr>
    </w:pPr>
  </w:style>
  <w:style w:type="paragraph" w:styleId="ListNumber5">
    <w:name w:val="List Number 5"/>
    <w:basedOn w:val="List5"/>
    <w:rsid w:val="00DD1D67"/>
    <w:pPr>
      <w:numPr>
        <w:numId w:val="6"/>
      </w:numPr>
    </w:pPr>
  </w:style>
  <w:style w:type="paragraph" w:styleId="BlockText">
    <w:name w:val="Block Text"/>
    <w:basedOn w:val="Normal"/>
    <w:rsid w:val="00DD1D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1D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1D67"/>
    <w:rPr>
      <w:sz w:val="16"/>
      <w:vertAlign w:val="superscript"/>
    </w:rPr>
  </w:style>
  <w:style w:type="character" w:customStyle="1" w:styleId="Symbols">
    <w:name w:val="Symbols"/>
    <w:basedOn w:val="DefaultParagraphFont"/>
    <w:rsid w:val="00DD1D67"/>
    <w:rPr>
      <w:rFonts w:ascii="Symbol" w:hAnsi="Symbol"/>
    </w:rPr>
  </w:style>
  <w:style w:type="character" w:customStyle="1" w:styleId="MenuOptions">
    <w:name w:val="Menu Options"/>
    <w:basedOn w:val="DefaultParagraphFont"/>
    <w:rsid w:val="00DD1D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1D67"/>
    <w:rPr>
      <w:b/>
    </w:rPr>
  </w:style>
  <w:style w:type="character" w:customStyle="1" w:styleId="Underlined">
    <w:name w:val="Underlined"/>
    <w:basedOn w:val="DefaultParagraphFont"/>
    <w:rsid w:val="00DD1D67"/>
    <w:rPr>
      <w:u w:val="single"/>
    </w:rPr>
  </w:style>
  <w:style w:type="paragraph" w:customStyle="1" w:styleId="TableBodyTextRight">
    <w:name w:val="Table Body Text Right"/>
    <w:basedOn w:val="TableBodyText"/>
    <w:rsid w:val="00DD1D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1D67"/>
    <w:rPr>
      <w:sz w:val="18"/>
    </w:rPr>
  </w:style>
  <w:style w:type="paragraph" w:customStyle="1" w:styleId="BodySmallRight">
    <w:name w:val="Body Small Right"/>
    <w:basedOn w:val="BodyTextRight"/>
    <w:rsid w:val="00DD1D67"/>
    <w:rPr>
      <w:sz w:val="18"/>
      <w:szCs w:val="18"/>
    </w:rPr>
  </w:style>
  <w:style w:type="paragraph" w:customStyle="1" w:styleId="MarginEdition">
    <w:name w:val="Margin Edition"/>
    <w:basedOn w:val="MarginNote"/>
    <w:rsid w:val="00DD1D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1D67"/>
    <w:rPr>
      <w:sz w:val="2"/>
      <w:szCs w:val="2"/>
    </w:rPr>
  </w:style>
  <w:style w:type="character" w:customStyle="1" w:styleId="Small">
    <w:name w:val="Small"/>
    <w:basedOn w:val="DefaultParagraphFont"/>
    <w:rsid w:val="00DD1D67"/>
    <w:rPr>
      <w:sz w:val="16"/>
    </w:rPr>
  </w:style>
  <w:style w:type="paragraph" w:customStyle="1" w:styleId="WideTable">
    <w:name w:val="Wide Table"/>
    <w:basedOn w:val="Normal"/>
    <w:rsid w:val="00DD1D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1D67"/>
  </w:style>
  <w:style w:type="paragraph" w:styleId="Quote">
    <w:name w:val="Quote"/>
    <w:basedOn w:val="Heading1"/>
    <w:link w:val="QuoteChar"/>
    <w:qFormat/>
    <w:rsid w:val="00DD1D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1D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1D67"/>
    <w:pPr>
      <w:pageBreakBefore/>
    </w:pPr>
  </w:style>
  <w:style w:type="paragraph" w:customStyle="1" w:styleId="Border">
    <w:name w:val="Border"/>
    <w:basedOn w:val="Normal"/>
    <w:qFormat/>
    <w:rsid w:val="00DD1D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1D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D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D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1D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1D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1D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1D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1D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1D67"/>
    <w:rPr>
      <w:u w:val="single"/>
    </w:rPr>
  </w:style>
  <w:style w:type="character" w:customStyle="1" w:styleId="BoldandItalics">
    <w:name w:val="Bold and Italics"/>
    <w:qFormat/>
    <w:rsid w:val="00DD1D67"/>
    <w:rPr>
      <w:b/>
      <w:i/>
      <w:u w:val="none"/>
    </w:rPr>
  </w:style>
  <w:style w:type="paragraph" w:styleId="BalloonText">
    <w:name w:val="Balloon Text"/>
    <w:basedOn w:val="Normal"/>
    <w:link w:val="BalloonTextChar"/>
    <w:rsid w:val="00DD1D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1D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1D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1D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1D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1D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1D67"/>
    <w:pPr>
      <w:spacing w:before="0" w:after="0"/>
    </w:pPr>
  </w:style>
  <w:style w:type="paragraph" w:customStyle="1" w:styleId="BodyTextBold">
    <w:name w:val="Body Text Bold"/>
    <w:basedOn w:val="BodyText"/>
    <w:qFormat/>
    <w:rsid w:val="00DD1D67"/>
    <w:rPr>
      <w:b/>
    </w:rPr>
  </w:style>
  <w:style w:type="character" w:styleId="Hyperlink">
    <w:name w:val="Hyperlink"/>
    <w:basedOn w:val="DefaultParagraphFont"/>
    <w:uiPriority w:val="99"/>
    <w:unhideWhenUsed/>
    <w:rsid w:val="00DE00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4432</Characters>
  <Application>Microsoft Office Word</Application>
  <DocSecurity>0</DocSecurity>
  <Lines>134</Lines>
  <Paragraphs>67</Paragraphs>
  <ScaleCrop>false</ScaleCrop>
  <Company>Author-it Software Corporation Ltd.</Company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PSPFRU002 Conduct fraud control awareness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2022-11-21T08:58:00Z</dcterms:created>
  <dcterms:modified xsi:type="dcterms:W3CDTF">2022-11-21T08:58:00Z</dcterms:modified>
</cp:coreProperties>
</file>