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0C2B" w:rsidP="004E0C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PSPCRT024 Record complex court proceedings</w:t>
      </w:r>
      <w:r>
        <w:fldChar w:fldCharType="end"/>
      </w:r>
    </w:p>
    <w:p w:rsidR="004E0C2B" w:rsidP="004E0C2B">
      <w:pPr>
        <w:pStyle w:val="Version"/>
        <w:sectPr w:rsidSect="00C11E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1E6B" w:rsidP="00C11E6B">
      <w:pPr>
        <w:pStyle w:val="SuperHeading"/>
      </w:pPr>
      <w:r w:rsidRPr="00C11E6B">
        <w:t>PSPCRT024 Record complex court proceedings</w:t>
      </w:r>
    </w:p>
    <w:p w:rsidR="00000000" w:rsidRPr="00C11E6B" w:rsidP="00C11E6B">
      <w:pPr>
        <w:pStyle w:val="Heading1"/>
      </w:pPr>
      <w:bookmarkStart w:id="1" w:name="O_814889"/>
      <w:bookmarkEnd w:id="1"/>
      <w:r w:rsidRPr="00C11E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E0C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E6B">
            <w:pPr>
              <w:pStyle w:val="TableHeading"/>
              <w:rPr>
                <w:lang w:val="en-NZ"/>
              </w:rPr>
            </w:pPr>
            <w:r w:rsidRPr="00C11E6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E6B">
            <w:pPr>
              <w:pStyle w:val="TableHeading"/>
              <w:rPr>
                <w:lang w:val="en-NZ"/>
              </w:rPr>
            </w:pPr>
            <w:r w:rsidRPr="00C11E6B">
              <w:t>Comments</w:t>
            </w:r>
          </w:p>
        </w:tc>
      </w:tr>
      <w:tr w:rsidTr="004E0C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31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E6B">
            <w:pPr>
              <w:pStyle w:val="BodyText"/>
              <w:rPr>
                <w:lang w:val="en-NZ"/>
              </w:rPr>
            </w:pPr>
            <w:r w:rsidRPr="00C11E6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E6B" w:rsidP="00C11E6B">
            <w:pPr>
              <w:pStyle w:val="BodyText"/>
            </w:pPr>
            <w:r w:rsidRPr="00C11E6B">
              <w:t xml:space="preserve">This unit was released in PSP Public Sector Training Package release 1.0 and meets the Standards for Training Packages. </w:t>
            </w:r>
          </w:p>
          <w:p w:rsidR="00000000" w:rsidRPr="00C11E6B" w:rsidP="00C11E6B">
            <w:pPr>
              <w:pStyle w:val="BodyText"/>
            </w:pPr>
          </w:p>
          <w:p w:rsidR="00000000" w:rsidRPr="00C11E6B" w:rsidP="00C11E6B">
            <w:pPr>
              <w:pStyle w:val="BodyText"/>
            </w:pPr>
            <w:r w:rsidRPr="00C11E6B">
              <w:t>This unit supersedes and is equivalent to PSPCRT507B Record complex court proceedings.</w:t>
            </w:r>
          </w:p>
          <w:p w:rsidR="00000000" w:rsidRPr="00C11E6B" w:rsidP="00C11E6B">
            <w:pPr>
              <w:pStyle w:val="BodyText"/>
            </w:pPr>
          </w:p>
          <w:p w:rsidR="00000000" w:rsidRPr="00C11E6B" w:rsidP="00C11E6B">
            <w:pPr>
              <w:pStyle w:val="ListBullet"/>
            </w:pPr>
            <w:r w:rsidRPr="00C11E6B">
              <w:t>Unit</w:t>
            </w:r>
            <w:r w:rsidRPr="00C11E6B">
              <w:t xml:space="preserve"> code updated</w:t>
            </w:r>
          </w:p>
          <w:p w:rsidR="00000000" w:rsidRPr="00C11E6B" w:rsidP="00C11E6B">
            <w:pPr>
              <w:pStyle w:val="ListBullet"/>
            </w:pPr>
            <w:r w:rsidRPr="00C11E6B">
              <w:t>Content and formatting updated to comply with new standards</w:t>
            </w:r>
          </w:p>
          <w:p w:rsidR="00000000" w:rsidRPr="00C11E6B" w:rsidP="00C11E6B">
            <w:pPr>
              <w:pStyle w:val="ListBullet"/>
            </w:pPr>
            <w:r w:rsidRPr="00C11E6B">
              <w:t>All PC transitioned from passive to active voice</w:t>
            </w:r>
          </w:p>
          <w:p w:rsidR="00000000" w:rsidRPr="00C11E6B" w:rsidP="00C11E6B">
            <w:pPr>
              <w:pStyle w:val="ListBullet"/>
            </w:pPr>
            <w:r w:rsidRPr="00C11E6B">
              <w:t>PC 1.2 and 1.3 merged</w:t>
            </w:r>
          </w:p>
          <w:p w:rsidR="00000000" w:rsidRPr="00C11E6B" w:rsidP="00C11E6B">
            <w:pPr>
              <w:pStyle w:val="ListBullet"/>
            </w:pPr>
            <w:r w:rsidRPr="00C11E6B">
              <w:t>PC 2.5 and 3.6 removed</w:t>
            </w:r>
          </w:p>
        </w:tc>
      </w:tr>
    </w:tbl>
    <w:p w:rsidR="00000000" w:rsidRPr="00C11E6B" w:rsidP="00C11E6B">
      <w:pPr>
        <w:pStyle w:val="BodyText"/>
      </w:pPr>
    </w:p>
    <w:p w:rsidR="00000000" w:rsidRPr="00C11E6B" w:rsidP="00C11E6B">
      <w:pPr>
        <w:pStyle w:val="AllowPageBreak"/>
      </w:pPr>
    </w:p>
    <w:p w:rsidR="00000000" w:rsidRPr="00C11E6B" w:rsidP="00C11E6B">
      <w:pPr>
        <w:pStyle w:val="Heading1"/>
      </w:pPr>
      <w:bookmarkStart w:id="2" w:name="O_814890"/>
      <w:bookmarkEnd w:id="2"/>
      <w:r w:rsidRPr="00C11E6B">
        <w:t>Application</w:t>
      </w:r>
    </w:p>
    <w:p w:rsidR="00000000" w:rsidRPr="00C11E6B" w:rsidP="004E0C2B">
      <w:pPr>
        <w:pStyle w:val="BodyText"/>
      </w:pPr>
      <w:r w:rsidRPr="00C11E6B">
        <w:t xml:space="preserve">This unit describes the skills required to produce verbatim reporting and transcription of complex court proceedings using high-speed shorthand or machine shorthand at speeds required by the jurisdiction. This unit includes preparing for complex hearings, </w:t>
      </w:r>
      <w:r w:rsidRPr="00C11E6B">
        <w:t>setting up court arrangements and capturing complex proceedings.</w:t>
      </w:r>
    </w:p>
    <w:p w:rsidR="00000000" w:rsidRPr="00C11E6B" w:rsidP="004E0C2B">
      <w:pPr>
        <w:pStyle w:val="BodyText"/>
      </w:pPr>
      <w:r w:rsidRPr="00C11E6B">
        <w:t>This unit applies to those working within the court system operating under procedures set by the court.</w:t>
      </w:r>
    </w:p>
    <w:p w:rsidR="00000000" w:rsidRPr="00C11E6B" w:rsidP="004E0C2B">
      <w:pPr>
        <w:pStyle w:val="BodyText"/>
      </w:pPr>
      <w:r w:rsidRPr="00C11E6B">
        <w:t>The skills and knowledge described in this unit must be applied within the legislativ</w:t>
      </w:r>
      <w:r w:rsidRPr="00C11E6B">
        <w:t>e, regulatory and policy environment in which they are carried out. Organisational policies and procedures must be consulted and adhered to, particularly those set by the court.</w:t>
      </w:r>
    </w:p>
    <w:p w:rsidR="00000000" w:rsidRPr="00C11E6B" w:rsidP="004E0C2B">
      <w:pPr>
        <w:pStyle w:val="BodyText"/>
      </w:pPr>
      <w:r w:rsidRPr="00C11E6B">
        <w:t>Those undertaking this unit would generally work independently with occasional supervisory responsibilities. They would perform complex tasks in a range of familiar and unfamiliar contexts.</w:t>
      </w:r>
    </w:p>
    <w:p w:rsidR="004E0C2B" w:rsidP="004E0C2B">
      <w:pPr>
        <w:pStyle w:val="BodyText"/>
      </w:pPr>
      <w:r w:rsidRPr="00C11E6B">
        <w:t xml:space="preserve">No licensing, legislative or certification requirements apply to </w:t>
      </w:r>
      <w:r w:rsidRPr="00C11E6B">
        <w:t>unit at the time of publication.</w:t>
      </w:r>
    </w:p>
    <w:p w:rsidR="00000000" w:rsidRPr="00C11E6B" w:rsidP="00C11E6B">
      <w:pPr>
        <w:pStyle w:val="Heading1"/>
      </w:pPr>
      <w:bookmarkStart w:id="3" w:name="O_814892"/>
      <w:bookmarkEnd w:id="3"/>
      <w:r w:rsidRPr="00C11E6B">
        <w:t>Competency Field</w:t>
      </w:r>
    </w:p>
    <w:p w:rsidR="00000000" w:rsidRPr="00C11E6B" w:rsidP="004E0C2B">
      <w:pPr>
        <w:pStyle w:val="BodyText"/>
      </w:pPr>
      <w:r w:rsidRPr="00C11E6B">
        <w:t>Courts</w:t>
      </w:r>
    </w:p>
    <w:p w:rsidR="00000000" w:rsidRPr="00C11E6B" w:rsidP="00C11E6B">
      <w:pPr>
        <w:pStyle w:val="Heading1"/>
      </w:pPr>
      <w:bookmarkStart w:id="4" w:name="O_814894"/>
      <w:bookmarkEnd w:id="4"/>
      <w:r w:rsidRPr="00C11E6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C11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E6B">
            <w:pPr>
              <w:pStyle w:val="TableHeading"/>
              <w:rPr>
                <w:lang w:val="en-NZ"/>
              </w:rPr>
            </w:pPr>
            <w:r w:rsidRPr="00C11E6B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E6B">
            <w:pPr>
              <w:pStyle w:val="TableHeading"/>
              <w:rPr>
                <w:lang w:val="en-NZ"/>
              </w:rPr>
            </w:pPr>
            <w:r w:rsidRPr="00C11E6B">
              <w:t>PERFORMANCE CRITERIA</w:t>
            </w:r>
          </w:p>
        </w:tc>
      </w:tr>
      <w:tr w:rsidTr="00C11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E6B">
            <w:pPr>
              <w:pStyle w:val="BodyText"/>
              <w:rPr>
                <w:lang w:val="en-NZ"/>
              </w:rPr>
            </w:pPr>
            <w:r w:rsidRPr="00C11E6B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E6B">
            <w:pPr>
              <w:pStyle w:val="BodyText"/>
              <w:rPr>
                <w:lang w:val="en-NZ"/>
              </w:rPr>
            </w:pPr>
            <w:r w:rsidRPr="00C11E6B">
              <w:t>Performance criteria describe the performance needed to de</w:t>
            </w:r>
            <w:r w:rsidRPr="00C11E6B">
              <w:t>monstrate achievement of the element. Where bold italicised text is used, further information is detailed in the range of conditions section.</w:t>
            </w:r>
          </w:p>
        </w:tc>
      </w:tr>
      <w:tr w:rsidTr="00C11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E6B">
            <w:pPr>
              <w:pStyle w:val="List"/>
              <w:rPr>
                <w:lang w:val="en-NZ"/>
              </w:rPr>
            </w:pPr>
            <w:r w:rsidRPr="00C11E6B">
              <w:rPr>
                <w:rStyle w:val="SpecialBold"/>
              </w:rPr>
              <w:t>1.</w:t>
            </w:r>
            <w:r w:rsidRPr="00C11E6B">
              <w:rPr>
                <w:rStyle w:val="SpecialBold"/>
              </w:rPr>
              <w:tab/>
              <w:t>Prepare for complex hearings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E6B" w:rsidP="00C11E6B">
            <w:pPr>
              <w:pStyle w:val="List"/>
            </w:pPr>
            <w:r w:rsidRPr="00C11E6B">
              <w:t>1.1</w:t>
            </w:r>
            <w:r w:rsidRPr="00C11E6B">
              <w:tab/>
              <w:t>Examine court roster and cause list to identify jurisdiction, number of judic</w:t>
            </w:r>
            <w:r w:rsidRPr="00C11E6B">
              <w:t>iary and status of case.</w:t>
            </w:r>
          </w:p>
          <w:p w:rsidR="00000000" w:rsidRPr="00C11E6B" w:rsidP="00C11E6B">
            <w:pPr>
              <w:pStyle w:val="List"/>
            </w:pPr>
            <w:r w:rsidRPr="00C11E6B">
              <w:t>1.2</w:t>
            </w:r>
            <w:r w:rsidRPr="00C11E6B">
              <w:tab/>
              <w:t>Locate existing glossaries, create dictionaries and glossaries of names and terms from court case file for new cases, load dictionaries.</w:t>
            </w:r>
          </w:p>
          <w:p w:rsidR="00000000" w:rsidP="00C11E6B">
            <w:pPr>
              <w:pStyle w:val="List"/>
              <w:rPr>
                <w:lang w:val="en-NZ"/>
              </w:rPr>
            </w:pPr>
            <w:r w:rsidRPr="00C11E6B">
              <w:t>1.3</w:t>
            </w:r>
            <w:r w:rsidRPr="00C11E6B">
              <w:tab/>
              <w:t>Check resources and allow sufficient time to set up before proceedings begin.</w:t>
            </w:r>
          </w:p>
        </w:tc>
      </w:tr>
      <w:tr w:rsidTr="00C11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E6B">
            <w:pPr>
              <w:pStyle w:val="List"/>
              <w:rPr>
                <w:lang w:val="en-NZ"/>
              </w:rPr>
            </w:pPr>
            <w:r w:rsidRPr="00C11E6B">
              <w:rPr>
                <w:rStyle w:val="SpecialBold"/>
              </w:rPr>
              <w:t>2.</w:t>
            </w:r>
            <w:r w:rsidRPr="00C11E6B">
              <w:rPr>
                <w:rStyle w:val="SpecialBold"/>
              </w:rPr>
              <w:tab/>
            </w:r>
            <w:r w:rsidRPr="00C11E6B">
              <w:rPr>
                <w:rStyle w:val="SpecialBold"/>
              </w:rPr>
              <w:t>Set up court arrangements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E6B" w:rsidP="00C11E6B">
            <w:pPr>
              <w:pStyle w:val="List"/>
            </w:pPr>
            <w:r w:rsidRPr="00C11E6B">
              <w:t>2.1</w:t>
            </w:r>
            <w:r w:rsidRPr="00C11E6B">
              <w:tab/>
              <w:t>Set up court arrangements by placing and testing equipment, securing cables, remedying or reporting any problems arising.</w:t>
            </w:r>
          </w:p>
          <w:p w:rsidR="00000000" w:rsidRPr="00C11E6B" w:rsidP="00C11E6B">
            <w:pPr>
              <w:pStyle w:val="List"/>
            </w:pPr>
            <w:r w:rsidRPr="00C11E6B">
              <w:t>2.2</w:t>
            </w:r>
            <w:r w:rsidRPr="00C11E6B">
              <w:tab/>
              <w:t>Liaise with court, judicial staff and legal profession on proceedings and references.</w:t>
            </w:r>
          </w:p>
          <w:p w:rsidR="00000000" w:rsidRPr="00C11E6B" w:rsidP="00C11E6B">
            <w:pPr>
              <w:pStyle w:val="List"/>
            </w:pPr>
            <w:r w:rsidRPr="00C11E6B">
              <w:t>2.3</w:t>
            </w:r>
            <w:r w:rsidRPr="00C11E6B">
              <w:tab/>
              <w:t>Collect an</w:t>
            </w:r>
            <w:r w:rsidRPr="00C11E6B">
              <w:t>d sort files, obtain and examine relevant case information.</w:t>
            </w:r>
          </w:p>
          <w:p w:rsidR="00000000" w:rsidP="00C11E6B">
            <w:pPr>
              <w:pStyle w:val="List"/>
              <w:rPr>
                <w:lang w:val="en-NZ"/>
              </w:rPr>
            </w:pPr>
            <w:r w:rsidRPr="00C11E6B">
              <w:t>2.4</w:t>
            </w:r>
            <w:r w:rsidRPr="00C11E6B">
              <w:tab/>
              <w:t>Include any special requirements for recording proceedings in a team, as opposed to individually.</w:t>
            </w:r>
          </w:p>
        </w:tc>
      </w:tr>
      <w:tr w:rsidTr="00C11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E6B">
            <w:pPr>
              <w:pStyle w:val="List"/>
              <w:rPr>
                <w:lang w:val="en-NZ"/>
              </w:rPr>
            </w:pPr>
            <w:r w:rsidRPr="00C11E6B">
              <w:rPr>
                <w:rStyle w:val="SpecialBold"/>
              </w:rPr>
              <w:t>3.</w:t>
            </w:r>
            <w:r w:rsidRPr="00C11E6B">
              <w:rPr>
                <w:rStyle w:val="SpecialBold"/>
              </w:rPr>
              <w:tab/>
              <w:t>Capture complex proceedings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E6B" w:rsidP="00C11E6B">
            <w:pPr>
              <w:pStyle w:val="List"/>
            </w:pPr>
            <w:r w:rsidRPr="00C11E6B">
              <w:t>3.1</w:t>
            </w:r>
            <w:r w:rsidRPr="00C11E6B">
              <w:tab/>
              <w:t>Undertake commencement procedures.</w:t>
            </w:r>
          </w:p>
          <w:p w:rsidR="00000000" w:rsidRPr="00C11E6B" w:rsidP="00C11E6B">
            <w:pPr>
              <w:pStyle w:val="List"/>
            </w:pPr>
            <w:r w:rsidRPr="00C11E6B">
              <w:t>3.2</w:t>
            </w:r>
            <w:r w:rsidRPr="00C11E6B">
              <w:tab/>
              <w:t>Take shorthand or n</w:t>
            </w:r>
            <w:r w:rsidRPr="00C11E6B">
              <w:t>otes of proceedings manually or by machine according to individual or team delegated responsibilities.</w:t>
            </w:r>
          </w:p>
          <w:p w:rsidR="00000000" w:rsidRPr="00C11E6B" w:rsidP="00C11E6B">
            <w:pPr>
              <w:pStyle w:val="List"/>
            </w:pPr>
            <w:r w:rsidRPr="00C11E6B">
              <w:t>3.3</w:t>
            </w:r>
            <w:r w:rsidRPr="00C11E6B">
              <w:tab/>
              <w:t>Create accurate transcripts obtaining clarification of proceedings from participants where necessary.</w:t>
            </w:r>
          </w:p>
          <w:p w:rsidR="00000000" w:rsidRPr="00C11E6B" w:rsidP="00C11E6B">
            <w:pPr>
              <w:pStyle w:val="List"/>
            </w:pPr>
            <w:r w:rsidRPr="00C11E6B">
              <w:t>3.4</w:t>
            </w:r>
            <w:r w:rsidRPr="00C11E6B">
              <w:tab/>
              <w:t>Read back transcript as requested.</w:t>
            </w:r>
          </w:p>
          <w:p w:rsidR="00000000" w:rsidRPr="00C11E6B" w:rsidP="00C11E6B">
            <w:pPr>
              <w:pStyle w:val="List"/>
            </w:pPr>
            <w:r w:rsidRPr="00C11E6B">
              <w:t>3.5</w:t>
            </w:r>
            <w:r w:rsidRPr="00C11E6B">
              <w:tab/>
              <w:t>Foll</w:t>
            </w:r>
            <w:r w:rsidRPr="00C11E6B">
              <w:t>ow procedures when working with or receiving materials from audio reporters.</w:t>
            </w:r>
          </w:p>
        </w:tc>
      </w:tr>
    </w:tbl>
    <w:p w:rsidR="00000000" w:rsidRPr="00C11E6B" w:rsidP="00C11E6B">
      <w:pPr>
        <w:pStyle w:val="BodyText"/>
      </w:pPr>
    </w:p>
    <w:p w:rsidR="00000000" w:rsidRPr="00C11E6B" w:rsidP="00C11E6B">
      <w:pPr>
        <w:pStyle w:val="AllowPageBreak"/>
      </w:pPr>
    </w:p>
    <w:p w:rsidR="00000000" w:rsidRPr="00C11E6B" w:rsidP="00C11E6B">
      <w:pPr>
        <w:pStyle w:val="Heading1"/>
      </w:pPr>
      <w:bookmarkStart w:id="5" w:name="O_814895"/>
      <w:bookmarkEnd w:id="5"/>
      <w:r w:rsidRPr="00C11E6B">
        <w:t>Foundation Skills</w:t>
      </w:r>
    </w:p>
    <w:p w:rsidR="00000000" w:rsidRPr="00C11E6B" w:rsidP="004E0C2B">
      <w:pPr>
        <w:pStyle w:val="BodyText"/>
      </w:pPr>
      <w:r w:rsidRPr="00C11E6B">
        <w:t>The foundation skills demands of this unit have been mapped for alignment with the Australian Core Skills Framework (ACSF). The following tabl</w:t>
      </w:r>
      <w:r w:rsidRPr="00C11E6B">
        <w:t>es outline the performance levels indicated for successful attainment of the unit.</w:t>
      </w:r>
    </w:p>
    <w:p w:rsidR="00000000" w:rsidRPr="00C11E6B" w:rsidP="00C11E6B">
      <w:pPr>
        <w:pStyle w:val="BodyText"/>
        <w:keepNext/>
      </w:pPr>
    </w:p>
    <w:p w:rsidR="00000000" w:rsidRPr="00C11E6B" w:rsidP="00C11E6B">
      <w:pPr>
        <w:pStyle w:val="BodyText"/>
      </w:pPr>
      <w:bookmarkStart w:id="6" w:name="O_835551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3.75pt;width:469.5pt">
            <v:imagedata r:id="rId10" o:title=""/>
          </v:shape>
        </w:pict>
      </w:r>
      <w:bookmarkEnd w:id="6"/>
    </w:p>
    <w:p w:rsidR="00000000" w:rsidRPr="00C11E6B" w:rsidP="00C11E6B">
      <w:pPr>
        <w:pStyle w:val="BodyText"/>
      </w:pPr>
    </w:p>
    <w:p w:rsidR="00000000" w:rsidRPr="00C11E6B" w:rsidP="004E0C2B">
      <w:pPr>
        <w:pStyle w:val="BodyText"/>
      </w:pPr>
      <w:r w:rsidRPr="00C11E6B">
        <w:t>Further information on ACSF and the foundation skills underpinning this unit can be found in the Foundation Skills Guide on the GSA website.</w:t>
      </w:r>
    </w:p>
    <w:p w:rsidR="00000000" w:rsidRPr="00C11E6B" w:rsidP="00C11E6B">
      <w:pPr>
        <w:pStyle w:val="Heading1"/>
      </w:pPr>
      <w:bookmarkStart w:id="7" w:name="O_814897"/>
      <w:bookmarkEnd w:id="7"/>
      <w:r w:rsidRPr="00C11E6B">
        <w:t>Unit Mapping Information</w:t>
      </w:r>
    </w:p>
    <w:p w:rsidR="00000000" w:rsidRPr="00C11E6B" w:rsidP="004E0C2B">
      <w:pPr>
        <w:pStyle w:val="BodyText"/>
      </w:pPr>
      <w:r w:rsidRPr="00C11E6B">
        <w:t>This unit supersedes and is equivalent to PSPCRT507B Record complex court</w:t>
      </w:r>
      <w:r w:rsidRPr="00C11E6B">
        <w:t xml:space="preserve"> proceedings.</w:t>
      </w:r>
    </w:p>
    <w:p w:rsidR="00000000" w:rsidRPr="00C11E6B" w:rsidP="00C11E6B">
      <w:pPr>
        <w:pStyle w:val="Heading1"/>
      </w:pPr>
      <w:bookmarkStart w:id="8" w:name="O_814904"/>
      <w:bookmarkEnd w:id="8"/>
      <w:r w:rsidRPr="00C11E6B">
        <w:t>Links</w:t>
      </w:r>
    </w:p>
    <w:p w:rsidR="00000000" w:rsidRPr="00C11E6B" w:rsidP="004E0C2B">
      <w:pPr>
        <w:pStyle w:val="BodyText"/>
      </w:pPr>
      <w:r w:rsidRPr="00C11E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96B3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11E6B" w:rsidP="004E0C2B">
      <w:pPr>
        <w:pStyle w:val="BodyText"/>
      </w:pPr>
      <w:r w:rsidRPr="00C11E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96B3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11E6B" w:rsidP="004E0C2B">
      <w:pPr>
        <w:pStyle w:val="BodyText"/>
      </w:pPr>
      <w:r w:rsidRPr="00C11E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96B3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11E6B" w:rsidP="004E0C2B">
      <w:pPr>
        <w:pStyle w:val="BodyText"/>
      </w:pPr>
      <w:r w:rsidRPr="00C11E6B">
        <w:t>Companion Volume implementation guide</w:t>
      </w:r>
      <w:r w:rsidRPr="00C11E6B">
        <w:t xml:space="preserve">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96B3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11E6B" w:rsidP="004E0C2B">
      <w:pPr>
        <w:pStyle w:val="BodyText"/>
        <w:sectPr w:rsidSect="00C11E6B">
          <w:headerReference w:type="default" r:id="rId11"/>
          <w:footerReference w:type="default" r:id="rId12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1E6B" w:rsidP="00C11E6B">
      <w:pPr>
        <w:pStyle w:val="SuperHeading"/>
      </w:pPr>
      <w:r w:rsidRPr="00C11E6B">
        <w:t>Assessment Requirements for PSPCRT024 Record complex court proceedings</w:t>
      </w:r>
    </w:p>
    <w:p w:rsidR="00000000" w:rsidRPr="00C11E6B" w:rsidP="00C11E6B">
      <w:pPr>
        <w:pStyle w:val="Heading1"/>
      </w:pPr>
      <w:bookmarkStart w:id="9" w:name="O_814899"/>
      <w:bookmarkEnd w:id="9"/>
      <w:r w:rsidRPr="00C11E6B">
        <w:t xml:space="preserve">Modification </w:t>
      </w:r>
      <w:r w:rsidRPr="00C11E6B">
        <w:t>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E0C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E6B" w:rsidP="00C11E6B">
            <w:pPr>
              <w:pStyle w:val="TableHeading"/>
            </w:pPr>
            <w:r w:rsidRPr="00C11E6B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E6B">
            <w:pPr>
              <w:pStyle w:val="TableHeading"/>
              <w:rPr>
                <w:lang w:val="en-NZ"/>
              </w:rPr>
            </w:pPr>
            <w:r w:rsidRPr="00C11E6B">
              <w:rPr>
                <w:rStyle w:val="SpecialBold"/>
              </w:rPr>
              <w:t>Comments</w:t>
            </w:r>
          </w:p>
        </w:tc>
      </w:tr>
      <w:tr w:rsidTr="004E0C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E6B">
            <w:pPr>
              <w:pStyle w:val="BodyText"/>
              <w:rPr>
                <w:lang w:val="en-NZ"/>
              </w:rPr>
            </w:pPr>
            <w:r w:rsidRPr="00C11E6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E6B" w:rsidP="00C11E6B">
            <w:pPr>
              <w:pStyle w:val="BodyText"/>
            </w:pPr>
            <w:r w:rsidRPr="00C11E6B">
              <w:t xml:space="preserve">These Assessment Requirements were released in PSP Public Sector Training Package release 1.0 and meet the Standards for Training Packages. </w:t>
            </w:r>
          </w:p>
          <w:p w:rsidR="00000000" w:rsidRPr="00C11E6B" w:rsidP="00C11E6B">
            <w:pPr>
              <w:pStyle w:val="BodyText"/>
            </w:pPr>
          </w:p>
          <w:p w:rsidR="00000000" w:rsidRPr="00C11E6B" w:rsidP="00C11E6B">
            <w:pPr>
              <w:pStyle w:val="ListBullet"/>
            </w:pPr>
            <w:r w:rsidRPr="00C11E6B">
              <w:t>Assessment Requirements created drawing upon specified assessment information from superseded unit</w:t>
            </w:r>
          </w:p>
        </w:tc>
      </w:tr>
    </w:tbl>
    <w:p w:rsidR="00000000" w:rsidRPr="00C11E6B" w:rsidP="00C11E6B">
      <w:pPr>
        <w:pStyle w:val="BodyText"/>
      </w:pPr>
    </w:p>
    <w:p w:rsidR="00000000" w:rsidRPr="00C11E6B" w:rsidP="00C11E6B">
      <w:pPr>
        <w:pStyle w:val="AllowPageBreak"/>
      </w:pPr>
    </w:p>
    <w:p w:rsidR="00000000" w:rsidRPr="00C11E6B" w:rsidP="00C11E6B">
      <w:pPr>
        <w:pStyle w:val="Heading1"/>
      </w:pPr>
      <w:bookmarkStart w:id="10" w:name="O_814900"/>
      <w:bookmarkEnd w:id="10"/>
      <w:r w:rsidRPr="00C11E6B">
        <w:t>Performance Evidence</w:t>
      </w:r>
    </w:p>
    <w:p w:rsidR="00000000" w:rsidRPr="00C11E6B" w:rsidP="004E0C2B">
      <w:pPr>
        <w:pStyle w:val="BodyText"/>
      </w:pPr>
      <w:r w:rsidRPr="00C11E6B">
        <w:t>Evidence required to demonstrate competence must satisfy all of the requirements of the elements and performance crit</w:t>
      </w:r>
      <w:r w:rsidRPr="00C11E6B">
        <w:t>eria. If not otherwise specified the candidate must demonstrate evidence of performance of the following on at least one occasion.</w:t>
      </w:r>
    </w:p>
    <w:p w:rsidR="00000000" w:rsidRPr="00C11E6B" w:rsidP="00C11E6B">
      <w:pPr>
        <w:pStyle w:val="ListBullet"/>
      </w:pPr>
      <w:r w:rsidRPr="00C11E6B">
        <w:t>editing and summarising transcriptions</w:t>
      </w:r>
    </w:p>
    <w:p w:rsidR="00000000" w:rsidRPr="00C11E6B" w:rsidP="00C11E6B">
      <w:pPr>
        <w:pStyle w:val="ListBullet"/>
      </w:pPr>
      <w:r w:rsidRPr="00C11E6B">
        <w:t>managing a large personal workload</w:t>
      </w:r>
    </w:p>
    <w:p w:rsidR="00000000" w:rsidRPr="00C11E6B" w:rsidP="00C11E6B">
      <w:pPr>
        <w:pStyle w:val="ListBullet"/>
      </w:pPr>
      <w:r w:rsidRPr="00C11E6B">
        <w:t>meeting deadlines</w:t>
      </w:r>
    </w:p>
    <w:p w:rsidR="00000000" w:rsidRPr="00C11E6B" w:rsidP="00C11E6B">
      <w:pPr>
        <w:pStyle w:val="ListBullet"/>
      </w:pPr>
      <w:r w:rsidRPr="00C11E6B">
        <w:t>working effectively under pressure</w:t>
      </w:r>
    </w:p>
    <w:p w:rsidR="00000000" w:rsidRPr="00C11E6B" w:rsidP="00C11E6B">
      <w:pPr>
        <w:pStyle w:val="ListBullet"/>
      </w:pPr>
      <w:r w:rsidRPr="00C11E6B">
        <w:t>representing forms and outlines in shorthand</w:t>
      </w:r>
    </w:p>
    <w:p w:rsidR="00000000" w:rsidRPr="00C11E6B" w:rsidP="00C11E6B">
      <w:pPr>
        <w:pStyle w:val="ListBullet"/>
      </w:pPr>
      <w:r w:rsidRPr="00C11E6B">
        <w:t>producing high-quality transcriptions with 99% accuracy at speeds of up to 200 wpm depending on jurisdiction</w:t>
      </w:r>
    </w:p>
    <w:p w:rsidR="00000000" w:rsidRPr="00C11E6B" w:rsidP="00C11E6B">
      <w:pPr>
        <w:pStyle w:val="ListBullet"/>
      </w:pPr>
      <w:r w:rsidRPr="00C11E6B">
        <w:t>applying legislation, regulations, policies and procedures relating</w:t>
      </w:r>
      <w:r w:rsidRPr="00C11E6B">
        <w:t xml:space="preserve"> to the recording of complex court proceedings</w:t>
      </w:r>
    </w:p>
    <w:p w:rsidR="00000000" w:rsidRPr="00C11E6B" w:rsidP="00C11E6B">
      <w:pPr>
        <w:pStyle w:val="ListBullet"/>
      </w:pPr>
      <w:r w:rsidRPr="00C11E6B">
        <w:t>liaising effectively with a diverse range of people</w:t>
      </w:r>
    </w:p>
    <w:p w:rsidR="00000000" w:rsidRPr="00C11E6B" w:rsidP="00C11E6B">
      <w:pPr>
        <w:pStyle w:val="ListBullet"/>
      </w:pPr>
      <w:r w:rsidRPr="00C11E6B">
        <w:t>reading back transcripts</w:t>
      </w:r>
    </w:p>
    <w:p w:rsidR="00000000" w:rsidRPr="00C11E6B" w:rsidP="00C11E6B">
      <w:pPr>
        <w:pStyle w:val="ListBullet"/>
      </w:pPr>
      <w:r w:rsidRPr="00C11E6B">
        <w:t>operating a shorthand machine</w:t>
      </w:r>
    </w:p>
    <w:p w:rsidR="00000000" w:rsidRPr="00C11E6B" w:rsidP="00C11E6B">
      <w:pPr>
        <w:pStyle w:val="AllowPageBreak"/>
      </w:pPr>
    </w:p>
    <w:p w:rsidR="00000000" w:rsidRPr="00C11E6B" w:rsidP="00C11E6B">
      <w:pPr>
        <w:pStyle w:val="Heading1"/>
      </w:pPr>
      <w:bookmarkStart w:id="11" w:name="O_814901"/>
      <w:bookmarkEnd w:id="11"/>
      <w:r w:rsidRPr="00C11E6B">
        <w:t>Knowledge Evidence</w:t>
      </w:r>
    </w:p>
    <w:p w:rsidR="00000000" w:rsidRPr="00C11E6B" w:rsidP="004E0C2B">
      <w:pPr>
        <w:pStyle w:val="BodyText"/>
      </w:pPr>
      <w:r w:rsidRPr="00C11E6B">
        <w:t>Evidence required to demonstrate competence must satisfy all of th</w:t>
      </w:r>
      <w:r w:rsidRPr="00C11E6B">
        <w:t>e requirements of the elements and performance criteria. If not otherwise specified the depth of knowledge demonstrated must be appropriate to the job context of the candidate.</w:t>
      </w:r>
    </w:p>
    <w:p w:rsidR="00000000" w:rsidRPr="00C11E6B" w:rsidP="00C11E6B">
      <w:pPr>
        <w:pStyle w:val="ListBullet"/>
      </w:pPr>
      <w:r w:rsidRPr="00C11E6B">
        <w:t>administrative requirements of court reporting</w:t>
      </w:r>
    </w:p>
    <w:p w:rsidR="00000000" w:rsidRPr="00C11E6B" w:rsidP="00C11E6B">
      <w:pPr>
        <w:pStyle w:val="ListBullet"/>
      </w:pPr>
      <w:r w:rsidRPr="00C11E6B">
        <w:t>legal terminology</w:t>
      </w:r>
    </w:p>
    <w:p w:rsidR="00000000" w:rsidRPr="00C11E6B" w:rsidP="00C11E6B">
      <w:pPr>
        <w:pStyle w:val="ListBullet"/>
      </w:pPr>
      <w:r w:rsidRPr="00C11E6B">
        <w:t xml:space="preserve">legislation, </w:t>
      </w:r>
      <w:r w:rsidRPr="00C11E6B">
        <w:t>regulations, policies, procedures and guidelines relating to the recording of complex court proceedings</w:t>
      </w:r>
    </w:p>
    <w:p w:rsidR="00000000" w:rsidRPr="00C11E6B" w:rsidP="00C11E6B">
      <w:pPr>
        <w:pStyle w:val="ListBullet"/>
      </w:pPr>
      <w:r w:rsidRPr="00C11E6B">
        <w:t>principles of judicial independence</w:t>
      </w:r>
    </w:p>
    <w:p w:rsidR="00000000" w:rsidRPr="00C11E6B" w:rsidP="00C11E6B">
      <w:pPr>
        <w:pStyle w:val="ListBullet"/>
      </w:pPr>
      <w:r w:rsidRPr="00C11E6B">
        <w:t>proceedings in a full range of courts</w:t>
      </w:r>
    </w:p>
    <w:p w:rsidR="00000000" w:rsidRPr="00C11E6B" w:rsidP="00C11E6B">
      <w:pPr>
        <w:pStyle w:val="ListBullet"/>
      </w:pPr>
      <w:r w:rsidRPr="00C11E6B">
        <w:t>related legislation, including Acts</w:t>
      </w:r>
    </w:p>
    <w:p w:rsidR="00000000" w:rsidRPr="00C11E6B" w:rsidP="00C11E6B">
      <w:pPr>
        <w:pStyle w:val="ListBullet"/>
      </w:pPr>
      <w:r w:rsidRPr="00C11E6B">
        <w:t>federal, state and territory court systems</w:t>
      </w:r>
    </w:p>
    <w:p w:rsidR="00000000" w:rsidRPr="00C11E6B" w:rsidP="00C11E6B">
      <w:pPr>
        <w:pStyle w:val="ListBullet"/>
      </w:pPr>
      <w:r w:rsidRPr="00C11E6B">
        <w:t>formats that interface with litigation support products</w:t>
      </w:r>
    </w:p>
    <w:p w:rsidR="00000000" w:rsidRPr="00C11E6B" w:rsidP="00C11E6B">
      <w:pPr>
        <w:pStyle w:val="ListBullet"/>
      </w:pPr>
      <w:r w:rsidRPr="00C11E6B">
        <w:t>software programs that support electronic archiving and retrieval of transcript</w:t>
      </w:r>
    </w:p>
    <w:p w:rsidR="00000000" w:rsidRPr="00C11E6B" w:rsidP="00C11E6B">
      <w:pPr>
        <w:pStyle w:val="ListBullet"/>
      </w:pPr>
      <w:r w:rsidRPr="00C11E6B">
        <w:t>English language, spelling, punctuation and grammar</w:t>
      </w:r>
    </w:p>
    <w:p w:rsidR="00000000" w:rsidRPr="00C11E6B" w:rsidP="00C11E6B">
      <w:pPr>
        <w:pStyle w:val="AllowPageBreak"/>
      </w:pPr>
    </w:p>
    <w:p w:rsidR="00000000" w:rsidRPr="00C11E6B" w:rsidP="00C11E6B">
      <w:pPr>
        <w:pStyle w:val="Heading1"/>
      </w:pPr>
      <w:bookmarkStart w:id="12" w:name="O_814902"/>
      <w:bookmarkEnd w:id="12"/>
      <w:r w:rsidRPr="00C11E6B">
        <w:t>Assessment Conditions</w:t>
      </w:r>
    </w:p>
    <w:p w:rsidR="00000000" w:rsidRPr="00C11E6B" w:rsidP="004E0C2B">
      <w:pPr>
        <w:pStyle w:val="BodyText"/>
      </w:pPr>
      <w:r w:rsidRPr="00C11E6B">
        <w:t>Assessment of this unit requires a workplace environment or one that closely resembles normal work practice and replicates the diverse conditions likely to be encountered when recording complex court proceedings.</w:t>
      </w:r>
    </w:p>
    <w:p w:rsidR="004E0C2B" w:rsidP="004E0C2B">
      <w:pPr>
        <w:pStyle w:val="BodyText"/>
      </w:pPr>
      <w:r w:rsidRPr="00C11E6B">
        <w:t>Assessors must satisfy the NVR/AQTF mandat</w:t>
      </w:r>
      <w:r w:rsidRPr="00C11E6B">
        <w:t>ory competency requirements for assessors.</w:t>
      </w:r>
    </w:p>
    <w:p w:rsidR="00000000" w:rsidRPr="00C11E6B" w:rsidP="00C11E6B">
      <w:pPr>
        <w:pStyle w:val="Heading1"/>
      </w:pPr>
      <w:bookmarkStart w:id="13" w:name="O_814905"/>
      <w:bookmarkEnd w:id="13"/>
      <w:r w:rsidRPr="00C11E6B">
        <w:t>Links</w:t>
      </w:r>
    </w:p>
    <w:p w:rsidR="00000000" w:rsidRPr="00C11E6B" w:rsidP="004E0C2B">
      <w:pPr>
        <w:pStyle w:val="BodyText"/>
      </w:pPr>
      <w:r w:rsidRPr="00C11E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96B3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11E6B" w:rsidP="004E0C2B">
      <w:pPr>
        <w:pStyle w:val="BodyText"/>
      </w:pPr>
      <w:r w:rsidRPr="00C11E6B">
        <w:t>Companion Volume implementation guides are</w:t>
      </w:r>
      <w:r w:rsidRPr="00C11E6B">
        <w:t xml:space="preserve">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96B3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11E6B" w:rsidP="004E0C2B">
      <w:pPr>
        <w:pStyle w:val="BodyText"/>
      </w:pPr>
      <w:r w:rsidRPr="00C11E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96B3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11E6B" w:rsidP="00C11E6B"/>
    <w:sectPr w:rsidSect="00C11E6B">
      <w:headerReference w:type="default" r:id="rId13"/>
      <w:footerReference w:type="default" r:id="rId14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E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E6B" w:rsidRPr="004E0C2B" w:rsidP="004E0C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E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C2B" w:rsidP="00C11E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0C2B" w:rsidP="00C11E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E0C2B" w:rsidP="00C11E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E6B" w:rsidP="00C11E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0C2B">
      <w:t>Approved</w:t>
    </w:r>
    <w:r w:rsidR="004E0C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0C2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0C2B">
      <w:rPr>
        <w:noProof/>
      </w:rPr>
      <w:t>4</w:t>
    </w:r>
    <w:r>
      <w:rPr>
        <w:noProof/>
      </w:rPr>
      <w:fldChar w:fldCharType="end"/>
    </w:r>
  </w:p>
  <w:p w:rsidR="00C11E6B" w:rsidP="00C11E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0C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0C2B">
      <w:t>Public Skills Australia</w:t>
    </w:r>
    <w:r w:rsidR="004E0C2B">
      <w:fldChar w:fldCharType="end"/>
    </w:r>
  </w:p>
  <w:p w:rsidR="00C11E6B" w:rsidP="00C11E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E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C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1E6B" w:rsidRPr="004E0C2B" w:rsidP="004E0C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E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C2B" w:rsidRPr="002D2AF8" w:rsidP="00C11E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PSPCRT024 Record complex court proceedings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E0C2B" w:rsidP="00C11E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E6B" w:rsidRPr="002D2AF8" w:rsidP="00C11E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0C2B">
      <w:t>PSPCRT024 Record complex court proceedings</w:t>
    </w:r>
    <w:r w:rsidR="004E0C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0C2B">
      <w:rPr>
        <w:noProof/>
      </w:rPr>
      <w:t>1 March 2025</w:t>
    </w:r>
    <w:r>
      <w:fldChar w:fldCharType="end"/>
    </w:r>
  </w:p>
  <w:p w:rsidR="00C11E6B" w:rsidP="00C11E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6C86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8C5D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1E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1E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1E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1E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1E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1E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1E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1E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1E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1E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1E6B"/>
  </w:style>
  <w:style w:type="character" w:customStyle="1" w:styleId="Heading1Char">
    <w:name w:val="Heading 1 Char"/>
    <w:basedOn w:val="DefaultParagraphFont"/>
    <w:link w:val="Heading1"/>
    <w:rsid w:val="00C11E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1E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1E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1E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1E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1E6B"/>
    <w:rPr>
      <w:b/>
      <w:spacing w:val="0"/>
    </w:rPr>
  </w:style>
  <w:style w:type="paragraph" w:customStyle="1" w:styleId="SuperHeading">
    <w:name w:val="SuperHeading"/>
    <w:basedOn w:val="Normal"/>
    <w:rsid w:val="00C11E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11E6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11E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1E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1E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1E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1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1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1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1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1E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1E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1E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1E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1E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1E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1E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1E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1E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1E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1E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1E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1E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1E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1E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1E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1E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1E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1E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1E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1E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1E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1E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1E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1E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1E6B"/>
    <w:rPr>
      <w:i/>
    </w:rPr>
  </w:style>
  <w:style w:type="paragraph" w:styleId="Caption">
    <w:name w:val="caption"/>
    <w:basedOn w:val="BodyText"/>
    <w:next w:val="Normal"/>
    <w:qFormat/>
    <w:rsid w:val="00C11E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1E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1E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1E6B"/>
  </w:style>
  <w:style w:type="paragraph" w:styleId="TableofFigures">
    <w:name w:val="table of figures"/>
    <w:basedOn w:val="Normal"/>
    <w:next w:val="Normal"/>
    <w:semiHidden/>
    <w:rsid w:val="00C11E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1E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1E6B"/>
    <w:rPr>
      <w:rFonts w:ascii="Wingdings" w:hAnsi="Wingdings"/>
    </w:rPr>
  </w:style>
  <w:style w:type="character" w:customStyle="1" w:styleId="HotSpot">
    <w:name w:val="HotSpot"/>
    <w:rsid w:val="00C11E6B"/>
    <w:rPr>
      <w:color w:val="0033CC"/>
      <w:u w:val="none"/>
    </w:rPr>
  </w:style>
  <w:style w:type="paragraph" w:customStyle="1" w:styleId="BodyTextRight">
    <w:name w:val="Body Text Right"/>
    <w:basedOn w:val="BodyText"/>
    <w:rsid w:val="00C11E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1E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1E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1E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1E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1E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1E6B"/>
    <w:rPr>
      <w:sz w:val="32"/>
    </w:rPr>
  </w:style>
  <w:style w:type="paragraph" w:customStyle="1" w:styleId="HeadingProcedure">
    <w:name w:val="Heading Procedure"/>
    <w:basedOn w:val="HeadingBase"/>
    <w:next w:val="Normal"/>
    <w:rsid w:val="00C11E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1E6B"/>
    <w:pPr>
      <w:spacing w:before="60" w:after="60"/>
    </w:pPr>
  </w:style>
  <w:style w:type="paragraph" w:styleId="ListContinue">
    <w:name w:val="List Continue"/>
    <w:basedOn w:val="List"/>
    <w:rsid w:val="00C11E6B"/>
    <w:pPr>
      <w:ind w:firstLine="0"/>
    </w:pPr>
  </w:style>
  <w:style w:type="paragraph" w:customStyle="1" w:styleId="ListNote">
    <w:name w:val="List Note"/>
    <w:basedOn w:val="List"/>
    <w:rsid w:val="00C11E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1E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1E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1E6B"/>
    <w:rPr>
      <w:rFonts w:ascii="Courier New" w:hAnsi="Courier New"/>
    </w:rPr>
  </w:style>
  <w:style w:type="paragraph" w:customStyle="1" w:styleId="NoteBullet">
    <w:name w:val="Note Bullet"/>
    <w:basedOn w:val="Note"/>
    <w:rsid w:val="00C11E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1E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1E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1E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1E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1E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1E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1E6B"/>
    <w:rPr>
      <w:b/>
      <w:smallCaps/>
    </w:rPr>
  </w:style>
  <w:style w:type="paragraph" w:customStyle="1" w:styleId="TableListNumber">
    <w:name w:val="Table List Number"/>
    <w:basedOn w:val="ListNumber"/>
    <w:rsid w:val="00C11E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1E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1E6B"/>
    <w:pPr>
      <w:numPr>
        <w:numId w:val="8"/>
      </w:numPr>
    </w:pPr>
  </w:style>
  <w:style w:type="paragraph" w:customStyle="1" w:styleId="ListAlpha2">
    <w:name w:val="List Alpha 2"/>
    <w:basedOn w:val="List2"/>
    <w:rsid w:val="00C11E6B"/>
    <w:pPr>
      <w:numPr>
        <w:numId w:val="7"/>
      </w:numPr>
    </w:pPr>
  </w:style>
  <w:style w:type="paragraph" w:styleId="List2">
    <w:name w:val="List 2"/>
    <w:basedOn w:val="BodyText"/>
    <w:rsid w:val="00C11E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1E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1E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1E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1E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1E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1E6B"/>
    <w:pPr>
      <w:numPr>
        <w:numId w:val="3"/>
      </w:numPr>
    </w:pPr>
  </w:style>
  <w:style w:type="paragraph" w:styleId="ListContinue2">
    <w:name w:val="List Continue 2"/>
    <w:basedOn w:val="List2"/>
    <w:rsid w:val="00C11E6B"/>
    <w:pPr>
      <w:ind w:firstLine="0"/>
    </w:pPr>
  </w:style>
  <w:style w:type="paragraph" w:styleId="ListContinue3">
    <w:name w:val="List Continue 3"/>
    <w:basedOn w:val="List3"/>
    <w:rsid w:val="00C11E6B"/>
    <w:pPr>
      <w:ind w:left="1021" w:firstLine="0"/>
    </w:pPr>
  </w:style>
  <w:style w:type="paragraph" w:styleId="ListContinue4">
    <w:name w:val="List Continue 4"/>
    <w:basedOn w:val="List4"/>
    <w:rsid w:val="00C11E6B"/>
    <w:pPr>
      <w:ind w:firstLine="0"/>
    </w:pPr>
  </w:style>
  <w:style w:type="paragraph" w:styleId="ListContinue5">
    <w:name w:val="List Continue 5"/>
    <w:basedOn w:val="List5"/>
    <w:rsid w:val="00C11E6B"/>
    <w:pPr>
      <w:ind w:firstLine="0"/>
    </w:pPr>
  </w:style>
  <w:style w:type="paragraph" w:styleId="ListNumber3">
    <w:name w:val="List Number 3"/>
    <w:basedOn w:val="List3"/>
    <w:rsid w:val="00C11E6B"/>
    <w:pPr>
      <w:numPr>
        <w:numId w:val="4"/>
      </w:numPr>
    </w:pPr>
  </w:style>
  <w:style w:type="paragraph" w:styleId="ListNumber4">
    <w:name w:val="List Number 4"/>
    <w:basedOn w:val="List4"/>
    <w:rsid w:val="00C11E6B"/>
    <w:pPr>
      <w:numPr>
        <w:numId w:val="5"/>
      </w:numPr>
    </w:pPr>
  </w:style>
  <w:style w:type="paragraph" w:styleId="ListNumber5">
    <w:name w:val="List Number 5"/>
    <w:basedOn w:val="List5"/>
    <w:rsid w:val="00C11E6B"/>
    <w:pPr>
      <w:numPr>
        <w:numId w:val="6"/>
      </w:numPr>
    </w:pPr>
  </w:style>
  <w:style w:type="paragraph" w:styleId="BlockText">
    <w:name w:val="Block Text"/>
    <w:basedOn w:val="Normal"/>
    <w:rsid w:val="00C11E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1E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1E6B"/>
    <w:rPr>
      <w:sz w:val="16"/>
      <w:vertAlign w:val="superscript"/>
    </w:rPr>
  </w:style>
  <w:style w:type="character" w:customStyle="1" w:styleId="Symbols">
    <w:name w:val="Symbols"/>
    <w:basedOn w:val="DefaultParagraphFont"/>
    <w:rsid w:val="00C11E6B"/>
    <w:rPr>
      <w:rFonts w:ascii="Symbol" w:hAnsi="Symbol"/>
    </w:rPr>
  </w:style>
  <w:style w:type="character" w:customStyle="1" w:styleId="MenuOptions">
    <w:name w:val="Menu Options"/>
    <w:basedOn w:val="DefaultParagraphFont"/>
    <w:rsid w:val="00C11E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1E6B"/>
    <w:rPr>
      <w:b/>
    </w:rPr>
  </w:style>
  <w:style w:type="character" w:customStyle="1" w:styleId="Underlined">
    <w:name w:val="Underlined"/>
    <w:basedOn w:val="DefaultParagraphFont"/>
    <w:rsid w:val="00C11E6B"/>
    <w:rPr>
      <w:u w:val="single"/>
    </w:rPr>
  </w:style>
  <w:style w:type="paragraph" w:customStyle="1" w:styleId="TableBodyTextRight">
    <w:name w:val="Table Body Text Right"/>
    <w:basedOn w:val="TableBodyText"/>
    <w:rsid w:val="00C11E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1E6B"/>
    <w:rPr>
      <w:sz w:val="18"/>
    </w:rPr>
  </w:style>
  <w:style w:type="paragraph" w:customStyle="1" w:styleId="BodySmallRight">
    <w:name w:val="Body Small Right"/>
    <w:basedOn w:val="BodyTextRight"/>
    <w:rsid w:val="00C11E6B"/>
    <w:rPr>
      <w:sz w:val="18"/>
      <w:szCs w:val="18"/>
    </w:rPr>
  </w:style>
  <w:style w:type="paragraph" w:customStyle="1" w:styleId="MarginEdition">
    <w:name w:val="Margin Edition"/>
    <w:basedOn w:val="MarginNote"/>
    <w:rsid w:val="00C11E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1E6B"/>
    <w:rPr>
      <w:sz w:val="2"/>
      <w:szCs w:val="2"/>
    </w:rPr>
  </w:style>
  <w:style w:type="character" w:customStyle="1" w:styleId="Small">
    <w:name w:val="Small"/>
    <w:basedOn w:val="DefaultParagraphFont"/>
    <w:rsid w:val="00C11E6B"/>
    <w:rPr>
      <w:sz w:val="16"/>
    </w:rPr>
  </w:style>
  <w:style w:type="paragraph" w:customStyle="1" w:styleId="WideTable">
    <w:name w:val="Wide Table"/>
    <w:basedOn w:val="Normal"/>
    <w:rsid w:val="00C11E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1E6B"/>
  </w:style>
  <w:style w:type="paragraph" w:styleId="Quote">
    <w:name w:val="Quote"/>
    <w:basedOn w:val="Heading1"/>
    <w:link w:val="QuoteChar"/>
    <w:qFormat/>
    <w:rsid w:val="00C11E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1E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1E6B"/>
    <w:pPr>
      <w:pageBreakBefore/>
    </w:pPr>
  </w:style>
  <w:style w:type="paragraph" w:customStyle="1" w:styleId="Border">
    <w:name w:val="Border"/>
    <w:basedOn w:val="Normal"/>
    <w:qFormat/>
    <w:rsid w:val="00C11E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1E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E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E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1E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1E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1E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1E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1E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1E6B"/>
    <w:rPr>
      <w:u w:val="single"/>
    </w:rPr>
  </w:style>
  <w:style w:type="character" w:customStyle="1" w:styleId="BoldandItalics">
    <w:name w:val="Bold and Italics"/>
    <w:qFormat/>
    <w:rsid w:val="00C11E6B"/>
    <w:rPr>
      <w:b/>
      <w:i/>
      <w:u w:val="none"/>
    </w:rPr>
  </w:style>
  <w:style w:type="paragraph" w:styleId="BalloonText">
    <w:name w:val="Balloon Text"/>
    <w:basedOn w:val="Normal"/>
    <w:link w:val="BalloonTextChar"/>
    <w:rsid w:val="00C11E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1E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1E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1E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1E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1E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1E6B"/>
    <w:pPr>
      <w:spacing w:before="0" w:after="0"/>
    </w:pPr>
  </w:style>
  <w:style w:type="paragraph" w:customStyle="1" w:styleId="BodyTextBold">
    <w:name w:val="Body Text Bold"/>
    <w:basedOn w:val="BodyText"/>
    <w:qFormat/>
    <w:rsid w:val="00C11E6B"/>
    <w:rPr>
      <w:b/>
    </w:rPr>
  </w:style>
  <w:style w:type="character" w:styleId="Hyperlink">
    <w:name w:val="Hyperlink"/>
    <w:basedOn w:val="DefaultParagraphFont"/>
    <w:uiPriority w:val="99"/>
    <w:unhideWhenUsed/>
    <w:rsid w:val="004E0C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973</Words>
  <Characters>6628</Characters>
  <Application>Microsoft Office Word</Application>
  <DocSecurity>0</DocSecurity>
  <Lines>189</Lines>
  <Paragraphs>113</Paragraphs>
  <ScaleCrop>false</ScaleCrop>
  <Company>Author-it Software Corporation Ltd.</Company>
  <LinksUpToDate>false</LinksUpToDate>
  <CharactersWithSpaces>7488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PSPCRT024 Record complex court proceedings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2025-03-01T11:45:00Z</dcterms:created>
  <dcterms:modified xsi:type="dcterms:W3CDTF">2025-03-01T11:45:00Z</dcterms:modified>
</cp:coreProperties>
</file>