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CEE" w:rsidP="00CC2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PSPCRT023 Perform quasi-judicial functions</w:t>
      </w:r>
      <w:r>
        <w:fldChar w:fldCharType="end"/>
      </w:r>
    </w:p>
    <w:p w:rsidR="00CC2CEE" w:rsidP="00CC2CEE">
      <w:pPr>
        <w:pStyle w:val="Version"/>
        <w:sectPr w:rsidSect="00CC7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4A8" w:rsidP="00CC74A8">
      <w:pPr>
        <w:pStyle w:val="SuperHeading"/>
      </w:pPr>
      <w:r w:rsidRPr="00CC74A8">
        <w:t>PSPCRT023 Perform quasi-judicial functions</w:t>
      </w:r>
    </w:p>
    <w:p w:rsidR="00000000" w:rsidRPr="00CC74A8" w:rsidP="00CC74A8">
      <w:pPr>
        <w:pStyle w:val="Heading1"/>
      </w:pPr>
      <w:bookmarkStart w:id="1" w:name="O_814851"/>
      <w:bookmarkEnd w:id="1"/>
      <w:r w:rsidRPr="00CC74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C2C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A8">
            <w:pPr>
              <w:pStyle w:val="TableHeading"/>
              <w:rPr>
                <w:lang w:val="en-NZ"/>
              </w:rPr>
            </w:pPr>
            <w:r w:rsidRPr="00CC74A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A8">
            <w:pPr>
              <w:pStyle w:val="TableHeading"/>
              <w:rPr>
                <w:lang w:val="en-NZ"/>
              </w:rPr>
            </w:pPr>
            <w:r w:rsidRPr="00CC74A8">
              <w:t>Comments</w:t>
            </w:r>
          </w:p>
        </w:tc>
      </w:tr>
      <w:tr w:rsidTr="00CC2C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A8">
            <w:pPr>
              <w:pStyle w:val="BodyText"/>
              <w:rPr>
                <w:lang w:val="en-NZ"/>
              </w:rPr>
            </w:pPr>
            <w:r w:rsidRPr="00CC74A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A8" w:rsidP="00CC74A8">
            <w:pPr>
              <w:pStyle w:val="BodyText"/>
            </w:pPr>
            <w:r w:rsidRPr="00CC74A8">
              <w:t xml:space="preserve">This unit was released in PSP Public Sector Training Package release 1.0 and meets the Standards for Training Packages. </w:t>
            </w:r>
          </w:p>
          <w:p w:rsidR="00000000" w:rsidRPr="00CC74A8" w:rsidP="00CC74A8">
            <w:pPr>
              <w:pStyle w:val="BodyText"/>
            </w:pPr>
          </w:p>
          <w:p w:rsidR="00000000" w:rsidRPr="00CC74A8" w:rsidP="00CC74A8">
            <w:pPr>
              <w:pStyle w:val="BodyText"/>
            </w:pPr>
            <w:r w:rsidRPr="00CC74A8">
              <w:t>This unit supersedes and is equivalent to PSPCRT506B Perform quasi-judicial functions.</w:t>
            </w:r>
          </w:p>
          <w:p w:rsidR="00000000" w:rsidRPr="00CC74A8" w:rsidP="00CC74A8">
            <w:pPr>
              <w:pStyle w:val="BodyText"/>
            </w:pPr>
          </w:p>
          <w:p w:rsidR="00000000" w:rsidRPr="00CC74A8" w:rsidP="00CC74A8">
            <w:pPr>
              <w:pStyle w:val="ListBullet"/>
            </w:pPr>
            <w:r w:rsidRPr="00CC74A8">
              <w:t>Unit</w:t>
            </w:r>
            <w:r w:rsidRPr="00CC74A8">
              <w:t xml:space="preserve"> code updated</w:t>
            </w:r>
          </w:p>
          <w:p w:rsidR="00000000" w:rsidRPr="00CC74A8" w:rsidP="00CC74A8">
            <w:pPr>
              <w:pStyle w:val="ListBullet"/>
            </w:pPr>
            <w:r w:rsidRPr="00CC74A8">
              <w:t>Content and formatting updated to comply with new standards</w:t>
            </w:r>
          </w:p>
          <w:p w:rsidR="00000000" w:rsidRPr="00CC74A8" w:rsidP="00CC74A8">
            <w:pPr>
              <w:pStyle w:val="ListBullet"/>
            </w:pPr>
            <w:r w:rsidRPr="00CC74A8">
              <w:t>All PC transitioned from passive to active voice</w:t>
            </w:r>
          </w:p>
          <w:p w:rsidR="00000000" w:rsidRPr="00CC74A8" w:rsidP="00CC74A8">
            <w:pPr>
              <w:pStyle w:val="ListBullet"/>
            </w:pPr>
            <w:r w:rsidRPr="00CC74A8">
              <w:t>PC 2.4 and 2.5, PC 3.3 and 3.4 merged</w:t>
            </w:r>
          </w:p>
        </w:tc>
      </w:tr>
    </w:tbl>
    <w:p w:rsidR="00000000" w:rsidRPr="00CC74A8" w:rsidP="00CC74A8">
      <w:pPr>
        <w:pStyle w:val="BodyText"/>
      </w:pPr>
    </w:p>
    <w:p w:rsidR="00000000" w:rsidRPr="00CC74A8" w:rsidP="00CC74A8">
      <w:pPr>
        <w:pStyle w:val="AllowPageBreak"/>
      </w:pPr>
    </w:p>
    <w:p w:rsidR="00000000" w:rsidRPr="00CC74A8" w:rsidP="00CC74A8">
      <w:pPr>
        <w:pStyle w:val="Heading1"/>
      </w:pPr>
      <w:bookmarkStart w:id="2" w:name="O_814852"/>
      <w:bookmarkEnd w:id="2"/>
      <w:r w:rsidRPr="00CC74A8">
        <w:t>Application</w:t>
      </w:r>
    </w:p>
    <w:p w:rsidR="00000000" w:rsidRPr="00CC74A8" w:rsidP="00CC2CEE">
      <w:pPr>
        <w:pStyle w:val="BodyText"/>
      </w:pPr>
      <w:r w:rsidRPr="00CC74A8">
        <w:t>This unit describes the skills required to perform quasi-judicial functions as prescribed by legislation and Rules of Court. It includes advising on rules and legislation, settling court orders and presiding in prescribed matters under specified court rule</w:t>
      </w:r>
      <w:r w:rsidRPr="00CC74A8">
        <w:t>s and practice.</w:t>
      </w:r>
    </w:p>
    <w:p w:rsidR="00000000" w:rsidRPr="00CC74A8" w:rsidP="00CC2CEE">
      <w:pPr>
        <w:pStyle w:val="BodyText"/>
      </w:pPr>
      <w:r w:rsidRPr="00CC74A8">
        <w:t>This unit applies to those working as court officials within the court system operating under procedures set by the court.</w:t>
      </w:r>
    </w:p>
    <w:p w:rsidR="00000000" w:rsidRPr="00CC74A8" w:rsidP="00CC2CEE">
      <w:pPr>
        <w:pStyle w:val="BodyText"/>
      </w:pPr>
      <w:r w:rsidRPr="00CC74A8">
        <w:t>The skills and knowledge described in this unit must be applied within the legislative, regulatory and policy envir</w:t>
      </w:r>
      <w:r w:rsidRPr="00CC74A8">
        <w:t>onment in which they are carried out. Organisational policies and procedures must be consulted and adhered to, particularly those set by the court.</w:t>
      </w:r>
    </w:p>
    <w:p w:rsidR="00000000" w:rsidRPr="00CC74A8" w:rsidP="00CC2CEE">
      <w:pPr>
        <w:pStyle w:val="BodyText"/>
      </w:pPr>
      <w:r w:rsidRPr="00CC74A8">
        <w:t>Those undertaking this unit would generally work independently with supervisory responsibilities. They woul</w:t>
      </w:r>
      <w:r w:rsidRPr="00CC74A8">
        <w:t>d perform complex tasks in a range of familiar and unfamiliar contexts.</w:t>
      </w:r>
    </w:p>
    <w:p w:rsidR="00CC2CEE" w:rsidP="00CC2CEE">
      <w:pPr>
        <w:pStyle w:val="BodyText"/>
      </w:pPr>
      <w:r w:rsidRPr="00CC74A8">
        <w:t>No licensing, legislative or certification requirements apply to unit at the time of publication.</w:t>
      </w:r>
    </w:p>
    <w:p w:rsidR="00000000" w:rsidRPr="00CC74A8" w:rsidP="00CC74A8">
      <w:pPr>
        <w:pStyle w:val="Heading1"/>
      </w:pPr>
      <w:bookmarkStart w:id="3" w:name="O_814854"/>
      <w:bookmarkEnd w:id="3"/>
      <w:r w:rsidRPr="00CC74A8">
        <w:t>Competency Field</w:t>
      </w:r>
    </w:p>
    <w:p w:rsidR="00000000" w:rsidRPr="00CC74A8" w:rsidP="00CC2CEE">
      <w:pPr>
        <w:pStyle w:val="BodyText"/>
      </w:pPr>
      <w:r w:rsidRPr="00CC74A8">
        <w:t>Courts</w:t>
      </w:r>
    </w:p>
    <w:p w:rsidR="00000000" w:rsidRPr="00CC74A8" w:rsidP="00CC74A8">
      <w:pPr>
        <w:pStyle w:val="Heading1"/>
      </w:pPr>
      <w:bookmarkStart w:id="4" w:name="O_814856"/>
      <w:bookmarkEnd w:id="4"/>
      <w:r w:rsidRPr="00CC74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C7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A8">
            <w:pPr>
              <w:pStyle w:val="TableHeading"/>
              <w:rPr>
                <w:lang w:val="en-NZ"/>
              </w:rPr>
            </w:pPr>
            <w:r w:rsidRPr="00CC74A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A8">
            <w:pPr>
              <w:pStyle w:val="TableHeading"/>
              <w:rPr>
                <w:lang w:val="en-NZ"/>
              </w:rPr>
            </w:pPr>
            <w:r w:rsidRPr="00CC74A8">
              <w:t>PERFORMANCE CRITERIA</w:t>
            </w:r>
          </w:p>
        </w:tc>
      </w:tr>
      <w:tr w:rsidTr="00CC7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A8">
            <w:pPr>
              <w:pStyle w:val="BodyText"/>
              <w:rPr>
                <w:lang w:val="en-NZ"/>
              </w:rPr>
            </w:pPr>
            <w:r w:rsidRPr="00CC74A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A8">
            <w:pPr>
              <w:pStyle w:val="BodyText"/>
              <w:rPr>
                <w:lang w:val="en-NZ"/>
              </w:rPr>
            </w:pPr>
            <w:r w:rsidRPr="00CC74A8">
              <w:t>Performance criteria describe the performance needed to demonstrate achievement of the element. Where bold italicised text is used, further informatio</w:t>
            </w:r>
            <w:r w:rsidRPr="00CC74A8">
              <w:t>n is detailed in the range of conditions section.</w:t>
            </w:r>
          </w:p>
        </w:tc>
      </w:tr>
      <w:tr w:rsidTr="00CC7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A8">
            <w:pPr>
              <w:pStyle w:val="List"/>
              <w:rPr>
                <w:lang w:val="en-NZ"/>
              </w:rPr>
            </w:pPr>
            <w:r w:rsidRPr="00CC74A8">
              <w:rPr>
                <w:rStyle w:val="SpecialBold"/>
              </w:rPr>
              <w:t>1.</w:t>
            </w:r>
            <w:r w:rsidRPr="00CC74A8">
              <w:rPr>
                <w:rStyle w:val="SpecialBold"/>
              </w:rPr>
              <w:tab/>
              <w:t>Provide information and options on rules and legislation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A8" w:rsidP="00CC74A8">
            <w:pPr>
              <w:pStyle w:val="List"/>
            </w:pPr>
            <w:r w:rsidRPr="00CC74A8">
              <w:t>1.1</w:t>
            </w:r>
            <w:r w:rsidRPr="00CC74A8">
              <w:tab/>
              <w:t>Provide interpretation of rules and legislation in the context of specific and general practice and procedure.</w:t>
            </w:r>
          </w:p>
          <w:p w:rsidR="00000000" w:rsidRPr="00CC74A8" w:rsidP="00CC74A8">
            <w:pPr>
              <w:pStyle w:val="List"/>
            </w:pPr>
            <w:r w:rsidRPr="00CC74A8">
              <w:t>1.2</w:t>
            </w:r>
            <w:r w:rsidRPr="00CC74A8">
              <w:tab/>
              <w:t xml:space="preserve">Assess severity of urgent </w:t>
            </w:r>
            <w:r w:rsidRPr="00CC74A8">
              <w:t>matters and determine course of procedure.</w:t>
            </w:r>
          </w:p>
          <w:p w:rsidR="00000000" w:rsidP="00CC74A8">
            <w:pPr>
              <w:pStyle w:val="List"/>
              <w:rPr>
                <w:lang w:val="en-NZ"/>
              </w:rPr>
            </w:pPr>
            <w:r w:rsidRPr="00CC74A8">
              <w:t>1.3</w:t>
            </w:r>
            <w:r w:rsidRPr="00CC74A8">
              <w:tab/>
              <w:t>Determine intent of legislation and provide advice.</w:t>
            </w:r>
          </w:p>
        </w:tc>
      </w:tr>
      <w:tr w:rsidTr="00CC7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A8">
            <w:pPr>
              <w:pStyle w:val="List"/>
              <w:rPr>
                <w:lang w:val="en-NZ"/>
              </w:rPr>
            </w:pPr>
            <w:r w:rsidRPr="00CC74A8">
              <w:rPr>
                <w:rStyle w:val="SpecialBold"/>
              </w:rPr>
              <w:t>2.</w:t>
            </w:r>
            <w:r w:rsidRPr="00CC74A8">
              <w:rPr>
                <w:rStyle w:val="SpecialBold"/>
              </w:rPr>
              <w:tab/>
              <w:t>Settle orders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A8" w:rsidP="00CC74A8">
            <w:pPr>
              <w:pStyle w:val="List"/>
            </w:pPr>
            <w:r w:rsidRPr="00CC74A8">
              <w:t>2.1</w:t>
            </w:r>
            <w:r w:rsidRPr="00CC74A8">
              <w:tab/>
              <w:t>Interpret and amend draft orders according to record of outcome.</w:t>
            </w:r>
          </w:p>
          <w:p w:rsidR="00000000" w:rsidRPr="00CC74A8" w:rsidP="00CC74A8">
            <w:pPr>
              <w:pStyle w:val="List"/>
            </w:pPr>
            <w:r w:rsidRPr="00CC74A8">
              <w:t>2.2</w:t>
            </w:r>
            <w:r w:rsidRPr="00CC74A8">
              <w:tab/>
              <w:t>Liaise with legal representatives, judicial officers and associate</w:t>
            </w:r>
            <w:r w:rsidRPr="00CC74A8">
              <w:t>s regarding discrepancies in interpretation of the orders made.</w:t>
            </w:r>
          </w:p>
          <w:p w:rsidR="00000000" w:rsidRPr="00CC74A8" w:rsidP="00CC74A8">
            <w:pPr>
              <w:pStyle w:val="List"/>
            </w:pPr>
            <w:r w:rsidRPr="00CC74A8">
              <w:t>2.3</w:t>
            </w:r>
            <w:r w:rsidRPr="00CC74A8">
              <w:tab/>
              <w:t>Prepare final orders made at hearings.</w:t>
            </w:r>
          </w:p>
          <w:p w:rsidR="00000000" w:rsidP="00CC74A8">
            <w:pPr>
              <w:pStyle w:val="List"/>
              <w:rPr>
                <w:lang w:val="en-NZ"/>
              </w:rPr>
            </w:pPr>
            <w:r w:rsidRPr="00CC74A8">
              <w:t>2.4</w:t>
            </w:r>
            <w:r w:rsidRPr="00CC74A8">
              <w:tab/>
              <w:t>Sign and seal completed orders and settle cases.</w:t>
            </w:r>
          </w:p>
        </w:tc>
      </w:tr>
      <w:tr w:rsidTr="00CC7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A8">
            <w:pPr>
              <w:pStyle w:val="List"/>
              <w:rPr>
                <w:lang w:val="en-NZ"/>
              </w:rPr>
            </w:pPr>
            <w:r w:rsidRPr="00CC74A8">
              <w:rPr>
                <w:rStyle w:val="SpecialBold"/>
              </w:rPr>
              <w:t>3.</w:t>
            </w:r>
            <w:r w:rsidRPr="00CC74A8">
              <w:rPr>
                <w:rStyle w:val="SpecialBold"/>
              </w:rPr>
              <w:tab/>
              <w:t>Preside in prescribed matters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A8" w:rsidP="00CC74A8">
            <w:pPr>
              <w:pStyle w:val="List"/>
            </w:pPr>
            <w:r w:rsidRPr="00CC74A8">
              <w:t>3.1</w:t>
            </w:r>
            <w:r w:rsidRPr="00CC74A8">
              <w:tab/>
            </w:r>
            <w:r w:rsidRPr="00CC74A8">
              <w:t>Assess case flow requirements in accordance with legislation, rules, court load, natural justice and defined criteria to ensure that matters proceed in line with timeframes and guidelines of case-flow management.</w:t>
            </w:r>
          </w:p>
          <w:p w:rsidR="00000000" w:rsidRPr="00CC74A8" w:rsidP="00CC74A8">
            <w:pPr>
              <w:pStyle w:val="List"/>
            </w:pPr>
            <w:r w:rsidRPr="00CC74A8">
              <w:t>3.2</w:t>
            </w:r>
            <w:r w:rsidRPr="00CC74A8">
              <w:tab/>
              <w:t>Facilitate discussion to explain the re</w:t>
            </w:r>
            <w:r w:rsidRPr="00CC74A8">
              <w:t>ason for a hearing and to achieve settlement of the matter between the parties.</w:t>
            </w:r>
          </w:p>
          <w:p w:rsidR="00000000" w:rsidRPr="00CC74A8" w:rsidP="00CC74A8">
            <w:pPr>
              <w:pStyle w:val="List"/>
            </w:pPr>
            <w:r w:rsidRPr="00CC74A8">
              <w:t>3.3</w:t>
            </w:r>
            <w:r w:rsidRPr="00CC74A8">
              <w:tab/>
              <w:t>Confirm issues and discuss options providing direction and guidance to the parties.</w:t>
            </w:r>
          </w:p>
          <w:p w:rsidR="00000000" w:rsidRPr="00CC74A8" w:rsidP="00CC74A8">
            <w:pPr>
              <w:pStyle w:val="List"/>
            </w:pPr>
            <w:r w:rsidRPr="00CC74A8">
              <w:t>3.4</w:t>
            </w:r>
            <w:r w:rsidRPr="00CC74A8">
              <w:tab/>
              <w:t>Make decisions or orders to settle the matter and ensure a fair and equitable outcom</w:t>
            </w:r>
            <w:r w:rsidRPr="00CC74A8">
              <w:t>e in accordance with the principles of natural justice.</w:t>
            </w:r>
          </w:p>
          <w:p w:rsidR="00000000" w:rsidRPr="00CC74A8" w:rsidP="00CC74A8">
            <w:pPr>
              <w:pStyle w:val="List"/>
            </w:pPr>
            <w:r w:rsidRPr="00CC74A8">
              <w:t>3.5</w:t>
            </w:r>
            <w:r w:rsidRPr="00CC74A8">
              <w:tab/>
              <w:t>Expedite listing and hearing for matters proceeding to further hearing.</w:t>
            </w:r>
          </w:p>
        </w:tc>
      </w:tr>
    </w:tbl>
    <w:p w:rsidR="00000000" w:rsidRPr="00CC74A8" w:rsidP="00CC74A8">
      <w:pPr>
        <w:pStyle w:val="BodyText"/>
      </w:pPr>
    </w:p>
    <w:p w:rsidR="00000000" w:rsidRPr="00CC74A8" w:rsidP="00CC74A8">
      <w:pPr>
        <w:pStyle w:val="AllowPageBreak"/>
      </w:pPr>
    </w:p>
    <w:p w:rsidR="00000000" w:rsidRPr="00CC74A8" w:rsidP="00CC74A8">
      <w:pPr>
        <w:pStyle w:val="Heading1"/>
      </w:pPr>
      <w:bookmarkStart w:id="5" w:name="O_814857"/>
      <w:bookmarkEnd w:id="5"/>
      <w:r w:rsidRPr="00CC74A8">
        <w:t>Foundation Skills</w:t>
      </w:r>
    </w:p>
    <w:p w:rsidR="00000000" w:rsidRPr="00CC74A8" w:rsidP="00CC2CEE">
      <w:pPr>
        <w:pStyle w:val="BodyText"/>
      </w:pPr>
      <w:r w:rsidRPr="00CC74A8">
        <w:t>The foundation skills demands of this unit have been mapped for alignment with the Aust</w:t>
      </w:r>
      <w:r w:rsidRPr="00CC74A8">
        <w:t>ralian Core Skills Framework (ACSF). The following tables outline the performance levels indicated for successful attainment of the unit.</w:t>
      </w:r>
    </w:p>
    <w:p w:rsidR="00000000" w:rsidRPr="00CC74A8" w:rsidP="00CC74A8">
      <w:pPr>
        <w:pStyle w:val="BodyText"/>
        <w:keepNext/>
      </w:pPr>
    </w:p>
    <w:p w:rsidR="00000000" w:rsidRPr="00CC74A8" w:rsidP="00CC74A8">
      <w:pPr>
        <w:pStyle w:val="BodyText"/>
      </w:pPr>
      <w:bookmarkStart w:id="6" w:name="O_83551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6pt;width:467.25pt">
            <v:imagedata r:id="rId10" o:title=""/>
          </v:shape>
        </w:pict>
      </w:r>
      <w:bookmarkEnd w:id="6"/>
    </w:p>
    <w:p w:rsidR="00000000" w:rsidRPr="00CC74A8" w:rsidP="00CC2CEE">
      <w:pPr>
        <w:pStyle w:val="BodyText"/>
      </w:pPr>
      <w:r w:rsidRPr="00CC74A8">
        <w:t>Further information on ACSF and the foundation skills underpinning this unit can be found in the Foundation Skills Guide on the GSA website.</w:t>
      </w:r>
    </w:p>
    <w:p w:rsidR="00000000" w:rsidRPr="00CC74A8" w:rsidP="00CC74A8">
      <w:pPr>
        <w:pStyle w:val="Heading1"/>
      </w:pPr>
      <w:bookmarkStart w:id="7" w:name="O_814859"/>
      <w:bookmarkEnd w:id="7"/>
      <w:r w:rsidRPr="00CC74A8">
        <w:t>Unit Mapping Information</w:t>
      </w:r>
    </w:p>
    <w:p w:rsidR="00000000" w:rsidRPr="00CC74A8" w:rsidP="00CC2CEE">
      <w:pPr>
        <w:pStyle w:val="BodyText"/>
      </w:pPr>
      <w:r w:rsidRPr="00CC74A8">
        <w:t>This unit supersedes and is equivalent to PSPCRT506B Perfor</w:t>
      </w:r>
      <w:r w:rsidRPr="00CC74A8">
        <w:t>m quasi-judicial functions.</w:t>
      </w:r>
    </w:p>
    <w:p w:rsidR="00000000" w:rsidRPr="00CC74A8" w:rsidP="00CC74A8">
      <w:pPr>
        <w:pStyle w:val="Heading1"/>
      </w:pPr>
      <w:bookmarkStart w:id="8" w:name="O_814866"/>
      <w:bookmarkEnd w:id="8"/>
      <w:r w:rsidRPr="00CC74A8">
        <w:t>Links</w:t>
      </w:r>
    </w:p>
    <w:p w:rsidR="00000000" w:rsidRPr="00CC74A8" w:rsidP="00CC2CEE">
      <w:pPr>
        <w:pStyle w:val="BodyText"/>
      </w:pPr>
      <w:r w:rsidRPr="00CC74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11C2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C74A8" w:rsidP="00CC2CEE">
      <w:pPr>
        <w:pStyle w:val="BodyText"/>
      </w:pPr>
      <w:r w:rsidRPr="00CC74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11C2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C74A8" w:rsidP="00CC2CEE">
      <w:pPr>
        <w:pStyle w:val="BodyText"/>
      </w:pPr>
      <w:r w:rsidRPr="00CC74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11C2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C74A8" w:rsidP="00CC2CEE">
      <w:pPr>
        <w:pStyle w:val="BodyText"/>
      </w:pPr>
      <w:r w:rsidRPr="00CC74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11C2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C74A8" w:rsidP="00CC74A8"/>
    <w:sectPr w:rsidSect="00CC74A8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A8" w:rsidRPr="00CC2CEE" w:rsidP="00CC2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EE" w:rsidP="00CC7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CEE" w:rsidP="00CC7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2CEE" w:rsidP="00CC7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4A8" w:rsidRPr="00CC2CEE" w:rsidP="00CC2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EE" w:rsidRPr="002D2AF8" w:rsidP="00CC7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PSPCRT023 Perform quasi-judicial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C2CEE" w:rsidP="00CC7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147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4E1B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4A8"/>
  </w:style>
  <w:style w:type="character" w:customStyle="1" w:styleId="Heading1Char">
    <w:name w:val="Heading 1 Char"/>
    <w:basedOn w:val="DefaultParagraphFont"/>
    <w:link w:val="Heading1"/>
    <w:rsid w:val="00CC7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4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74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74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4A8"/>
    <w:rPr>
      <w:b/>
      <w:spacing w:val="0"/>
    </w:rPr>
  </w:style>
  <w:style w:type="paragraph" w:customStyle="1" w:styleId="SuperHeading">
    <w:name w:val="SuperHeading"/>
    <w:basedOn w:val="Normal"/>
    <w:rsid w:val="00CC7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74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7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4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4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7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4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4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4A8"/>
    <w:rPr>
      <w:i/>
    </w:rPr>
  </w:style>
  <w:style w:type="paragraph" w:styleId="Caption">
    <w:name w:val="caption"/>
    <w:basedOn w:val="BodyText"/>
    <w:next w:val="Normal"/>
    <w:qFormat/>
    <w:rsid w:val="00CC7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4A8"/>
  </w:style>
  <w:style w:type="paragraph" w:styleId="TableofFigures">
    <w:name w:val="table of figures"/>
    <w:basedOn w:val="Normal"/>
    <w:next w:val="Normal"/>
    <w:semiHidden/>
    <w:rsid w:val="00CC7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4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74A8"/>
    <w:rPr>
      <w:rFonts w:ascii="Wingdings" w:hAnsi="Wingdings"/>
    </w:rPr>
  </w:style>
  <w:style w:type="character" w:customStyle="1" w:styleId="HotSpot">
    <w:name w:val="HotSpot"/>
    <w:rsid w:val="00CC74A8"/>
    <w:rPr>
      <w:color w:val="0033CC"/>
      <w:u w:val="none"/>
    </w:rPr>
  </w:style>
  <w:style w:type="paragraph" w:customStyle="1" w:styleId="BodyTextRight">
    <w:name w:val="Body Text Right"/>
    <w:basedOn w:val="BodyText"/>
    <w:rsid w:val="00CC7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4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4A8"/>
    <w:rPr>
      <w:sz w:val="32"/>
    </w:rPr>
  </w:style>
  <w:style w:type="paragraph" w:customStyle="1" w:styleId="HeadingProcedure">
    <w:name w:val="Heading Procedure"/>
    <w:basedOn w:val="HeadingBase"/>
    <w:next w:val="Normal"/>
    <w:rsid w:val="00CC7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4A8"/>
    <w:pPr>
      <w:spacing w:before="60" w:after="60"/>
    </w:pPr>
  </w:style>
  <w:style w:type="paragraph" w:styleId="ListContinue">
    <w:name w:val="List Continue"/>
    <w:basedOn w:val="List"/>
    <w:rsid w:val="00CC74A8"/>
    <w:pPr>
      <w:ind w:firstLine="0"/>
    </w:pPr>
  </w:style>
  <w:style w:type="paragraph" w:customStyle="1" w:styleId="ListNote">
    <w:name w:val="List Note"/>
    <w:basedOn w:val="List"/>
    <w:rsid w:val="00CC7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4A8"/>
    <w:rPr>
      <w:rFonts w:ascii="Courier New" w:hAnsi="Courier New"/>
    </w:rPr>
  </w:style>
  <w:style w:type="paragraph" w:customStyle="1" w:styleId="NoteBullet">
    <w:name w:val="Note Bullet"/>
    <w:basedOn w:val="Note"/>
    <w:rsid w:val="00CC7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4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7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4A8"/>
    <w:rPr>
      <w:b/>
      <w:smallCaps/>
    </w:rPr>
  </w:style>
  <w:style w:type="paragraph" w:customStyle="1" w:styleId="TableListNumber">
    <w:name w:val="Table List Number"/>
    <w:basedOn w:val="ListNumber"/>
    <w:rsid w:val="00CC7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4A8"/>
    <w:pPr>
      <w:numPr>
        <w:numId w:val="8"/>
      </w:numPr>
    </w:pPr>
  </w:style>
  <w:style w:type="paragraph" w:customStyle="1" w:styleId="ListAlpha2">
    <w:name w:val="List Alpha 2"/>
    <w:basedOn w:val="List2"/>
    <w:rsid w:val="00CC74A8"/>
    <w:pPr>
      <w:numPr>
        <w:numId w:val="7"/>
      </w:numPr>
    </w:pPr>
  </w:style>
  <w:style w:type="paragraph" w:styleId="List2">
    <w:name w:val="List 2"/>
    <w:basedOn w:val="BodyText"/>
    <w:rsid w:val="00CC7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4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4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4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74A8"/>
    <w:pPr>
      <w:numPr>
        <w:numId w:val="3"/>
      </w:numPr>
    </w:pPr>
  </w:style>
  <w:style w:type="paragraph" w:styleId="ListContinue2">
    <w:name w:val="List Continue 2"/>
    <w:basedOn w:val="List2"/>
    <w:rsid w:val="00CC74A8"/>
    <w:pPr>
      <w:ind w:firstLine="0"/>
    </w:pPr>
  </w:style>
  <w:style w:type="paragraph" w:styleId="ListContinue3">
    <w:name w:val="List Continue 3"/>
    <w:basedOn w:val="List3"/>
    <w:rsid w:val="00CC74A8"/>
    <w:pPr>
      <w:ind w:left="1021" w:firstLine="0"/>
    </w:pPr>
  </w:style>
  <w:style w:type="paragraph" w:styleId="ListContinue4">
    <w:name w:val="List Continue 4"/>
    <w:basedOn w:val="List4"/>
    <w:rsid w:val="00CC74A8"/>
    <w:pPr>
      <w:ind w:firstLine="0"/>
    </w:pPr>
  </w:style>
  <w:style w:type="paragraph" w:styleId="ListContinue5">
    <w:name w:val="List Continue 5"/>
    <w:basedOn w:val="List5"/>
    <w:rsid w:val="00CC74A8"/>
    <w:pPr>
      <w:ind w:firstLine="0"/>
    </w:pPr>
  </w:style>
  <w:style w:type="paragraph" w:styleId="ListNumber3">
    <w:name w:val="List Number 3"/>
    <w:basedOn w:val="List3"/>
    <w:rsid w:val="00CC74A8"/>
    <w:pPr>
      <w:numPr>
        <w:numId w:val="4"/>
      </w:numPr>
    </w:pPr>
  </w:style>
  <w:style w:type="paragraph" w:styleId="ListNumber4">
    <w:name w:val="List Number 4"/>
    <w:basedOn w:val="List4"/>
    <w:rsid w:val="00CC74A8"/>
    <w:pPr>
      <w:numPr>
        <w:numId w:val="5"/>
      </w:numPr>
    </w:pPr>
  </w:style>
  <w:style w:type="paragraph" w:styleId="ListNumber5">
    <w:name w:val="List Number 5"/>
    <w:basedOn w:val="List5"/>
    <w:rsid w:val="00CC74A8"/>
    <w:pPr>
      <w:numPr>
        <w:numId w:val="6"/>
      </w:numPr>
    </w:pPr>
  </w:style>
  <w:style w:type="paragraph" w:styleId="BlockText">
    <w:name w:val="Block Text"/>
    <w:basedOn w:val="Normal"/>
    <w:rsid w:val="00CC7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4A8"/>
    <w:rPr>
      <w:sz w:val="16"/>
      <w:vertAlign w:val="superscript"/>
    </w:rPr>
  </w:style>
  <w:style w:type="character" w:customStyle="1" w:styleId="Symbols">
    <w:name w:val="Symbols"/>
    <w:basedOn w:val="DefaultParagraphFont"/>
    <w:rsid w:val="00CC74A8"/>
    <w:rPr>
      <w:rFonts w:ascii="Symbol" w:hAnsi="Symbol"/>
    </w:rPr>
  </w:style>
  <w:style w:type="character" w:customStyle="1" w:styleId="MenuOptions">
    <w:name w:val="Menu Options"/>
    <w:basedOn w:val="DefaultParagraphFont"/>
    <w:rsid w:val="00CC7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4A8"/>
    <w:rPr>
      <w:b/>
    </w:rPr>
  </w:style>
  <w:style w:type="character" w:customStyle="1" w:styleId="Underlined">
    <w:name w:val="Underlined"/>
    <w:basedOn w:val="DefaultParagraphFont"/>
    <w:rsid w:val="00CC74A8"/>
    <w:rPr>
      <w:u w:val="single"/>
    </w:rPr>
  </w:style>
  <w:style w:type="paragraph" w:customStyle="1" w:styleId="TableBodyTextRight">
    <w:name w:val="Table Body Text Right"/>
    <w:basedOn w:val="TableBodyText"/>
    <w:rsid w:val="00CC7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4A8"/>
    <w:rPr>
      <w:sz w:val="18"/>
    </w:rPr>
  </w:style>
  <w:style w:type="paragraph" w:customStyle="1" w:styleId="BodySmallRight">
    <w:name w:val="Body Small Right"/>
    <w:basedOn w:val="BodyTextRight"/>
    <w:rsid w:val="00CC74A8"/>
    <w:rPr>
      <w:sz w:val="18"/>
      <w:szCs w:val="18"/>
    </w:rPr>
  </w:style>
  <w:style w:type="paragraph" w:customStyle="1" w:styleId="MarginEdition">
    <w:name w:val="Margin Edition"/>
    <w:basedOn w:val="MarginNote"/>
    <w:rsid w:val="00CC7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4A8"/>
    <w:rPr>
      <w:sz w:val="2"/>
      <w:szCs w:val="2"/>
    </w:rPr>
  </w:style>
  <w:style w:type="character" w:customStyle="1" w:styleId="Small">
    <w:name w:val="Small"/>
    <w:basedOn w:val="DefaultParagraphFont"/>
    <w:rsid w:val="00CC74A8"/>
    <w:rPr>
      <w:sz w:val="16"/>
    </w:rPr>
  </w:style>
  <w:style w:type="paragraph" w:customStyle="1" w:styleId="WideTable">
    <w:name w:val="Wide Table"/>
    <w:basedOn w:val="Normal"/>
    <w:rsid w:val="00CC7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4A8"/>
  </w:style>
  <w:style w:type="paragraph" w:styleId="Quote">
    <w:name w:val="Quote"/>
    <w:basedOn w:val="Heading1"/>
    <w:link w:val="QuoteChar"/>
    <w:qFormat/>
    <w:rsid w:val="00CC7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4A8"/>
    <w:pPr>
      <w:pageBreakBefore/>
    </w:pPr>
  </w:style>
  <w:style w:type="paragraph" w:customStyle="1" w:styleId="Border">
    <w:name w:val="Border"/>
    <w:basedOn w:val="Normal"/>
    <w:qFormat/>
    <w:rsid w:val="00CC7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4A8"/>
    <w:rPr>
      <w:u w:val="single"/>
    </w:rPr>
  </w:style>
  <w:style w:type="character" w:customStyle="1" w:styleId="BoldandItalics">
    <w:name w:val="Bold and Italics"/>
    <w:qFormat/>
    <w:rsid w:val="00CC74A8"/>
    <w:rPr>
      <w:b/>
      <w:i/>
      <w:u w:val="none"/>
    </w:rPr>
  </w:style>
  <w:style w:type="paragraph" w:styleId="BalloonText">
    <w:name w:val="Balloon Text"/>
    <w:basedOn w:val="Normal"/>
    <w:link w:val="BalloonTextChar"/>
    <w:rsid w:val="00CC7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4A8"/>
    <w:pPr>
      <w:spacing w:before="0" w:after="0"/>
    </w:pPr>
  </w:style>
  <w:style w:type="paragraph" w:customStyle="1" w:styleId="BodyTextBold">
    <w:name w:val="Body Text Bold"/>
    <w:basedOn w:val="BodyText"/>
    <w:qFormat/>
    <w:rsid w:val="00CC74A8"/>
    <w:rPr>
      <w:b/>
    </w:rPr>
  </w:style>
  <w:style w:type="character" w:styleId="Hyperlink">
    <w:name w:val="Hyperlink"/>
    <w:basedOn w:val="DefaultParagraphFont"/>
    <w:uiPriority w:val="99"/>
    <w:unhideWhenUsed/>
    <w:rsid w:val="00CC2C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4033</Characters>
  <Application>Microsoft Office Word</Application>
  <DocSecurity>0</DocSecurity>
  <Lines>118</Lines>
  <Paragraphs>65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PSPCRT023 Perform quasi-judicial functions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2022-11-21T09:05:00Z</dcterms:created>
  <dcterms:modified xsi:type="dcterms:W3CDTF">2022-11-21T09:05:00Z</dcterms:modified>
</cp:coreProperties>
</file>