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F01" w:rsidP="00F04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PSPCRT017 Provide support to self-represented litigants</w:t>
      </w:r>
      <w:r>
        <w:fldChar w:fldCharType="end"/>
      </w:r>
    </w:p>
    <w:p w:rsidR="00F04F01" w:rsidP="00F04F01">
      <w:pPr>
        <w:pStyle w:val="Version"/>
        <w:sectPr w:rsidSect="00BB2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EBB" w:rsidP="00BB2EBB">
      <w:pPr>
        <w:pStyle w:val="SuperHeading"/>
      </w:pPr>
      <w:r w:rsidRPr="00BB2EBB">
        <w:t>PSPCRT017 Provide support to self-represented litigants</w:t>
      </w:r>
    </w:p>
    <w:p w:rsidR="00000000" w:rsidRPr="00BB2EBB" w:rsidP="00BB2EBB">
      <w:pPr>
        <w:pStyle w:val="Heading1"/>
      </w:pPr>
      <w:bookmarkStart w:id="1" w:name="O_814642"/>
      <w:bookmarkEnd w:id="1"/>
      <w:r w:rsidRPr="00BB2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TableHeading"/>
              <w:rPr>
                <w:lang w:val="en-NZ"/>
              </w:rPr>
            </w:pPr>
            <w:r w:rsidRPr="00BB2EB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TableHeading"/>
              <w:rPr>
                <w:lang w:val="en-NZ"/>
              </w:rPr>
            </w:pPr>
            <w:r w:rsidRPr="00BB2EBB">
              <w:t>Comments</w:t>
            </w:r>
          </w:p>
        </w:tc>
      </w:tr>
      <w:tr w:rsidTr="00F0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BodyText"/>
              <w:rPr>
                <w:lang w:val="en-NZ"/>
              </w:rPr>
            </w:pPr>
            <w:r w:rsidRPr="00BB2EB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BB" w:rsidP="00BB2EBB">
            <w:pPr>
              <w:pStyle w:val="BodyText"/>
            </w:pPr>
            <w:r w:rsidRPr="00BB2EBB">
              <w:t xml:space="preserve">This unit was released in PSP Public Sector Training Package release 1.0 and meets the Standards for Training Packages. </w:t>
            </w:r>
          </w:p>
          <w:p w:rsidR="00000000" w:rsidRPr="00BB2EBB" w:rsidP="00BB2EBB">
            <w:pPr>
              <w:pStyle w:val="BodyText"/>
            </w:pPr>
          </w:p>
          <w:p w:rsidR="00000000" w:rsidRPr="00BB2EBB" w:rsidP="00BB2EBB">
            <w:pPr>
              <w:pStyle w:val="BodyText"/>
            </w:pPr>
            <w:r w:rsidRPr="00BB2EBB">
              <w:t>This unit supersedes and is equivalent to PSPCRT416A Provide support to self</w:t>
            </w:r>
            <w:r w:rsidRPr="00BB2EBB">
              <w:noBreakHyphen/>
            </w:r>
            <w:r w:rsidRPr="00BB2EBB">
              <w:t>represented litigants.</w:t>
            </w:r>
          </w:p>
          <w:p w:rsidR="00000000" w:rsidRPr="00BB2EBB" w:rsidP="00BB2EBB">
            <w:pPr>
              <w:pStyle w:val="BodyText"/>
            </w:pPr>
          </w:p>
          <w:p w:rsidR="00000000" w:rsidRPr="00BB2EBB" w:rsidP="00BB2EBB">
            <w:pPr>
              <w:pStyle w:val="ListBullet"/>
            </w:pPr>
            <w:r w:rsidRPr="00BB2EBB">
              <w:t>Unit code updated</w:t>
            </w:r>
          </w:p>
          <w:p w:rsidR="00000000" w:rsidRPr="00BB2EBB" w:rsidP="00BB2EBB">
            <w:pPr>
              <w:pStyle w:val="ListBullet"/>
            </w:pPr>
            <w:r w:rsidRPr="00BB2EBB">
              <w:t>Content and formatting updated to comply with new standards</w:t>
            </w:r>
          </w:p>
          <w:p w:rsidR="00000000" w:rsidRPr="00BB2EBB" w:rsidP="00BB2EBB">
            <w:pPr>
              <w:pStyle w:val="ListBullet"/>
            </w:pPr>
            <w:r w:rsidRPr="00BB2EBB">
              <w:t>All PC transitioned from passive to active voice</w:t>
            </w:r>
          </w:p>
          <w:p w:rsidR="00000000" w:rsidRPr="00BB2EBB" w:rsidP="00BB2EBB">
            <w:pPr>
              <w:pStyle w:val="ListBullet"/>
            </w:pPr>
            <w:r w:rsidRPr="00BB2EBB">
              <w:t>PC 1.2, 2.2, 3.1 removed</w:t>
            </w:r>
          </w:p>
        </w:tc>
      </w:tr>
    </w:tbl>
    <w:p w:rsidR="00000000" w:rsidRPr="00BB2EBB" w:rsidP="00BB2EBB">
      <w:pPr>
        <w:pStyle w:val="BodyText"/>
      </w:pPr>
    </w:p>
    <w:p w:rsidR="00000000" w:rsidRPr="00BB2EBB" w:rsidP="00BB2EBB">
      <w:pPr>
        <w:pStyle w:val="AllowPageBreak"/>
      </w:pPr>
    </w:p>
    <w:p w:rsidR="00000000" w:rsidRPr="00BB2EBB" w:rsidP="00BB2EBB">
      <w:pPr>
        <w:pStyle w:val="Heading1"/>
      </w:pPr>
      <w:bookmarkStart w:id="2" w:name="O_814643"/>
      <w:bookmarkEnd w:id="2"/>
      <w:r w:rsidRPr="00BB2EBB">
        <w:t>Application</w:t>
      </w:r>
    </w:p>
    <w:p w:rsidR="00000000" w:rsidRPr="00BB2EBB" w:rsidP="00F04F01">
      <w:pPr>
        <w:pStyle w:val="BodyText"/>
      </w:pPr>
      <w:r w:rsidRPr="00BB2EBB">
        <w:t>This unit describes the skills required to support and assist self-represented litigants. It involves identifying the specific needs of the self-represented litigant and delivering appropriate support, information and referral.</w:t>
      </w:r>
    </w:p>
    <w:p w:rsidR="00000000" w:rsidRPr="00BB2EBB" w:rsidP="00F04F01">
      <w:pPr>
        <w:pStyle w:val="BodyText"/>
      </w:pPr>
      <w:r w:rsidRPr="00BB2EBB">
        <w:t xml:space="preserve">This unit applies to those </w:t>
      </w:r>
      <w:r w:rsidRPr="00BB2EBB">
        <w:t>working within the court system operating under procedures set by the court. Support must be provided within area of responsibility and with authority and limits imposed by the court.</w:t>
      </w:r>
    </w:p>
    <w:p w:rsidR="00000000" w:rsidRPr="00BB2EBB" w:rsidP="00F04F01">
      <w:pPr>
        <w:pStyle w:val="BodyText"/>
      </w:pPr>
      <w:r w:rsidRPr="00BB2EBB">
        <w:t xml:space="preserve">The skills and knowledge described in this unit must be applied within </w:t>
      </w:r>
      <w:r w:rsidRPr="00BB2EBB">
        <w:t>the legislative, regulatory and policy environment in which they are carried out. Organisational policies and procedures must be consulted and adhered to, particularly those set by the court.</w:t>
      </w:r>
    </w:p>
    <w:p w:rsidR="00000000" w:rsidRPr="00BB2EBB" w:rsidP="00F04F01">
      <w:pPr>
        <w:pStyle w:val="BodyText"/>
      </w:pPr>
      <w:r w:rsidRPr="00BB2EBB">
        <w:t xml:space="preserve">Those undertaking this unit would generally work independently </w:t>
      </w:r>
      <w:r w:rsidRPr="00BB2EBB">
        <w:t>with occasional supervisory responsibilities. They would perform complex tasks in a range of familiar and unfamiliar contexts.</w:t>
      </w:r>
    </w:p>
    <w:p w:rsidR="00F04F01" w:rsidP="00F04F01">
      <w:pPr>
        <w:pStyle w:val="BodyText"/>
      </w:pPr>
      <w:r w:rsidRPr="00BB2EBB">
        <w:t>No licensing, legislative or certification requirements apply to unit at the time of publication.</w:t>
      </w:r>
    </w:p>
    <w:p w:rsidR="00000000" w:rsidRPr="00BB2EBB" w:rsidP="00BB2EBB">
      <w:pPr>
        <w:pStyle w:val="Heading1"/>
      </w:pPr>
      <w:bookmarkStart w:id="3" w:name="O_814645"/>
      <w:bookmarkEnd w:id="3"/>
      <w:r w:rsidRPr="00BB2EBB">
        <w:t>Competency Field</w:t>
      </w:r>
    </w:p>
    <w:p w:rsidR="00000000" w:rsidRPr="00BB2EBB" w:rsidP="00F04F01">
      <w:pPr>
        <w:pStyle w:val="BodyText"/>
      </w:pPr>
      <w:r w:rsidRPr="00BB2EBB">
        <w:t>Courts</w:t>
      </w:r>
    </w:p>
    <w:p w:rsidR="00000000" w:rsidRPr="00BB2EBB" w:rsidP="00BB2EBB">
      <w:pPr>
        <w:pStyle w:val="Heading1"/>
      </w:pPr>
      <w:bookmarkStart w:id="4" w:name="O_814647"/>
      <w:bookmarkEnd w:id="4"/>
      <w:r w:rsidRPr="00BB2E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TableHeading"/>
              <w:rPr>
                <w:lang w:val="en-NZ"/>
              </w:rPr>
            </w:pPr>
            <w:r w:rsidRPr="00BB2EB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TableHeading"/>
              <w:rPr>
                <w:lang w:val="en-NZ"/>
              </w:rPr>
            </w:pPr>
            <w:r w:rsidRPr="00BB2EBB">
              <w:t>PERFORMANCE CRITERIA</w:t>
            </w:r>
          </w:p>
        </w:tc>
      </w:tr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BodyText"/>
              <w:rPr>
                <w:lang w:val="en-NZ"/>
              </w:rPr>
            </w:pPr>
            <w:r w:rsidRPr="00BB2EB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BodyText"/>
              <w:rPr>
                <w:lang w:val="en-NZ"/>
              </w:rPr>
            </w:pPr>
            <w:r w:rsidRPr="00BB2EBB">
              <w:t>Performance criteria describe the performance needed to demonstrate achievement of the element. Where bold it</w:t>
            </w:r>
            <w:r w:rsidRPr="00BB2EBB">
              <w:t>alicised text is used, further information is detailed in the range of conditions section.</w:t>
            </w:r>
          </w:p>
        </w:tc>
      </w:tr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List"/>
              <w:rPr>
                <w:lang w:val="en-NZ"/>
              </w:rPr>
            </w:pPr>
            <w:r w:rsidRPr="00BB2EBB">
              <w:rPr>
                <w:rStyle w:val="SpecialBold"/>
              </w:rPr>
              <w:t>1.</w:t>
            </w:r>
            <w:r w:rsidRPr="00BB2EBB">
              <w:rPr>
                <w:rStyle w:val="SpecialBold"/>
              </w:rPr>
              <w:tab/>
              <w:t>Identify client needs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BB" w:rsidP="00BB2EBB">
            <w:pPr>
              <w:pStyle w:val="List"/>
            </w:pPr>
            <w:r w:rsidRPr="00BB2EBB">
              <w:t>1.1</w:t>
            </w:r>
            <w:r w:rsidRPr="00BB2EBB">
              <w:tab/>
              <w:t>Collect and access client information and identify client</w:t>
            </w:r>
            <w:r>
              <w:t>’</w:t>
            </w:r>
            <w:r w:rsidRPr="00BB2EBB">
              <w:t>s needs.</w:t>
            </w:r>
          </w:p>
          <w:p w:rsidR="00000000" w:rsidRPr="00BB2EBB" w:rsidP="00BB2EBB">
            <w:pPr>
              <w:pStyle w:val="List"/>
            </w:pPr>
            <w:r w:rsidRPr="00BB2EBB">
              <w:t>1.2</w:t>
            </w:r>
            <w:r w:rsidRPr="00BB2EBB">
              <w:tab/>
              <w:t>Assess information for complexity, urgency, safety risks and eli</w:t>
            </w:r>
            <w:r w:rsidRPr="00BB2EBB">
              <w:t>gibility for services.</w:t>
            </w:r>
          </w:p>
          <w:p w:rsidR="00000000" w:rsidRPr="00BB2EBB" w:rsidP="00BB2EBB">
            <w:pPr>
              <w:pStyle w:val="List"/>
            </w:pPr>
            <w:r w:rsidRPr="00BB2EBB">
              <w:t>1.3</w:t>
            </w:r>
            <w:r w:rsidRPr="00BB2EBB">
              <w:tab/>
              <w:t>Clarify problems raised by the client and seek assistance from appropriate persons to identify how best to meet client needs.</w:t>
            </w:r>
          </w:p>
          <w:p w:rsidR="00000000" w:rsidP="00BB2EBB">
            <w:pPr>
              <w:pStyle w:val="List"/>
              <w:rPr>
                <w:lang w:val="en-NZ"/>
              </w:rPr>
            </w:pPr>
            <w:r w:rsidRPr="00BB2EBB">
              <w:t>1.4</w:t>
            </w:r>
            <w:r w:rsidRPr="00BB2EBB">
              <w:tab/>
              <w:t>Share information provided by client while adhering to protocols and limitations.</w:t>
            </w:r>
          </w:p>
        </w:tc>
      </w:tr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List"/>
              <w:rPr>
                <w:lang w:val="en-NZ"/>
              </w:rPr>
            </w:pPr>
            <w:r w:rsidRPr="00BB2EBB">
              <w:rPr>
                <w:rStyle w:val="SpecialBold"/>
              </w:rPr>
              <w:t>2.</w:t>
            </w:r>
            <w:r w:rsidRPr="00BB2EBB">
              <w:rPr>
                <w:rStyle w:val="SpecialBold"/>
              </w:rPr>
              <w:tab/>
              <w:t>Provide infor</w:t>
            </w:r>
            <w:r w:rsidRPr="00BB2EBB">
              <w:rPr>
                <w:rStyle w:val="SpecialBold"/>
              </w:rPr>
              <w:t>mation and options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BB" w:rsidP="00BB2EBB">
            <w:pPr>
              <w:pStyle w:val="List"/>
            </w:pPr>
            <w:r w:rsidRPr="00BB2EBB">
              <w:t>2.1</w:t>
            </w:r>
            <w:r w:rsidRPr="00BB2EBB">
              <w:tab/>
              <w:t>Identify and communicate to the client any limitations in addressing client needs.</w:t>
            </w:r>
          </w:p>
          <w:p w:rsidR="00000000" w:rsidP="00BB2EBB">
            <w:pPr>
              <w:pStyle w:val="List"/>
              <w:rPr>
                <w:lang w:val="en-NZ"/>
              </w:rPr>
            </w:pPr>
            <w:r w:rsidRPr="00BB2EBB">
              <w:t>2.2</w:t>
            </w:r>
            <w:r w:rsidRPr="00BB2EBB">
              <w:tab/>
              <w:t>Provide appropriate referrals, including making necessary and appropriate arrangements according to client needs.</w:t>
            </w:r>
          </w:p>
        </w:tc>
      </w:tr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List"/>
              <w:rPr>
                <w:lang w:val="en-NZ"/>
              </w:rPr>
            </w:pPr>
            <w:r w:rsidRPr="00BB2EBB">
              <w:rPr>
                <w:rStyle w:val="SpecialBold"/>
              </w:rPr>
              <w:t>3.</w:t>
            </w:r>
            <w:r w:rsidRPr="00BB2EBB">
              <w:rPr>
                <w:rStyle w:val="SpecialBold"/>
              </w:rPr>
              <w:tab/>
              <w:t>Provide assistance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BB" w:rsidP="00BB2EBB">
            <w:pPr>
              <w:pStyle w:val="List"/>
            </w:pPr>
            <w:r w:rsidRPr="00BB2EBB">
              <w:t>3.1</w:t>
            </w:r>
            <w:r w:rsidRPr="00BB2EBB">
              <w:tab/>
            </w:r>
            <w:r w:rsidRPr="00BB2EBB">
              <w:t>Provide assistance to access support services and alternative procedural options.</w:t>
            </w:r>
          </w:p>
          <w:p w:rsidR="00000000" w:rsidRPr="00BB2EBB" w:rsidP="00BB2EBB">
            <w:pPr>
              <w:pStyle w:val="List"/>
            </w:pPr>
            <w:r w:rsidRPr="00BB2EBB">
              <w:t>3.2</w:t>
            </w:r>
            <w:r w:rsidRPr="00BB2EBB">
              <w:tab/>
              <w:t>Provide assistance to complete and comply with procedural requirements, including initiating matters, orders, lodging documents and appearing in court.</w:t>
            </w:r>
          </w:p>
          <w:p w:rsidR="00000000" w:rsidP="00BB2EBB">
            <w:pPr>
              <w:pStyle w:val="List"/>
              <w:rPr>
                <w:lang w:val="en-NZ"/>
              </w:rPr>
            </w:pPr>
            <w:r w:rsidRPr="00BB2EBB">
              <w:t>3.3</w:t>
            </w:r>
            <w:r w:rsidRPr="00BB2EBB">
              <w:tab/>
              <w:t>Provide assist</w:t>
            </w:r>
            <w:r w:rsidRPr="00BB2EBB">
              <w:t>ance to facilitate the case management of legal proceedings and the implementation of procedural modifications within area of responsibility and with authority and limits imposed by the court.</w:t>
            </w:r>
          </w:p>
        </w:tc>
      </w:tr>
      <w:tr w:rsidTr="00BB2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EBB">
            <w:pPr>
              <w:pStyle w:val="List"/>
              <w:rPr>
                <w:lang w:val="en-NZ"/>
              </w:rPr>
            </w:pPr>
            <w:r w:rsidRPr="00BB2EBB">
              <w:rPr>
                <w:rStyle w:val="SpecialBold"/>
              </w:rPr>
              <w:t>4.</w:t>
            </w:r>
            <w:r w:rsidRPr="00BB2EBB">
              <w:rPr>
                <w:rStyle w:val="SpecialBold"/>
              </w:rPr>
              <w:tab/>
              <w:t>Facilitate communication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EBB" w:rsidP="00BB2EBB">
            <w:pPr>
              <w:pStyle w:val="List"/>
            </w:pPr>
            <w:r w:rsidRPr="00BB2EBB">
              <w:t>4.1</w:t>
            </w:r>
            <w:r w:rsidRPr="00BB2EBB">
              <w:tab/>
              <w:t xml:space="preserve">Use appropriate interpersonal </w:t>
            </w:r>
            <w:r w:rsidRPr="00BB2EBB">
              <w:t>skills to facilitate communication between self-represented litigants and other parties.</w:t>
            </w:r>
          </w:p>
          <w:p w:rsidR="00000000" w:rsidRPr="00BB2EBB" w:rsidP="00BB2EBB">
            <w:pPr>
              <w:pStyle w:val="List"/>
            </w:pPr>
            <w:r w:rsidRPr="00BB2EBB">
              <w:t>4.2</w:t>
            </w:r>
            <w:r w:rsidRPr="00BB2EBB">
              <w:tab/>
              <w:t>Resolve difficult situations using conflict-resolution techniques and make referrals.</w:t>
            </w:r>
          </w:p>
        </w:tc>
      </w:tr>
    </w:tbl>
    <w:p w:rsidR="00000000" w:rsidRPr="00BB2EBB" w:rsidP="00BB2EBB">
      <w:pPr>
        <w:pStyle w:val="BodyText"/>
      </w:pPr>
    </w:p>
    <w:p w:rsidR="00000000" w:rsidRPr="00BB2EBB" w:rsidP="00BB2EBB">
      <w:pPr>
        <w:pStyle w:val="AllowPageBreak"/>
      </w:pPr>
    </w:p>
    <w:p w:rsidR="00000000" w:rsidRPr="00BB2EBB" w:rsidP="00BB2EBB">
      <w:pPr>
        <w:pStyle w:val="Heading1"/>
      </w:pPr>
      <w:bookmarkStart w:id="5" w:name="O_814648"/>
      <w:bookmarkEnd w:id="5"/>
      <w:r w:rsidRPr="00BB2EBB">
        <w:t>Foundation Skills</w:t>
      </w:r>
    </w:p>
    <w:p w:rsidR="00000000" w:rsidRPr="00BB2EBB" w:rsidP="00F04F01">
      <w:pPr>
        <w:pStyle w:val="BodyText"/>
      </w:pPr>
      <w:r w:rsidRPr="00BB2EBB">
        <w:t>The foundation skills demands of this un</w:t>
      </w:r>
      <w:r w:rsidRPr="00BB2EBB">
        <w:t>it have been mapped for alignment with the Australian Core Skills Framework (ACSF). The following tables outline the performance levels indicated for successful attainment of the unit.</w:t>
      </w:r>
    </w:p>
    <w:p w:rsidR="00000000" w:rsidRPr="00BB2EBB" w:rsidP="00BB2EBB">
      <w:pPr>
        <w:pStyle w:val="BodyText"/>
        <w:keepNext/>
      </w:pPr>
    </w:p>
    <w:p w:rsidR="00000000" w:rsidRPr="00BB2EBB" w:rsidP="00BB2EBB">
      <w:pPr>
        <w:pStyle w:val="BodyText"/>
      </w:pPr>
      <w:bookmarkStart w:id="6" w:name="O_83550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77pt">
            <v:imagedata r:id="rId10" o:title=""/>
          </v:shape>
        </w:pict>
      </w:r>
      <w:bookmarkEnd w:id="6"/>
    </w:p>
    <w:p w:rsidR="00000000" w:rsidRPr="00BB2EBB" w:rsidP="00BB2EBB">
      <w:pPr>
        <w:pStyle w:val="BodyText"/>
      </w:pPr>
    </w:p>
    <w:p w:rsidR="00000000" w:rsidRPr="00BB2EBB" w:rsidP="00F04F01">
      <w:pPr>
        <w:pStyle w:val="BodyText"/>
      </w:pPr>
      <w:r w:rsidRPr="00BB2EBB">
        <w:t>Further information on ACSF and the foundation skills underpinning this unit can be found in the Foundation Skills Guide on the GSA website.</w:t>
      </w:r>
    </w:p>
    <w:p w:rsidR="00000000" w:rsidRPr="00BB2EBB" w:rsidP="00BB2EBB">
      <w:pPr>
        <w:pStyle w:val="Heading1"/>
      </w:pPr>
      <w:bookmarkStart w:id="7" w:name="O_814650"/>
      <w:bookmarkEnd w:id="7"/>
      <w:r w:rsidRPr="00BB2EBB">
        <w:t>Unit Mapping Informatio</w:t>
      </w:r>
      <w:r w:rsidRPr="00BB2EBB">
        <w:t>n</w:t>
      </w:r>
    </w:p>
    <w:p w:rsidR="00000000" w:rsidRPr="00BB2EBB" w:rsidP="00F04F01">
      <w:pPr>
        <w:pStyle w:val="BodyText"/>
      </w:pPr>
      <w:r w:rsidRPr="00BB2EBB">
        <w:t>This unit supersedes and is equivalent to PSPCRT416A Provide support to self</w:t>
      </w:r>
      <w:r w:rsidRPr="00BB2EBB">
        <w:noBreakHyphen/>
        <w:t>represented litigants.</w:t>
      </w:r>
    </w:p>
    <w:p w:rsidR="00000000" w:rsidRPr="00BB2EBB" w:rsidP="00BB2EBB">
      <w:pPr>
        <w:pStyle w:val="Heading1"/>
      </w:pPr>
      <w:bookmarkStart w:id="8" w:name="O_814657"/>
      <w:bookmarkEnd w:id="8"/>
      <w:r w:rsidRPr="00BB2EBB">
        <w:t>Links</w:t>
      </w:r>
    </w:p>
    <w:p w:rsidR="00000000" w:rsidRPr="00BB2EBB" w:rsidP="00F04F01">
      <w:pPr>
        <w:pStyle w:val="BodyText"/>
      </w:pPr>
      <w:r w:rsidRPr="00BB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0C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2EBB" w:rsidP="00F04F01">
      <w:pPr>
        <w:pStyle w:val="BodyText"/>
      </w:pPr>
      <w:r w:rsidRPr="00BB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0C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2EBB" w:rsidP="00F04F01">
      <w:pPr>
        <w:pStyle w:val="BodyText"/>
      </w:pPr>
      <w:r w:rsidRPr="00BB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0C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2EBB" w:rsidP="00F04F01">
      <w:pPr>
        <w:pStyle w:val="BodyText"/>
      </w:pPr>
      <w:r w:rsidRPr="00BB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60C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2EBB" w:rsidP="00BB2EBB"/>
    <w:sectPr w:rsidSect="00BB2EBB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BB" w:rsidRPr="00F04F01" w:rsidP="00F04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01" w:rsidP="00BB2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F01" w:rsidP="00BB2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4F01" w:rsidP="00BB2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EBB" w:rsidRPr="00F04F01" w:rsidP="00F04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01" w:rsidRPr="002D2AF8" w:rsidP="00BB2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PSPCRT017 Provide support to self-represented litigants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04F01" w:rsidP="00BB2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4CD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40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EBB"/>
  </w:style>
  <w:style w:type="character" w:customStyle="1" w:styleId="Heading1Char">
    <w:name w:val="Heading 1 Char"/>
    <w:basedOn w:val="DefaultParagraphFont"/>
    <w:link w:val="Heading1"/>
    <w:rsid w:val="00BB2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E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2E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E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EBB"/>
    <w:rPr>
      <w:b/>
      <w:spacing w:val="0"/>
    </w:rPr>
  </w:style>
  <w:style w:type="paragraph" w:customStyle="1" w:styleId="SuperHeading">
    <w:name w:val="SuperHeading"/>
    <w:basedOn w:val="Normal"/>
    <w:rsid w:val="00BB2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2E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2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E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2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E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EBB"/>
    <w:rPr>
      <w:i/>
    </w:rPr>
  </w:style>
  <w:style w:type="paragraph" w:styleId="Caption">
    <w:name w:val="caption"/>
    <w:basedOn w:val="BodyText"/>
    <w:next w:val="Normal"/>
    <w:qFormat/>
    <w:rsid w:val="00BB2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EBB"/>
  </w:style>
  <w:style w:type="paragraph" w:styleId="TableofFigures">
    <w:name w:val="table of figures"/>
    <w:basedOn w:val="Normal"/>
    <w:next w:val="Normal"/>
    <w:semiHidden/>
    <w:rsid w:val="00BB2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E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2EBB"/>
    <w:rPr>
      <w:rFonts w:ascii="Wingdings" w:hAnsi="Wingdings"/>
    </w:rPr>
  </w:style>
  <w:style w:type="character" w:customStyle="1" w:styleId="HotSpot">
    <w:name w:val="HotSpot"/>
    <w:rsid w:val="00BB2EBB"/>
    <w:rPr>
      <w:color w:val="0033CC"/>
      <w:u w:val="none"/>
    </w:rPr>
  </w:style>
  <w:style w:type="paragraph" w:customStyle="1" w:styleId="BodyTextRight">
    <w:name w:val="Body Text Right"/>
    <w:basedOn w:val="BodyText"/>
    <w:rsid w:val="00BB2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E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EBB"/>
    <w:rPr>
      <w:sz w:val="32"/>
    </w:rPr>
  </w:style>
  <w:style w:type="paragraph" w:customStyle="1" w:styleId="HeadingProcedure">
    <w:name w:val="Heading Procedure"/>
    <w:basedOn w:val="HeadingBase"/>
    <w:next w:val="Normal"/>
    <w:rsid w:val="00BB2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EBB"/>
    <w:pPr>
      <w:spacing w:before="60" w:after="60"/>
    </w:pPr>
  </w:style>
  <w:style w:type="paragraph" w:styleId="ListContinue">
    <w:name w:val="List Continue"/>
    <w:basedOn w:val="List"/>
    <w:rsid w:val="00BB2EBB"/>
    <w:pPr>
      <w:ind w:firstLine="0"/>
    </w:pPr>
  </w:style>
  <w:style w:type="paragraph" w:customStyle="1" w:styleId="ListNote">
    <w:name w:val="List Note"/>
    <w:basedOn w:val="List"/>
    <w:rsid w:val="00BB2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EBB"/>
    <w:rPr>
      <w:rFonts w:ascii="Courier New" w:hAnsi="Courier New"/>
    </w:rPr>
  </w:style>
  <w:style w:type="paragraph" w:customStyle="1" w:styleId="NoteBullet">
    <w:name w:val="Note Bullet"/>
    <w:basedOn w:val="Note"/>
    <w:rsid w:val="00BB2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E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2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EBB"/>
    <w:rPr>
      <w:b/>
      <w:smallCaps/>
    </w:rPr>
  </w:style>
  <w:style w:type="paragraph" w:customStyle="1" w:styleId="TableListNumber">
    <w:name w:val="Table List Number"/>
    <w:basedOn w:val="ListNumber"/>
    <w:rsid w:val="00BB2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EBB"/>
    <w:pPr>
      <w:numPr>
        <w:numId w:val="8"/>
      </w:numPr>
    </w:pPr>
  </w:style>
  <w:style w:type="paragraph" w:customStyle="1" w:styleId="ListAlpha2">
    <w:name w:val="List Alpha 2"/>
    <w:basedOn w:val="List2"/>
    <w:rsid w:val="00BB2EBB"/>
    <w:pPr>
      <w:numPr>
        <w:numId w:val="7"/>
      </w:numPr>
    </w:pPr>
  </w:style>
  <w:style w:type="paragraph" w:styleId="List2">
    <w:name w:val="List 2"/>
    <w:basedOn w:val="BodyText"/>
    <w:rsid w:val="00BB2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E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E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2EBB"/>
    <w:pPr>
      <w:numPr>
        <w:numId w:val="3"/>
      </w:numPr>
    </w:pPr>
  </w:style>
  <w:style w:type="paragraph" w:styleId="ListContinue2">
    <w:name w:val="List Continue 2"/>
    <w:basedOn w:val="List2"/>
    <w:rsid w:val="00BB2EBB"/>
    <w:pPr>
      <w:ind w:firstLine="0"/>
    </w:pPr>
  </w:style>
  <w:style w:type="paragraph" w:styleId="ListContinue3">
    <w:name w:val="List Continue 3"/>
    <w:basedOn w:val="List3"/>
    <w:rsid w:val="00BB2EBB"/>
    <w:pPr>
      <w:ind w:left="1021" w:firstLine="0"/>
    </w:pPr>
  </w:style>
  <w:style w:type="paragraph" w:styleId="ListContinue4">
    <w:name w:val="List Continue 4"/>
    <w:basedOn w:val="List4"/>
    <w:rsid w:val="00BB2EBB"/>
    <w:pPr>
      <w:ind w:firstLine="0"/>
    </w:pPr>
  </w:style>
  <w:style w:type="paragraph" w:styleId="ListContinue5">
    <w:name w:val="List Continue 5"/>
    <w:basedOn w:val="List5"/>
    <w:rsid w:val="00BB2EBB"/>
    <w:pPr>
      <w:ind w:firstLine="0"/>
    </w:pPr>
  </w:style>
  <w:style w:type="paragraph" w:styleId="ListNumber3">
    <w:name w:val="List Number 3"/>
    <w:basedOn w:val="List3"/>
    <w:rsid w:val="00BB2EBB"/>
    <w:pPr>
      <w:numPr>
        <w:numId w:val="4"/>
      </w:numPr>
    </w:pPr>
  </w:style>
  <w:style w:type="paragraph" w:styleId="ListNumber4">
    <w:name w:val="List Number 4"/>
    <w:basedOn w:val="List4"/>
    <w:rsid w:val="00BB2EBB"/>
    <w:pPr>
      <w:numPr>
        <w:numId w:val="5"/>
      </w:numPr>
    </w:pPr>
  </w:style>
  <w:style w:type="paragraph" w:styleId="ListNumber5">
    <w:name w:val="List Number 5"/>
    <w:basedOn w:val="List5"/>
    <w:rsid w:val="00BB2EBB"/>
    <w:pPr>
      <w:numPr>
        <w:numId w:val="6"/>
      </w:numPr>
    </w:pPr>
  </w:style>
  <w:style w:type="paragraph" w:styleId="BlockText">
    <w:name w:val="Block Text"/>
    <w:basedOn w:val="Normal"/>
    <w:rsid w:val="00BB2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EBB"/>
    <w:rPr>
      <w:sz w:val="16"/>
      <w:vertAlign w:val="superscript"/>
    </w:rPr>
  </w:style>
  <w:style w:type="character" w:customStyle="1" w:styleId="Symbols">
    <w:name w:val="Symbols"/>
    <w:basedOn w:val="DefaultParagraphFont"/>
    <w:rsid w:val="00BB2EBB"/>
    <w:rPr>
      <w:rFonts w:ascii="Symbol" w:hAnsi="Symbol"/>
    </w:rPr>
  </w:style>
  <w:style w:type="character" w:customStyle="1" w:styleId="MenuOptions">
    <w:name w:val="Menu Options"/>
    <w:basedOn w:val="DefaultParagraphFont"/>
    <w:rsid w:val="00BB2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EBB"/>
    <w:rPr>
      <w:b/>
    </w:rPr>
  </w:style>
  <w:style w:type="character" w:customStyle="1" w:styleId="Underlined">
    <w:name w:val="Underlined"/>
    <w:basedOn w:val="DefaultParagraphFont"/>
    <w:rsid w:val="00BB2EBB"/>
    <w:rPr>
      <w:u w:val="single"/>
    </w:rPr>
  </w:style>
  <w:style w:type="paragraph" w:customStyle="1" w:styleId="TableBodyTextRight">
    <w:name w:val="Table Body Text Right"/>
    <w:basedOn w:val="TableBodyText"/>
    <w:rsid w:val="00BB2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EBB"/>
    <w:rPr>
      <w:sz w:val="18"/>
    </w:rPr>
  </w:style>
  <w:style w:type="paragraph" w:customStyle="1" w:styleId="BodySmallRight">
    <w:name w:val="Body Small Right"/>
    <w:basedOn w:val="BodyTextRight"/>
    <w:rsid w:val="00BB2EBB"/>
    <w:rPr>
      <w:sz w:val="18"/>
      <w:szCs w:val="18"/>
    </w:rPr>
  </w:style>
  <w:style w:type="paragraph" w:customStyle="1" w:styleId="MarginEdition">
    <w:name w:val="Margin Edition"/>
    <w:basedOn w:val="MarginNote"/>
    <w:rsid w:val="00BB2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EBB"/>
    <w:rPr>
      <w:sz w:val="2"/>
      <w:szCs w:val="2"/>
    </w:rPr>
  </w:style>
  <w:style w:type="character" w:customStyle="1" w:styleId="Small">
    <w:name w:val="Small"/>
    <w:basedOn w:val="DefaultParagraphFont"/>
    <w:rsid w:val="00BB2EBB"/>
    <w:rPr>
      <w:sz w:val="16"/>
    </w:rPr>
  </w:style>
  <w:style w:type="paragraph" w:customStyle="1" w:styleId="WideTable">
    <w:name w:val="Wide Table"/>
    <w:basedOn w:val="Normal"/>
    <w:rsid w:val="00BB2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EBB"/>
  </w:style>
  <w:style w:type="paragraph" w:styleId="Quote">
    <w:name w:val="Quote"/>
    <w:basedOn w:val="Heading1"/>
    <w:link w:val="QuoteChar"/>
    <w:qFormat/>
    <w:rsid w:val="00BB2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EBB"/>
    <w:pPr>
      <w:pageBreakBefore/>
    </w:pPr>
  </w:style>
  <w:style w:type="paragraph" w:customStyle="1" w:styleId="Border">
    <w:name w:val="Border"/>
    <w:basedOn w:val="Normal"/>
    <w:qFormat/>
    <w:rsid w:val="00BB2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EBB"/>
    <w:rPr>
      <w:u w:val="single"/>
    </w:rPr>
  </w:style>
  <w:style w:type="character" w:customStyle="1" w:styleId="BoldandItalics">
    <w:name w:val="Bold and Italics"/>
    <w:qFormat/>
    <w:rsid w:val="00BB2EBB"/>
    <w:rPr>
      <w:b/>
      <w:i/>
      <w:u w:val="none"/>
    </w:rPr>
  </w:style>
  <w:style w:type="paragraph" w:styleId="BalloonText">
    <w:name w:val="Balloon Text"/>
    <w:basedOn w:val="Normal"/>
    <w:link w:val="BalloonTextChar"/>
    <w:rsid w:val="00BB2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EBB"/>
    <w:pPr>
      <w:spacing w:before="0" w:after="0"/>
    </w:pPr>
  </w:style>
  <w:style w:type="paragraph" w:customStyle="1" w:styleId="BodyTextBold">
    <w:name w:val="Body Text Bold"/>
    <w:basedOn w:val="BodyText"/>
    <w:qFormat/>
    <w:rsid w:val="00BB2EBB"/>
    <w:rPr>
      <w:b/>
    </w:rPr>
  </w:style>
  <w:style w:type="character" w:styleId="Hyperlink">
    <w:name w:val="Hyperlink"/>
    <w:basedOn w:val="DefaultParagraphFont"/>
    <w:uiPriority w:val="99"/>
    <w:unhideWhenUsed/>
    <w:rsid w:val="00F04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4195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PSPCRT017 Provide support to self-represented litigants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