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50A" w:rsidP="00356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PSPCRT015 Administer court legislation</w:t>
      </w:r>
      <w:r>
        <w:fldChar w:fldCharType="end"/>
      </w:r>
    </w:p>
    <w:p w:rsidR="0035650A" w:rsidP="0035650A">
      <w:pPr>
        <w:pStyle w:val="Version"/>
        <w:sectPr w:rsidSect="00CD7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BE6" w:rsidP="00CD7BE6">
      <w:pPr>
        <w:pStyle w:val="SuperHeading"/>
      </w:pPr>
      <w:r w:rsidRPr="00CD7BE6">
        <w:t>PSPCRT015 Administer court legislation</w:t>
      </w:r>
    </w:p>
    <w:p w:rsidR="00000000" w:rsidRPr="00CD7BE6" w:rsidP="00CD7BE6">
      <w:pPr>
        <w:pStyle w:val="Heading1"/>
      </w:pPr>
      <w:bookmarkStart w:id="1" w:name="O_814566"/>
      <w:bookmarkEnd w:id="1"/>
      <w:r w:rsidRPr="00CD7B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6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TableHeading"/>
              <w:rPr>
                <w:lang w:val="en-NZ"/>
              </w:rPr>
            </w:pPr>
            <w:r w:rsidRPr="00CD7B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TableHeading"/>
              <w:rPr>
                <w:lang w:val="en-NZ"/>
              </w:rPr>
            </w:pPr>
            <w:r w:rsidRPr="00CD7BE6">
              <w:t>Comments</w:t>
            </w:r>
          </w:p>
        </w:tc>
      </w:tr>
      <w:tr w:rsidTr="00356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BodyText"/>
              <w:rPr>
                <w:lang w:val="en-NZ"/>
              </w:rPr>
            </w:pPr>
            <w:r w:rsidRPr="00CD7B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BE6" w:rsidP="00CD7BE6">
            <w:pPr>
              <w:pStyle w:val="BodyText"/>
            </w:pPr>
            <w:r w:rsidRPr="00CD7BE6">
              <w:t xml:space="preserve">This unit was released in PSP Public Sector Training Package release 1.0 and meets the Standards for Training Packages. </w:t>
            </w:r>
          </w:p>
          <w:p w:rsidR="00000000" w:rsidRPr="00CD7BE6" w:rsidP="00CD7BE6">
            <w:pPr>
              <w:pStyle w:val="BodyText"/>
            </w:pPr>
          </w:p>
          <w:p w:rsidR="00000000" w:rsidRPr="00CD7BE6" w:rsidP="00CD7BE6">
            <w:pPr>
              <w:pStyle w:val="BodyText"/>
            </w:pPr>
            <w:r w:rsidRPr="00CD7BE6">
              <w:t>This unit supersedes and is equivalent to PSPCRT414A Administer court legislation.</w:t>
            </w:r>
          </w:p>
          <w:p w:rsidR="00000000" w:rsidRPr="00CD7BE6" w:rsidP="00CD7BE6">
            <w:pPr>
              <w:pStyle w:val="BodyText"/>
            </w:pPr>
          </w:p>
          <w:p w:rsidR="00000000" w:rsidRPr="00CD7BE6" w:rsidP="00CD7BE6">
            <w:pPr>
              <w:pStyle w:val="ListBullet"/>
            </w:pPr>
            <w:r w:rsidRPr="00CD7BE6">
              <w:t>Unit cod</w:t>
            </w:r>
            <w:r w:rsidRPr="00CD7BE6">
              <w:t>e updated</w:t>
            </w:r>
          </w:p>
          <w:p w:rsidR="00000000" w:rsidRPr="00CD7BE6" w:rsidP="00CD7BE6">
            <w:pPr>
              <w:pStyle w:val="ListBullet"/>
            </w:pPr>
            <w:r w:rsidRPr="00CD7BE6">
              <w:t>Content and formatting updated to comply with new standards</w:t>
            </w:r>
          </w:p>
          <w:p w:rsidR="00000000" w:rsidRPr="00CD7BE6" w:rsidP="00CD7BE6">
            <w:pPr>
              <w:pStyle w:val="ListBullet"/>
            </w:pPr>
            <w:r w:rsidRPr="00CD7BE6">
              <w:t>All PC transitioned from passive to active voice</w:t>
            </w:r>
          </w:p>
          <w:p w:rsidR="00000000" w:rsidRPr="00CD7BE6" w:rsidP="00CD7BE6">
            <w:pPr>
              <w:pStyle w:val="ListBullet"/>
            </w:pPr>
            <w:r w:rsidRPr="00CD7BE6">
              <w:t>PC 1.4 removed</w:t>
            </w:r>
          </w:p>
        </w:tc>
      </w:tr>
    </w:tbl>
    <w:p w:rsidR="00000000" w:rsidRPr="00CD7BE6" w:rsidP="00CD7BE6">
      <w:pPr>
        <w:pStyle w:val="BodyText"/>
      </w:pPr>
    </w:p>
    <w:p w:rsidR="00000000" w:rsidRPr="00CD7BE6" w:rsidP="00CD7BE6">
      <w:pPr>
        <w:pStyle w:val="AllowPageBreak"/>
      </w:pPr>
    </w:p>
    <w:p w:rsidR="00000000" w:rsidRPr="00CD7BE6" w:rsidP="00CD7BE6">
      <w:pPr>
        <w:pStyle w:val="Heading1"/>
      </w:pPr>
      <w:bookmarkStart w:id="2" w:name="O_814567"/>
      <w:bookmarkEnd w:id="2"/>
      <w:r w:rsidRPr="00CD7BE6">
        <w:t>Application</w:t>
      </w:r>
    </w:p>
    <w:p w:rsidR="00000000" w:rsidRPr="00CD7BE6" w:rsidP="0035650A">
      <w:pPr>
        <w:pStyle w:val="BodyText"/>
      </w:pPr>
      <w:r w:rsidRPr="00CD7BE6">
        <w:t xml:space="preserve">This unit describes the skills required to implement and administer legislation in a court, tribunal and justice workplace. It includes the ability to access and identify applicable legal frameworks, apply knowledge of legal framework to the workplace and </w:t>
      </w:r>
      <w:r w:rsidRPr="00CD7BE6">
        <w:t>to communicate knowledge of the legal framework.</w:t>
      </w:r>
    </w:p>
    <w:p w:rsidR="00000000" w:rsidRPr="00CD7BE6" w:rsidP="0035650A">
      <w:pPr>
        <w:pStyle w:val="BodyText"/>
      </w:pPr>
      <w:r w:rsidRPr="00CD7BE6">
        <w:t>This unit applies to those working within the court system operating under procedures set by the court.</w:t>
      </w:r>
    </w:p>
    <w:p w:rsidR="00000000" w:rsidRPr="00CD7BE6" w:rsidP="0035650A">
      <w:pPr>
        <w:pStyle w:val="BodyText"/>
      </w:pPr>
      <w:r w:rsidRPr="00CD7BE6">
        <w:t>The skills and knowledge described in this unit must be applied within the legislative, regulatory an</w:t>
      </w:r>
      <w:r w:rsidRPr="00CD7BE6">
        <w:t>d policy environment in which they are carried out. Organisational policies and procedures must be consulted and adhered to, particularly those set by the court.</w:t>
      </w:r>
    </w:p>
    <w:p w:rsidR="00000000" w:rsidRPr="00CD7BE6" w:rsidP="0035650A">
      <w:pPr>
        <w:pStyle w:val="BodyText"/>
      </w:pPr>
      <w:r w:rsidRPr="00CD7BE6">
        <w:t>Those undertaking this unit would generally work independently with occasional supervisory re</w:t>
      </w:r>
      <w:r w:rsidRPr="00CD7BE6">
        <w:t>sponsibilities. They would perform complex tasks in a range of familiar and unfamiliar contexts.</w:t>
      </w:r>
    </w:p>
    <w:p w:rsidR="0035650A" w:rsidP="0035650A">
      <w:pPr>
        <w:pStyle w:val="BodyText"/>
      </w:pPr>
      <w:r w:rsidRPr="00CD7BE6">
        <w:t>No licensing, legislative or certification requirements apply to unit at the time of publication.</w:t>
      </w:r>
    </w:p>
    <w:p w:rsidR="00000000" w:rsidRPr="00CD7BE6" w:rsidP="00CD7BE6">
      <w:pPr>
        <w:pStyle w:val="Heading1"/>
      </w:pPr>
      <w:bookmarkStart w:id="3" w:name="O_814569"/>
      <w:bookmarkEnd w:id="3"/>
      <w:r w:rsidRPr="00CD7BE6">
        <w:t>Competency Field</w:t>
      </w:r>
    </w:p>
    <w:p w:rsidR="00000000" w:rsidRPr="00CD7BE6" w:rsidP="0035650A">
      <w:pPr>
        <w:pStyle w:val="BodyText"/>
      </w:pPr>
      <w:r w:rsidRPr="00CD7BE6">
        <w:t>Courts</w:t>
      </w:r>
    </w:p>
    <w:p w:rsidR="00000000" w:rsidRPr="00CD7BE6" w:rsidP="00CD7BE6">
      <w:pPr>
        <w:pStyle w:val="Heading1"/>
      </w:pPr>
      <w:bookmarkStart w:id="4" w:name="O_814571"/>
      <w:bookmarkEnd w:id="4"/>
      <w:r w:rsidRPr="00CD7B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D7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TableHeading"/>
              <w:rPr>
                <w:lang w:val="en-NZ"/>
              </w:rPr>
            </w:pPr>
            <w:r w:rsidRPr="00CD7BE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TableHeading"/>
              <w:rPr>
                <w:lang w:val="en-NZ"/>
              </w:rPr>
            </w:pPr>
            <w:r w:rsidRPr="00CD7BE6">
              <w:t>PERFORMANCE CRITERIA</w:t>
            </w:r>
          </w:p>
        </w:tc>
      </w:tr>
      <w:tr w:rsidTr="00CD7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BodyText"/>
              <w:rPr>
                <w:lang w:val="en-NZ"/>
              </w:rPr>
            </w:pPr>
            <w:r w:rsidRPr="00CD7BE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BodyText"/>
              <w:rPr>
                <w:lang w:val="en-NZ"/>
              </w:rPr>
            </w:pPr>
            <w:r w:rsidRPr="00CD7BE6">
              <w:t>Performance criteria describe the performance needed to demonstrate achievement of the element. Where bold italicised text is used, further informatio</w:t>
            </w:r>
            <w:r w:rsidRPr="00CD7BE6">
              <w:t>n is detailed in the range of conditions section.</w:t>
            </w:r>
          </w:p>
        </w:tc>
      </w:tr>
      <w:tr w:rsidTr="00CD7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List"/>
              <w:rPr>
                <w:lang w:val="en-NZ"/>
              </w:rPr>
            </w:pPr>
            <w:r w:rsidRPr="00CD7BE6">
              <w:rPr>
                <w:rStyle w:val="SpecialBold"/>
              </w:rPr>
              <w:t>1.</w:t>
            </w:r>
            <w:r w:rsidRPr="00CD7BE6">
              <w:rPr>
                <w:rStyle w:val="SpecialBold"/>
              </w:rPr>
              <w:tab/>
              <w:t>Access and identify applicable legal framework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BE6" w:rsidP="00CD7BE6">
            <w:pPr>
              <w:pStyle w:val="List"/>
            </w:pPr>
            <w:r w:rsidRPr="00CD7BE6">
              <w:t>1.1</w:t>
            </w:r>
            <w:r w:rsidRPr="00CD7BE6">
              <w:tab/>
              <w:t>Identify and access applicable jurisdictional legislation, regulations, organisational procedures, standards and codes of practice in both hard copy an</w:t>
            </w:r>
            <w:r w:rsidRPr="00CD7BE6">
              <w:t>d digital formats.</w:t>
            </w:r>
          </w:p>
          <w:p w:rsidR="00000000" w:rsidRPr="00CD7BE6" w:rsidP="00CD7BE6">
            <w:pPr>
              <w:pStyle w:val="List"/>
            </w:pPr>
            <w:r w:rsidRPr="00CD7BE6">
              <w:t>1.2</w:t>
            </w:r>
            <w:r w:rsidRPr="00CD7BE6">
              <w:tab/>
              <w:t>Monitor sources of information for changes to the legal framework.</w:t>
            </w:r>
          </w:p>
          <w:p w:rsidR="00000000" w:rsidP="00CD7BE6">
            <w:pPr>
              <w:pStyle w:val="List"/>
              <w:rPr>
                <w:lang w:val="en-NZ"/>
              </w:rPr>
            </w:pPr>
            <w:r w:rsidRPr="00CD7BE6">
              <w:t>1.3</w:t>
            </w:r>
            <w:r w:rsidRPr="00CD7BE6">
              <w:tab/>
              <w:t>Apply common rules of statutory interpretation to legislation and regulations.</w:t>
            </w:r>
          </w:p>
        </w:tc>
      </w:tr>
      <w:tr w:rsidTr="00CD7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List"/>
              <w:rPr>
                <w:lang w:val="en-NZ"/>
              </w:rPr>
            </w:pPr>
            <w:r w:rsidRPr="00CD7BE6">
              <w:rPr>
                <w:rStyle w:val="SpecialBold"/>
              </w:rPr>
              <w:t>2.</w:t>
            </w:r>
            <w:r w:rsidRPr="00CD7BE6">
              <w:rPr>
                <w:rStyle w:val="SpecialBold"/>
              </w:rPr>
              <w:tab/>
              <w:t>Apply knowledge of legal framework to the workplace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BE6" w:rsidP="00CD7BE6">
            <w:pPr>
              <w:pStyle w:val="List"/>
            </w:pPr>
            <w:r w:rsidRPr="00CD7BE6">
              <w:t>2.1</w:t>
            </w:r>
            <w:r w:rsidRPr="00CD7BE6">
              <w:tab/>
              <w:t>Determine legal account</w:t>
            </w:r>
            <w:r w:rsidRPr="00CD7BE6">
              <w:t>ability obligations from legislation, regulations, organisational procedures, standards and codes of practice.</w:t>
            </w:r>
          </w:p>
          <w:p w:rsidR="00000000" w:rsidRPr="00CD7BE6" w:rsidP="00CD7BE6">
            <w:pPr>
              <w:pStyle w:val="List"/>
            </w:pPr>
            <w:r w:rsidRPr="00CD7BE6">
              <w:t>2.2</w:t>
            </w:r>
            <w:r w:rsidRPr="00CD7BE6">
              <w:tab/>
              <w:t>Identify consequences of non-compliance.</w:t>
            </w:r>
          </w:p>
          <w:p w:rsidR="00000000" w:rsidRPr="00CD7BE6" w:rsidP="00CD7BE6">
            <w:pPr>
              <w:pStyle w:val="List"/>
            </w:pPr>
            <w:r w:rsidRPr="00CD7BE6">
              <w:t>2.3</w:t>
            </w:r>
            <w:r w:rsidRPr="00CD7BE6">
              <w:tab/>
              <w:t>Recog</w:t>
            </w:r>
            <w:r w:rsidRPr="00CD7BE6">
              <w:t>nise limits of own expertise and legal accountability obligations, and access appropriate sources of expertise as required.</w:t>
            </w:r>
          </w:p>
          <w:p w:rsidR="00000000" w:rsidP="00CD7BE6">
            <w:pPr>
              <w:pStyle w:val="List"/>
              <w:rPr>
                <w:lang w:val="en-NZ"/>
              </w:rPr>
            </w:pPr>
            <w:r w:rsidRPr="00CD7BE6">
              <w:t>2.4</w:t>
            </w:r>
            <w:r w:rsidRPr="00CD7BE6">
              <w:tab/>
              <w:t>Ensure that work is undertaken in a legally compliant manner.</w:t>
            </w:r>
          </w:p>
        </w:tc>
      </w:tr>
      <w:tr w:rsidTr="00CD7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BE6">
            <w:pPr>
              <w:pStyle w:val="List"/>
              <w:rPr>
                <w:lang w:val="en-NZ"/>
              </w:rPr>
            </w:pPr>
            <w:r w:rsidRPr="00CD7BE6">
              <w:rPr>
                <w:rStyle w:val="SpecialBold"/>
              </w:rPr>
              <w:t>3.</w:t>
            </w:r>
            <w:r w:rsidRPr="00CD7BE6">
              <w:rPr>
                <w:rStyle w:val="SpecialBold"/>
              </w:rPr>
              <w:tab/>
              <w:t>Communicate knowledge of legal framework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BE6" w:rsidP="00CD7BE6">
            <w:pPr>
              <w:pStyle w:val="List"/>
            </w:pPr>
            <w:r w:rsidRPr="00CD7BE6">
              <w:t>3.1</w:t>
            </w:r>
            <w:r w:rsidRPr="00CD7BE6">
              <w:tab/>
              <w:t>Outline legal lim</w:t>
            </w:r>
            <w:r w:rsidRPr="00CD7BE6">
              <w:t>its of own responsibility before providing information.</w:t>
            </w:r>
          </w:p>
          <w:p w:rsidR="00000000" w:rsidRPr="00CD7BE6" w:rsidP="00CD7BE6">
            <w:pPr>
              <w:pStyle w:val="List"/>
            </w:pPr>
            <w:r w:rsidRPr="00CD7BE6">
              <w:t>3.2</w:t>
            </w:r>
            <w:r w:rsidRPr="00CD7BE6">
              <w:tab/>
              <w:t>Explain source of legislative authority for decision making to both internal and external clients.</w:t>
            </w:r>
          </w:p>
          <w:p w:rsidR="00000000" w:rsidRPr="00CD7BE6" w:rsidP="00CD7BE6">
            <w:pPr>
              <w:pStyle w:val="List"/>
            </w:pPr>
            <w:r w:rsidRPr="00CD7BE6">
              <w:t>3.3</w:t>
            </w:r>
            <w:r w:rsidRPr="00CD7BE6">
              <w:tab/>
              <w:t>Use appropriate legal terminology in both written and oral communication with both internal a</w:t>
            </w:r>
            <w:r w:rsidRPr="00CD7BE6">
              <w:t>nd external clients.</w:t>
            </w:r>
          </w:p>
          <w:p w:rsidR="00000000" w:rsidRPr="00CD7BE6" w:rsidP="00CD7BE6">
            <w:pPr>
              <w:pStyle w:val="List"/>
            </w:pPr>
            <w:r w:rsidRPr="00CD7BE6">
              <w:t>3.4</w:t>
            </w:r>
            <w:r w:rsidRPr="00CD7BE6">
              <w:tab/>
              <w:t>Answer questions relating to legal terminology and define terms.</w:t>
            </w:r>
          </w:p>
          <w:p w:rsidR="00000000" w:rsidRPr="00CD7BE6" w:rsidP="00CD7BE6">
            <w:pPr>
              <w:pStyle w:val="List"/>
            </w:pPr>
            <w:r w:rsidRPr="00CD7BE6">
              <w:t>3.5</w:t>
            </w:r>
            <w:r w:rsidRPr="00CD7BE6">
              <w:tab/>
              <w:t>Provide information to others on the legal accountability obligations arising from legislation, regulations, organisational procedures, standards and codes of pra</w:t>
            </w:r>
            <w:r w:rsidRPr="00CD7BE6">
              <w:t>ctice.</w:t>
            </w:r>
          </w:p>
          <w:p w:rsidR="00000000" w:rsidRPr="00CD7BE6" w:rsidP="00CD7BE6">
            <w:pPr>
              <w:pStyle w:val="List"/>
            </w:pPr>
            <w:r w:rsidRPr="00CD7BE6">
              <w:t>3.6</w:t>
            </w:r>
            <w:r w:rsidRPr="00CD7BE6">
              <w:tab/>
              <w:t>Provide information to others on the consequences of non-compliance.</w:t>
            </w:r>
          </w:p>
        </w:tc>
      </w:tr>
    </w:tbl>
    <w:p w:rsidR="00000000" w:rsidRPr="00CD7BE6" w:rsidP="00CD7BE6">
      <w:pPr>
        <w:pStyle w:val="BodyText"/>
      </w:pPr>
    </w:p>
    <w:p w:rsidR="00000000" w:rsidRPr="00CD7BE6" w:rsidP="00CD7BE6">
      <w:pPr>
        <w:pStyle w:val="AllowPageBreak"/>
      </w:pPr>
    </w:p>
    <w:p w:rsidR="00000000" w:rsidRPr="00CD7BE6" w:rsidP="00CD7BE6">
      <w:pPr>
        <w:pStyle w:val="Heading1"/>
      </w:pPr>
      <w:bookmarkStart w:id="5" w:name="O_814572"/>
      <w:bookmarkEnd w:id="5"/>
      <w:r w:rsidRPr="00CD7BE6">
        <w:t>Foundation Skills</w:t>
      </w:r>
    </w:p>
    <w:p w:rsidR="00000000" w:rsidRPr="00CD7BE6" w:rsidP="0035650A">
      <w:pPr>
        <w:pStyle w:val="BodyText"/>
      </w:pPr>
      <w:r w:rsidRPr="00CD7BE6">
        <w:t>The foundation skills demands of this unit have been mapped for alignment with the Australian Core Skills Framework (ACSF). The following t</w:t>
      </w:r>
      <w:r w:rsidRPr="00CD7BE6">
        <w:t>ables outline the performance levels indicated for successful attainment of the unit.</w:t>
      </w:r>
    </w:p>
    <w:p w:rsidR="00000000" w:rsidRPr="00CD7BE6" w:rsidP="00CD7BE6">
      <w:pPr>
        <w:pStyle w:val="BodyText"/>
        <w:keepNext/>
      </w:pPr>
    </w:p>
    <w:p w:rsidR="00000000" w:rsidRPr="00CD7BE6" w:rsidP="00CD7BE6">
      <w:pPr>
        <w:pStyle w:val="BodyText"/>
      </w:pPr>
      <w:bookmarkStart w:id="6" w:name="O_83523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71pt">
            <v:imagedata r:id="rId10" o:title=""/>
          </v:shape>
        </w:pict>
      </w:r>
      <w:bookmarkEnd w:id="6"/>
    </w:p>
    <w:p w:rsidR="00000000" w:rsidRPr="00CD7BE6" w:rsidP="00CD7BE6">
      <w:pPr>
        <w:pStyle w:val="BodyText"/>
      </w:pPr>
    </w:p>
    <w:p w:rsidR="00000000" w:rsidRPr="00CD7BE6" w:rsidP="0035650A">
      <w:pPr>
        <w:pStyle w:val="BodyText"/>
      </w:pPr>
      <w:r w:rsidRPr="00CD7BE6">
        <w:t>Further information on ACSF and the found</w:t>
      </w:r>
      <w:r w:rsidRPr="00CD7BE6">
        <w:t>ation skills underpinning this unit can be found in the Foundation Skills Guide on the GSA website.</w:t>
      </w:r>
    </w:p>
    <w:p w:rsidR="00000000" w:rsidRPr="00CD7BE6" w:rsidP="00CD7BE6">
      <w:pPr>
        <w:pStyle w:val="Heading1"/>
      </w:pPr>
      <w:bookmarkStart w:id="7" w:name="O_814574"/>
      <w:bookmarkEnd w:id="7"/>
      <w:r w:rsidRPr="00CD7BE6">
        <w:t>Unit Mapping Information</w:t>
      </w:r>
    </w:p>
    <w:p w:rsidR="00000000" w:rsidRPr="00CD7BE6" w:rsidP="0035650A">
      <w:pPr>
        <w:pStyle w:val="BodyText"/>
      </w:pPr>
      <w:r w:rsidRPr="00CD7BE6">
        <w:t>This unit supersedes and is equivalent to PSPCRT414A Administer court legislation.</w:t>
      </w:r>
    </w:p>
    <w:p w:rsidR="00000000" w:rsidRPr="00CD7BE6" w:rsidP="00CD7BE6">
      <w:pPr>
        <w:pStyle w:val="Heading1"/>
      </w:pPr>
      <w:bookmarkStart w:id="8" w:name="O_814581"/>
      <w:bookmarkEnd w:id="8"/>
      <w:r w:rsidRPr="00CD7BE6">
        <w:t>Links</w:t>
      </w:r>
    </w:p>
    <w:p w:rsidR="00000000" w:rsidRPr="00CD7BE6" w:rsidP="0035650A">
      <w:pPr>
        <w:pStyle w:val="BodyText"/>
      </w:pPr>
      <w:r w:rsidRPr="00CD7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08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7BE6" w:rsidP="0035650A">
      <w:pPr>
        <w:pStyle w:val="BodyText"/>
      </w:pPr>
      <w:r w:rsidRPr="00CD7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08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7BE6" w:rsidP="0035650A">
      <w:pPr>
        <w:pStyle w:val="BodyText"/>
      </w:pPr>
      <w:r w:rsidRPr="00CD7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08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7BE6" w:rsidP="0035650A">
      <w:pPr>
        <w:pStyle w:val="BodyText"/>
      </w:pPr>
      <w:r w:rsidRPr="00CD7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08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7BE6" w:rsidP="00CD7BE6"/>
    <w:sectPr w:rsidSect="00CD7BE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E6" w:rsidRPr="0035650A" w:rsidP="00356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0A" w:rsidP="00CD7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50A" w:rsidP="00CD7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650A" w:rsidP="00CD7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BE6" w:rsidRPr="0035650A" w:rsidP="00356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0A" w:rsidRPr="002D2AF8" w:rsidP="00CD7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PSPCRT015 Administer court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5650A" w:rsidP="00CD7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30F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41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BE6"/>
  </w:style>
  <w:style w:type="character" w:customStyle="1" w:styleId="Heading1Char">
    <w:name w:val="Heading 1 Char"/>
    <w:basedOn w:val="DefaultParagraphFont"/>
    <w:link w:val="Heading1"/>
    <w:rsid w:val="00CD7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B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7B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B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BE6"/>
    <w:rPr>
      <w:b/>
      <w:spacing w:val="0"/>
    </w:rPr>
  </w:style>
  <w:style w:type="paragraph" w:customStyle="1" w:styleId="SuperHeading">
    <w:name w:val="SuperHeading"/>
    <w:basedOn w:val="Normal"/>
    <w:rsid w:val="00CD7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7B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7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B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7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B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B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BE6"/>
    <w:rPr>
      <w:i/>
    </w:rPr>
  </w:style>
  <w:style w:type="paragraph" w:styleId="Caption">
    <w:name w:val="caption"/>
    <w:basedOn w:val="BodyText"/>
    <w:next w:val="Normal"/>
    <w:qFormat/>
    <w:rsid w:val="00CD7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BE6"/>
  </w:style>
  <w:style w:type="paragraph" w:styleId="TableofFigures">
    <w:name w:val="table of figures"/>
    <w:basedOn w:val="Normal"/>
    <w:next w:val="Normal"/>
    <w:semiHidden/>
    <w:rsid w:val="00CD7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B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BE6"/>
    <w:rPr>
      <w:rFonts w:ascii="Wingdings" w:hAnsi="Wingdings"/>
    </w:rPr>
  </w:style>
  <w:style w:type="character" w:customStyle="1" w:styleId="HotSpot">
    <w:name w:val="HotSpot"/>
    <w:rsid w:val="00CD7BE6"/>
    <w:rPr>
      <w:color w:val="0033CC"/>
      <w:u w:val="none"/>
    </w:rPr>
  </w:style>
  <w:style w:type="paragraph" w:customStyle="1" w:styleId="BodyTextRight">
    <w:name w:val="Body Text Right"/>
    <w:basedOn w:val="BodyText"/>
    <w:rsid w:val="00CD7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B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BE6"/>
    <w:rPr>
      <w:sz w:val="32"/>
    </w:rPr>
  </w:style>
  <w:style w:type="paragraph" w:customStyle="1" w:styleId="HeadingProcedure">
    <w:name w:val="Heading Procedure"/>
    <w:basedOn w:val="HeadingBase"/>
    <w:next w:val="Normal"/>
    <w:rsid w:val="00CD7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BE6"/>
    <w:pPr>
      <w:spacing w:before="60" w:after="60"/>
    </w:pPr>
  </w:style>
  <w:style w:type="paragraph" w:styleId="ListContinue">
    <w:name w:val="List Continue"/>
    <w:basedOn w:val="List"/>
    <w:rsid w:val="00CD7BE6"/>
    <w:pPr>
      <w:ind w:firstLine="0"/>
    </w:pPr>
  </w:style>
  <w:style w:type="paragraph" w:customStyle="1" w:styleId="ListNote">
    <w:name w:val="List Note"/>
    <w:basedOn w:val="List"/>
    <w:rsid w:val="00CD7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BE6"/>
    <w:rPr>
      <w:rFonts w:ascii="Courier New" w:hAnsi="Courier New"/>
    </w:rPr>
  </w:style>
  <w:style w:type="paragraph" w:customStyle="1" w:styleId="NoteBullet">
    <w:name w:val="Note Bullet"/>
    <w:basedOn w:val="Note"/>
    <w:rsid w:val="00CD7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B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BE6"/>
    <w:rPr>
      <w:b/>
      <w:smallCaps/>
    </w:rPr>
  </w:style>
  <w:style w:type="paragraph" w:customStyle="1" w:styleId="TableListNumber">
    <w:name w:val="Table List Number"/>
    <w:basedOn w:val="ListNumber"/>
    <w:rsid w:val="00CD7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BE6"/>
    <w:pPr>
      <w:numPr>
        <w:numId w:val="8"/>
      </w:numPr>
    </w:pPr>
  </w:style>
  <w:style w:type="paragraph" w:customStyle="1" w:styleId="ListAlpha2">
    <w:name w:val="List Alpha 2"/>
    <w:basedOn w:val="List2"/>
    <w:rsid w:val="00CD7BE6"/>
    <w:pPr>
      <w:numPr>
        <w:numId w:val="7"/>
      </w:numPr>
    </w:pPr>
  </w:style>
  <w:style w:type="paragraph" w:styleId="List2">
    <w:name w:val="List 2"/>
    <w:basedOn w:val="BodyText"/>
    <w:rsid w:val="00CD7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B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B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BE6"/>
    <w:pPr>
      <w:numPr>
        <w:numId w:val="3"/>
      </w:numPr>
    </w:pPr>
  </w:style>
  <w:style w:type="paragraph" w:styleId="ListContinue2">
    <w:name w:val="List Continue 2"/>
    <w:basedOn w:val="List2"/>
    <w:rsid w:val="00CD7BE6"/>
    <w:pPr>
      <w:ind w:firstLine="0"/>
    </w:pPr>
  </w:style>
  <w:style w:type="paragraph" w:styleId="ListContinue3">
    <w:name w:val="List Continue 3"/>
    <w:basedOn w:val="List3"/>
    <w:rsid w:val="00CD7BE6"/>
    <w:pPr>
      <w:ind w:left="1021" w:firstLine="0"/>
    </w:pPr>
  </w:style>
  <w:style w:type="paragraph" w:styleId="ListContinue4">
    <w:name w:val="List Continue 4"/>
    <w:basedOn w:val="List4"/>
    <w:rsid w:val="00CD7BE6"/>
    <w:pPr>
      <w:ind w:firstLine="0"/>
    </w:pPr>
  </w:style>
  <w:style w:type="paragraph" w:styleId="ListContinue5">
    <w:name w:val="List Continue 5"/>
    <w:basedOn w:val="List5"/>
    <w:rsid w:val="00CD7BE6"/>
    <w:pPr>
      <w:ind w:firstLine="0"/>
    </w:pPr>
  </w:style>
  <w:style w:type="paragraph" w:styleId="ListNumber3">
    <w:name w:val="List Number 3"/>
    <w:basedOn w:val="List3"/>
    <w:rsid w:val="00CD7BE6"/>
    <w:pPr>
      <w:numPr>
        <w:numId w:val="4"/>
      </w:numPr>
    </w:pPr>
  </w:style>
  <w:style w:type="paragraph" w:styleId="ListNumber4">
    <w:name w:val="List Number 4"/>
    <w:basedOn w:val="List4"/>
    <w:rsid w:val="00CD7BE6"/>
    <w:pPr>
      <w:numPr>
        <w:numId w:val="5"/>
      </w:numPr>
    </w:pPr>
  </w:style>
  <w:style w:type="paragraph" w:styleId="ListNumber5">
    <w:name w:val="List Number 5"/>
    <w:basedOn w:val="List5"/>
    <w:rsid w:val="00CD7BE6"/>
    <w:pPr>
      <w:numPr>
        <w:numId w:val="6"/>
      </w:numPr>
    </w:pPr>
  </w:style>
  <w:style w:type="paragraph" w:styleId="BlockText">
    <w:name w:val="Block Text"/>
    <w:basedOn w:val="Normal"/>
    <w:rsid w:val="00CD7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BE6"/>
    <w:rPr>
      <w:sz w:val="16"/>
      <w:vertAlign w:val="superscript"/>
    </w:rPr>
  </w:style>
  <w:style w:type="character" w:customStyle="1" w:styleId="Symbols">
    <w:name w:val="Symbols"/>
    <w:basedOn w:val="DefaultParagraphFont"/>
    <w:rsid w:val="00CD7BE6"/>
    <w:rPr>
      <w:rFonts w:ascii="Symbol" w:hAnsi="Symbol"/>
    </w:rPr>
  </w:style>
  <w:style w:type="character" w:customStyle="1" w:styleId="MenuOptions">
    <w:name w:val="Menu Options"/>
    <w:basedOn w:val="DefaultParagraphFont"/>
    <w:rsid w:val="00CD7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BE6"/>
    <w:rPr>
      <w:b/>
    </w:rPr>
  </w:style>
  <w:style w:type="character" w:customStyle="1" w:styleId="Underlined">
    <w:name w:val="Underlined"/>
    <w:basedOn w:val="DefaultParagraphFont"/>
    <w:rsid w:val="00CD7BE6"/>
    <w:rPr>
      <w:u w:val="single"/>
    </w:rPr>
  </w:style>
  <w:style w:type="paragraph" w:customStyle="1" w:styleId="TableBodyTextRight">
    <w:name w:val="Table Body Text Right"/>
    <w:basedOn w:val="TableBodyText"/>
    <w:rsid w:val="00CD7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BE6"/>
    <w:rPr>
      <w:sz w:val="18"/>
    </w:rPr>
  </w:style>
  <w:style w:type="paragraph" w:customStyle="1" w:styleId="BodySmallRight">
    <w:name w:val="Body Small Right"/>
    <w:basedOn w:val="BodyTextRight"/>
    <w:rsid w:val="00CD7BE6"/>
    <w:rPr>
      <w:sz w:val="18"/>
      <w:szCs w:val="18"/>
    </w:rPr>
  </w:style>
  <w:style w:type="paragraph" w:customStyle="1" w:styleId="MarginEdition">
    <w:name w:val="Margin Edition"/>
    <w:basedOn w:val="MarginNote"/>
    <w:rsid w:val="00CD7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BE6"/>
    <w:rPr>
      <w:sz w:val="2"/>
      <w:szCs w:val="2"/>
    </w:rPr>
  </w:style>
  <w:style w:type="character" w:customStyle="1" w:styleId="Small">
    <w:name w:val="Small"/>
    <w:basedOn w:val="DefaultParagraphFont"/>
    <w:rsid w:val="00CD7BE6"/>
    <w:rPr>
      <w:sz w:val="16"/>
    </w:rPr>
  </w:style>
  <w:style w:type="paragraph" w:customStyle="1" w:styleId="WideTable">
    <w:name w:val="Wide Table"/>
    <w:basedOn w:val="Normal"/>
    <w:rsid w:val="00CD7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BE6"/>
  </w:style>
  <w:style w:type="paragraph" w:styleId="Quote">
    <w:name w:val="Quote"/>
    <w:basedOn w:val="Heading1"/>
    <w:link w:val="QuoteChar"/>
    <w:qFormat/>
    <w:rsid w:val="00CD7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BE6"/>
    <w:pPr>
      <w:pageBreakBefore/>
    </w:pPr>
  </w:style>
  <w:style w:type="paragraph" w:customStyle="1" w:styleId="Border">
    <w:name w:val="Border"/>
    <w:basedOn w:val="Normal"/>
    <w:qFormat/>
    <w:rsid w:val="00CD7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BE6"/>
    <w:rPr>
      <w:u w:val="single"/>
    </w:rPr>
  </w:style>
  <w:style w:type="character" w:customStyle="1" w:styleId="BoldandItalics">
    <w:name w:val="Bold and Italics"/>
    <w:qFormat/>
    <w:rsid w:val="00CD7BE6"/>
    <w:rPr>
      <w:b/>
      <w:i/>
      <w:u w:val="none"/>
    </w:rPr>
  </w:style>
  <w:style w:type="paragraph" w:styleId="BalloonText">
    <w:name w:val="Balloon Text"/>
    <w:basedOn w:val="Normal"/>
    <w:link w:val="BalloonTextChar"/>
    <w:rsid w:val="00CD7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BE6"/>
    <w:pPr>
      <w:spacing w:before="0" w:after="0"/>
    </w:pPr>
  </w:style>
  <w:style w:type="paragraph" w:customStyle="1" w:styleId="BodyTextBold">
    <w:name w:val="Body Text Bold"/>
    <w:basedOn w:val="BodyText"/>
    <w:qFormat/>
    <w:rsid w:val="00CD7BE6"/>
    <w:rPr>
      <w:b/>
    </w:rPr>
  </w:style>
  <w:style w:type="character" w:styleId="Hyperlink">
    <w:name w:val="Hyperlink"/>
    <w:basedOn w:val="DefaultParagraphFont"/>
    <w:uiPriority w:val="99"/>
    <w:unhideWhenUsed/>
    <w:rsid w:val="00356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4194</Characters>
  <Application>Microsoft Office Word</Application>
  <DocSecurity>0</DocSecurity>
  <Lines>127</Lines>
  <Paragraphs>66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PSPCRT015 Administer court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