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912" w:rsidP="00BD0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PSPCRT011 Provide court support to Indigenous clients</w:t>
      </w:r>
      <w:r>
        <w:fldChar w:fldCharType="end"/>
      </w:r>
    </w:p>
    <w:p w:rsidR="00BD0912" w:rsidP="00BD0912">
      <w:pPr>
        <w:pStyle w:val="Version"/>
        <w:sectPr w:rsidSect="00D40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0FA1" w:rsidP="00D40FA1">
      <w:pPr>
        <w:pStyle w:val="SuperHeading"/>
      </w:pPr>
      <w:r w:rsidRPr="00D40FA1">
        <w:t>Assessment Requirements for PSPCRT011 Provide court support to Indigenous clients</w:t>
      </w:r>
    </w:p>
    <w:p w:rsidR="00000000" w:rsidRPr="00D40FA1" w:rsidP="00D40FA1">
      <w:pPr>
        <w:pStyle w:val="Heading1"/>
      </w:pPr>
      <w:bookmarkStart w:id="1" w:name="O_814435"/>
      <w:bookmarkEnd w:id="1"/>
      <w:r w:rsidRPr="00D40F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D0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A1">
            <w:pPr>
              <w:pStyle w:val="TableHeading"/>
              <w:rPr>
                <w:lang w:val="en-NZ"/>
              </w:rPr>
            </w:pPr>
            <w:r w:rsidRPr="00D40FA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A1">
            <w:pPr>
              <w:pStyle w:val="TableHeading"/>
              <w:rPr>
                <w:lang w:val="en-NZ"/>
              </w:rPr>
            </w:pPr>
            <w:r w:rsidRPr="00D40FA1">
              <w:t>Comments</w:t>
            </w:r>
          </w:p>
        </w:tc>
      </w:tr>
      <w:tr w:rsidTr="00BD0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0FA1">
            <w:pPr>
              <w:pStyle w:val="BodyText"/>
              <w:rPr>
                <w:lang w:val="en-NZ"/>
              </w:rPr>
            </w:pPr>
            <w:r w:rsidRPr="00D40FA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0FA1" w:rsidP="00D40FA1">
            <w:pPr>
              <w:pStyle w:val="BodyText"/>
            </w:pPr>
            <w:r w:rsidRPr="00D40FA1">
              <w:t xml:space="preserve">These Assessment Requirements were released in PSP Public Sector Training Package release 1.0 and meet the Standards for Training Packages. </w:t>
            </w:r>
          </w:p>
          <w:p w:rsidR="00000000" w:rsidRPr="00D40FA1" w:rsidP="00D40FA1">
            <w:pPr>
              <w:pStyle w:val="BodyText"/>
            </w:pPr>
          </w:p>
          <w:p w:rsidR="00000000" w:rsidRPr="00D40FA1" w:rsidP="00D40FA1">
            <w:pPr>
              <w:pStyle w:val="ListBullet"/>
            </w:pPr>
            <w:r w:rsidRPr="00D40FA1">
              <w:t>Assessment Requirements created drawing upon specified assessment information from superseded unit</w:t>
            </w:r>
          </w:p>
        </w:tc>
      </w:tr>
    </w:tbl>
    <w:p w:rsidR="00000000" w:rsidRPr="00D40FA1" w:rsidP="00D40FA1">
      <w:pPr>
        <w:pStyle w:val="BodyText"/>
      </w:pPr>
    </w:p>
    <w:p w:rsidR="00000000" w:rsidRPr="00D40FA1" w:rsidP="00D40FA1">
      <w:pPr>
        <w:pStyle w:val="AllowPageBreak"/>
      </w:pPr>
    </w:p>
    <w:p w:rsidR="00000000" w:rsidRPr="00D40FA1" w:rsidP="00D40FA1">
      <w:pPr>
        <w:pStyle w:val="Heading1"/>
      </w:pPr>
      <w:bookmarkStart w:id="2" w:name="O_814436"/>
      <w:bookmarkEnd w:id="2"/>
      <w:r w:rsidRPr="00D40FA1">
        <w:t>Performance Evidence</w:t>
      </w:r>
    </w:p>
    <w:p w:rsidR="00000000" w:rsidRPr="00D40FA1" w:rsidP="00BD0912">
      <w:pPr>
        <w:pStyle w:val="BodyText"/>
      </w:pPr>
      <w:r w:rsidRPr="00D40FA1">
        <w:t xml:space="preserve">Evidence required to demonstrate competence must satisfy all of the requirements of the elements and performance criteria. If not otherwise specified </w:t>
      </w:r>
      <w:r w:rsidRPr="00D40FA1">
        <w:t>the candidate must demonstrate evidence of performance of the following on at least one occasion.</w:t>
      </w:r>
    </w:p>
    <w:p w:rsidR="00000000" w:rsidRPr="00D40FA1" w:rsidP="00D40FA1">
      <w:pPr>
        <w:pStyle w:val="ListBullet"/>
      </w:pPr>
      <w:r w:rsidRPr="00D40FA1">
        <w:t>applying legislation, regulations and policies relating to courts administration, including those relating to Indigenous people and communities</w:t>
      </w:r>
    </w:p>
    <w:p w:rsidR="00000000" w:rsidRPr="00D40FA1" w:rsidP="00D40FA1">
      <w:pPr>
        <w:pStyle w:val="ListBullet"/>
      </w:pPr>
      <w:r w:rsidRPr="00D40FA1">
        <w:t>dealing effec</w:t>
      </w:r>
      <w:r w:rsidRPr="00D40FA1">
        <w:t>tively with Indigenous communities and people in a culturally appropriate manner</w:t>
      </w:r>
    </w:p>
    <w:p w:rsidR="00000000" w:rsidRPr="00D40FA1" w:rsidP="00D40FA1">
      <w:pPr>
        <w:pStyle w:val="ListBullet"/>
      </w:pPr>
      <w:r w:rsidRPr="00D40FA1">
        <w:t>responding sensitively and appropriately to disclosure and cultural issues</w:t>
      </w:r>
    </w:p>
    <w:p w:rsidR="00000000" w:rsidRPr="00D40FA1" w:rsidP="00D40FA1">
      <w:pPr>
        <w:pStyle w:val="ListBullet"/>
      </w:pPr>
      <w:r w:rsidRPr="00D40FA1">
        <w:t>maintaining confidentiality</w:t>
      </w:r>
    </w:p>
    <w:p w:rsidR="00000000" w:rsidRPr="00D40FA1" w:rsidP="00D40FA1">
      <w:pPr>
        <w:pStyle w:val="ListBullet"/>
      </w:pPr>
      <w:r w:rsidRPr="00D40FA1">
        <w:t>negotiating, using collaborative skills, between court, client, client’s</w:t>
      </w:r>
      <w:r w:rsidRPr="00D40FA1">
        <w:t xml:space="preserve"> family and community, and other service providers</w:t>
      </w:r>
    </w:p>
    <w:p w:rsidR="00000000" w:rsidRPr="00D40FA1" w:rsidP="00D40FA1">
      <w:pPr>
        <w:pStyle w:val="ListBullet"/>
      </w:pPr>
      <w:r w:rsidRPr="00D40FA1">
        <w:t>gathering and interpreting information</w:t>
      </w:r>
    </w:p>
    <w:p w:rsidR="00000000" w:rsidRPr="00D40FA1" w:rsidP="00D40FA1">
      <w:pPr>
        <w:pStyle w:val="AllowPageBreak"/>
      </w:pPr>
    </w:p>
    <w:p w:rsidR="00000000" w:rsidRPr="00D40FA1" w:rsidP="00D40FA1">
      <w:pPr>
        <w:pStyle w:val="Heading1"/>
      </w:pPr>
      <w:bookmarkStart w:id="3" w:name="O_814438"/>
      <w:bookmarkEnd w:id="3"/>
      <w:r w:rsidRPr="00D40FA1">
        <w:t>Knowledge Evidence</w:t>
      </w:r>
    </w:p>
    <w:p w:rsidR="00000000" w:rsidRPr="00D40FA1" w:rsidP="00BD0912">
      <w:pPr>
        <w:pStyle w:val="BodyText"/>
      </w:pPr>
      <w:r w:rsidRPr="00D40FA1">
        <w:t xml:space="preserve">Evidence required to demonstrate competence must satisfy all of the requirements of the elements and performance criteria. If not </w:t>
      </w:r>
      <w:r w:rsidRPr="00D40FA1">
        <w:t>otherwise specified the depth of knowledge demonstrated must be appropriate to the job context of the candidate.</w:t>
      </w:r>
    </w:p>
    <w:p w:rsidR="00000000" w:rsidRPr="00D40FA1" w:rsidP="00D40FA1">
      <w:pPr>
        <w:pStyle w:val="ListBullet"/>
      </w:pPr>
      <w:r w:rsidRPr="00D40FA1">
        <w:t>legislation, regulations, policies, procedures and guidelines relating to courts, court users and Indigenous communities</w:t>
      </w:r>
    </w:p>
    <w:p w:rsidR="00000000" w:rsidRPr="00D40FA1" w:rsidP="00D40FA1">
      <w:pPr>
        <w:pStyle w:val="ListBullet"/>
      </w:pPr>
      <w:r w:rsidRPr="00D40FA1">
        <w:t>criminal and civil ju</w:t>
      </w:r>
      <w:r w:rsidRPr="00D40FA1">
        <w:t>stice systems and legislation conferring jurisdiction</w:t>
      </w:r>
    </w:p>
    <w:p w:rsidR="00000000" w:rsidRPr="00D40FA1" w:rsidP="00D40FA1">
      <w:pPr>
        <w:pStyle w:val="ListBullet"/>
      </w:pPr>
      <w:r w:rsidRPr="00D40FA1">
        <w:t>courts administration structure</w:t>
      </w:r>
    </w:p>
    <w:p w:rsidR="00000000" w:rsidRPr="00D40FA1" w:rsidP="00D40FA1">
      <w:pPr>
        <w:pStyle w:val="ListBullet"/>
      </w:pPr>
      <w:r w:rsidRPr="00D40FA1">
        <w:t>principles of judicial independence</w:t>
      </w:r>
    </w:p>
    <w:p w:rsidR="00000000" w:rsidRPr="00D40FA1" w:rsidP="00D40FA1">
      <w:pPr>
        <w:pStyle w:val="ListBullet"/>
      </w:pPr>
      <w:r w:rsidRPr="00D40FA1">
        <w:t>range of referral sources and associated protocols for working with Indigenous clients</w:t>
      </w:r>
    </w:p>
    <w:p w:rsidR="00000000" w:rsidRPr="00D40FA1" w:rsidP="00D40FA1">
      <w:pPr>
        <w:pStyle w:val="ListBullet"/>
      </w:pPr>
      <w:r w:rsidRPr="00D40FA1">
        <w:t>policy approaches to courts administration that</w:t>
      </w:r>
      <w:r w:rsidRPr="00D40FA1">
        <w:t xml:space="preserve"> are specifically applicable to Indigenous people, including fine payment schemes, alternative sentencing options and flexible case management procedures</w:t>
      </w:r>
    </w:p>
    <w:p w:rsidR="00000000" w:rsidRPr="00D40FA1" w:rsidP="00D40FA1">
      <w:pPr>
        <w:pStyle w:val="ListBullet"/>
      </w:pPr>
      <w:r w:rsidRPr="00D40FA1">
        <w:t>social, historical, political and economic context of Indigenous justice issues</w:t>
      </w:r>
    </w:p>
    <w:p w:rsidR="00000000" w:rsidRPr="00D40FA1" w:rsidP="00D40FA1">
      <w:pPr>
        <w:pStyle w:val="ListBullet"/>
      </w:pPr>
      <w:r w:rsidRPr="00D40FA1">
        <w:t>Indigenous culture and</w:t>
      </w:r>
      <w:r w:rsidRPr="00D40FA1">
        <w:t xml:space="preserve"> customs</w:t>
      </w:r>
    </w:p>
    <w:p w:rsidR="00000000" w:rsidRPr="00D40FA1" w:rsidP="00D40FA1">
      <w:pPr>
        <w:pStyle w:val="ListBullet"/>
      </w:pPr>
      <w:r w:rsidRPr="00D40FA1">
        <w:t>local Indigenous issues and social structures</w:t>
      </w:r>
    </w:p>
    <w:p w:rsidR="00000000" w:rsidRPr="00D40FA1" w:rsidP="00D40FA1">
      <w:pPr>
        <w:pStyle w:val="ListBullet"/>
      </w:pPr>
      <w:r w:rsidRPr="00D40FA1">
        <w:t>procedures relating to public services legislation, including WHS and environment, in the context of court support services</w:t>
      </w:r>
    </w:p>
    <w:p w:rsidR="00000000" w:rsidRPr="00D40FA1" w:rsidP="00D40FA1">
      <w:pPr>
        <w:pStyle w:val="ListBullet"/>
      </w:pPr>
      <w:r w:rsidRPr="00D40FA1">
        <w:t>principles of financial budgeting and assessment</w:t>
      </w:r>
    </w:p>
    <w:p w:rsidR="00000000" w:rsidRPr="00D40FA1" w:rsidP="00D40FA1">
      <w:pPr>
        <w:pStyle w:val="ListBullet"/>
      </w:pPr>
      <w:r w:rsidRPr="00D40FA1">
        <w:t>equity and diversity principles</w:t>
      </w:r>
    </w:p>
    <w:p w:rsidR="00000000" w:rsidRPr="00D40FA1" w:rsidP="00D40FA1">
      <w:pPr>
        <w:pStyle w:val="AllowPageBreak"/>
      </w:pPr>
    </w:p>
    <w:p w:rsidR="00000000" w:rsidRPr="00D40FA1" w:rsidP="00D40FA1">
      <w:pPr>
        <w:pStyle w:val="Heading1"/>
      </w:pPr>
      <w:bookmarkStart w:id="4" w:name="O_814441"/>
      <w:bookmarkEnd w:id="4"/>
      <w:r w:rsidRPr="00D40FA1">
        <w:t>Assessment Conditions</w:t>
      </w:r>
    </w:p>
    <w:p w:rsidR="00000000" w:rsidRPr="00D40FA1" w:rsidP="00BD0912">
      <w:pPr>
        <w:pStyle w:val="BodyText"/>
      </w:pPr>
      <w:r w:rsidRPr="00D40FA1">
        <w:t>Assessment of this unit requires a workplace environment or one that closely resembles normal work practice and replicates the diverse conditions likely to be encountered when providing</w:t>
      </w:r>
      <w:r w:rsidRPr="00D40FA1">
        <w:t xml:space="preserve"> court support to Indigenous clients.</w:t>
      </w:r>
    </w:p>
    <w:p w:rsidR="00BD0912" w:rsidP="00BD0912">
      <w:pPr>
        <w:pStyle w:val="BodyText"/>
      </w:pPr>
      <w:r w:rsidRPr="00D40FA1">
        <w:t>Assessors must satisfy the NVR/AQTF mandatory competency requirements for assessors.</w:t>
      </w:r>
    </w:p>
    <w:p w:rsidR="00000000" w:rsidRPr="00D40FA1" w:rsidP="00D40FA1">
      <w:pPr>
        <w:pStyle w:val="Heading1"/>
      </w:pPr>
      <w:bookmarkStart w:id="5" w:name="O_814448"/>
      <w:bookmarkEnd w:id="5"/>
      <w:r w:rsidRPr="00D40FA1">
        <w:t>Links</w:t>
      </w:r>
    </w:p>
    <w:p w:rsidR="00000000" w:rsidRPr="00D40FA1" w:rsidP="00BD0912">
      <w:pPr>
        <w:pStyle w:val="BodyText"/>
      </w:pPr>
      <w:r w:rsidRPr="00D40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13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0FA1" w:rsidP="00BD0912">
      <w:pPr>
        <w:pStyle w:val="BodyText"/>
      </w:pPr>
      <w:r w:rsidRPr="00D40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13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0FA1" w:rsidP="00BD0912">
      <w:pPr>
        <w:pStyle w:val="BodyText"/>
      </w:pPr>
      <w:r w:rsidRPr="00D40F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137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40FA1" w:rsidP="00D40FA1"/>
    <w:sectPr w:rsidSect="00D40F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1" w:rsidRPr="00BD0912" w:rsidP="00BD0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12" w:rsidP="00D40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912" w:rsidP="00D40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0912" w:rsidP="00D40F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0FA1" w:rsidRPr="00BD0912" w:rsidP="00BD0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912" w:rsidRPr="002D2AF8" w:rsidP="00D40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PSPCRT011 Provide court support to Indigenous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BD0912" w:rsidP="00D40F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24E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9A8F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0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0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0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0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0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0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0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0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0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0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0FA1"/>
  </w:style>
  <w:style w:type="character" w:customStyle="1" w:styleId="Heading1Char">
    <w:name w:val="Heading 1 Char"/>
    <w:basedOn w:val="DefaultParagraphFont"/>
    <w:link w:val="Heading1"/>
    <w:rsid w:val="00D40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0F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0F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0F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40F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40F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40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0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0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0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0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0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0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0F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0F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0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0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0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0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0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0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0F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0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0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0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0F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0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0FA1"/>
    <w:rPr>
      <w:b/>
      <w:spacing w:val="0"/>
    </w:rPr>
  </w:style>
  <w:style w:type="paragraph" w:customStyle="1" w:styleId="SuperTitle">
    <w:name w:val="SuperTitle"/>
    <w:basedOn w:val="Title"/>
    <w:rsid w:val="00D40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0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0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0F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0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0F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0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0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0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0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0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0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0F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0FA1"/>
    <w:rPr>
      <w:i/>
    </w:rPr>
  </w:style>
  <w:style w:type="paragraph" w:styleId="Caption">
    <w:name w:val="caption"/>
    <w:basedOn w:val="BodyText"/>
    <w:next w:val="Normal"/>
    <w:qFormat/>
    <w:rsid w:val="00D40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0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0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0FA1"/>
  </w:style>
  <w:style w:type="paragraph" w:styleId="TableofFigures">
    <w:name w:val="table of figures"/>
    <w:basedOn w:val="Normal"/>
    <w:next w:val="Normal"/>
    <w:semiHidden/>
    <w:rsid w:val="00D40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0F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0FA1"/>
    <w:rPr>
      <w:rFonts w:ascii="Wingdings" w:hAnsi="Wingdings"/>
    </w:rPr>
  </w:style>
  <w:style w:type="character" w:customStyle="1" w:styleId="HotSpot">
    <w:name w:val="HotSpot"/>
    <w:rsid w:val="00D40FA1"/>
    <w:rPr>
      <w:color w:val="0033CC"/>
      <w:u w:val="none"/>
    </w:rPr>
  </w:style>
  <w:style w:type="paragraph" w:customStyle="1" w:styleId="BodyTextRight">
    <w:name w:val="Body Text Right"/>
    <w:basedOn w:val="BodyText"/>
    <w:rsid w:val="00D40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0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0F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0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0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0F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0FA1"/>
    <w:rPr>
      <w:sz w:val="32"/>
    </w:rPr>
  </w:style>
  <w:style w:type="paragraph" w:customStyle="1" w:styleId="HeadingProcedure">
    <w:name w:val="Heading Procedure"/>
    <w:basedOn w:val="HeadingBase"/>
    <w:next w:val="Normal"/>
    <w:rsid w:val="00D40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0FA1"/>
    <w:pPr>
      <w:spacing w:before="60" w:after="60"/>
    </w:pPr>
  </w:style>
  <w:style w:type="paragraph" w:styleId="ListContinue">
    <w:name w:val="List Continue"/>
    <w:basedOn w:val="List"/>
    <w:rsid w:val="00D40FA1"/>
    <w:pPr>
      <w:ind w:firstLine="0"/>
    </w:pPr>
  </w:style>
  <w:style w:type="paragraph" w:customStyle="1" w:styleId="ListNote">
    <w:name w:val="List Note"/>
    <w:basedOn w:val="List"/>
    <w:rsid w:val="00D40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0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0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0FA1"/>
    <w:rPr>
      <w:rFonts w:ascii="Courier New" w:hAnsi="Courier New"/>
    </w:rPr>
  </w:style>
  <w:style w:type="paragraph" w:customStyle="1" w:styleId="NoteBullet">
    <w:name w:val="Note Bullet"/>
    <w:basedOn w:val="Note"/>
    <w:rsid w:val="00D40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0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0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0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0F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0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0F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0FA1"/>
    <w:rPr>
      <w:b/>
      <w:smallCaps/>
    </w:rPr>
  </w:style>
  <w:style w:type="paragraph" w:customStyle="1" w:styleId="TableListNumber">
    <w:name w:val="Table List Number"/>
    <w:basedOn w:val="ListNumber"/>
    <w:rsid w:val="00D40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0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0FA1"/>
    <w:pPr>
      <w:numPr>
        <w:numId w:val="8"/>
      </w:numPr>
    </w:pPr>
  </w:style>
  <w:style w:type="paragraph" w:customStyle="1" w:styleId="ListAlpha2">
    <w:name w:val="List Alpha 2"/>
    <w:basedOn w:val="List2"/>
    <w:rsid w:val="00D40FA1"/>
    <w:pPr>
      <w:numPr>
        <w:numId w:val="7"/>
      </w:numPr>
    </w:pPr>
  </w:style>
  <w:style w:type="paragraph" w:styleId="List2">
    <w:name w:val="List 2"/>
    <w:basedOn w:val="BodyText"/>
    <w:rsid w:val="00D40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0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0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0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0F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0F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0FA1"/>
    <w:pPr>
      <w:numPr>
        <w:numId w:val="3"/>
      </w:numPr>
    </w:pPr>
  </w:style>
  <w:style w:type="paragraph" w:styleId="ListContinue2">
    <w:name w:val="List Continue 2"/>
    <w:basedOn w:val="List2"/>
    <w:rsid w:val="00D40FA1"/>
    <w:pPr>
      <w:ind w:firstLine="0"/>
    </w:pPr>
  </w:style>
  <w:style w:type="paragraph" w:styleId="ListContinue3">
    <w:name w:val="List Continue 3"/>
    <w:basedOn w:val="List3"/>
    <w:rsid w:val="00D40FA1"/>
    <w:pPr>
      <w:ind w:left="1021" w:firstLine="0"/>
    </w:pPr>
  </w:style>
  <w:style w:type="paragraph" w:styleId="ListContinue4">
    <w:name w:val="List Continue 4"/>
    <w:basedOn w:val="List4"/>
    <w:rsid w:val="00D40FA1"/>
    <w:pPr>
      <w:ind w:firstLine="0"/>
    </w:pPr>
  </w:style>
  <w:style w:type="paragraph" w:styleId="ListContinue5">
    <w:name w:val="List Continue 5"/>
    <w:basedOn w:val="List5"/>
    <w:rsid w:val="00D40FA1"/>
    <w:pPr>
      <w:ind w:firstLine="0"/>
    </w:pPr>
  </w:style>
  <w:style w:type="paragraph" w:styleId="ListNumber3">
    <w:name w:val="List Number 3"/>
    <w:basedOn w:val="List3"/>
    <w:rsid w:val="00D40FA1"/>
    <w:pPr>
      <w:numPr>
        <w:numId w:val="4"/>
      </w:numPr>
    </w:pPr>
  </w:style>
  <w:style w:type="paragraph" w:styleId="ListNumber4">
    <w:name w:val="List Number 4"/>
    <w:basedOn w:val="List4"/>
    <w:rsid w:val="00D40FA1"/>
    <w:pPr>
      <w:numPr>
        <w:numId w:val="5"/>
      </w:numPr>
    </w:pPr>
  </w:style>
  <w:style w:type="paragraph" w:styleId="ListNumber5">
    <w:name w:val="List Number 5"/>
    <w:basedOn w:val="List5"/>
    <w:rsid w:val="00D40FA1"/>
    <w:pPr>
      <w:numPr>
        <w:numId w:val="6"/>
      </w:numPr>
    </w:pPr>
  </w:style>
  <w:style w:type="paragraph" w:styleId="BlockText">
    <w:name w:val="Block Text"/>
    <w:basedOn w:val="Normal"/>
    <w:rsid w:val="00D40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0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0FA1"/>
    <w:rPr>
      <w:sz w:val="16"/>
      <w:vertAlign w:val="superscript"/>
    </w:rPr>
  </w:style>
  <w:style w:type="character" w:customStyle="1" w:styleId="Symbols">
    <w:name w:val="Symbols"/>
    <w:basedOn w:val="DefaultParagraphFont"/>
    <w:rsid w:val="00D40FA1"/>
    <w:rPr>
      <w:rFonts w:ascii="Symbol" w:hAnsi="Symbol"/>
    </w:rPr>
  </w:style>
  <w:style w:type="character" w:customStyle="1" w:styleId="MenuOptions">
    <w:name w:val="Menu Options"/>
    <w:basedOn w:val="DefaultParagraphFont"/>
    <w:rsid w:val="00D40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0FA1"/>
    <w:rPr>
      <w:b/>
    </w:rPr>
  </w:style>
  <w:style w:type="character" w:customStyle="1" w:styleId="Underlined">
    <w:name w:val="Underlined"/>
    <w:basedOn w:val="DefaultParagraphFont"/>
    <w:rsid w:val="00D40FA1"/>
    <w:rPr>
      <w:u w:val="single"/>
    </w:rPr>
  </w:style>
  <w:style w:type="paragraph" w:customStyle="1" w:styleId="TableBodyTextRight">
    <w:name w:val="Table Body Text Right"/>
    <w:basedOn w:val="TableBodyText"/>
    <w:rsid w:val="00D40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0FA1"/>
    <w:rPr>
      <w:sz w:val="18"/>
    </w:rPr>
  </w:style>
  <w:style w:type="paragraph" w:customStyle="1" w:styleId="BodySmallRight">
    <w:name w:val="Body Small Right"/>
    <w:basedOn w:val="BodyTextRight"/>
    <w:rsid w:val="00D40FA1"/>
    <w:rPr>
      <w:sz w:val="18"/>
      <w:szCs w:val="18"/>
    </w:rPr>
  </w:style>
  <w:style w:type="paragraph" w:customStyle="1" w:styleId="MarginEdition">
    <w:name w:val="Margin Edition"/>
    <w:basedOn w:val="MarginNote"/>
    <w:rsid w:val="00D40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0FA1"/>
    <w:rPr>
      <w:sz w:val="2"/>
      <w:szCs w:val="2"/>
    </w:rPr>
  </w:style>
  <w:style w:type="character" w:customStyle="1" w:styleId="Small">
    <w:name w:val="Small"/>
    <w:basedOn w:val="DefaultParagraphFont"/>
    <w:rsid w:val="00D40FA1"/>
    <w:rPr>
      <w:sz w:val="16"/>
    </w:rPr>
  </w:style>
  <w:style w:type="paragraph" w:customStyle="1" w:styleId="WideTable">
    <w:name w:val="Wide Table"/>
    <w:basedOn w:val="Normal"/>
    <w:rsid w:val="00D40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0FA1"/>
  </w:style>
  <w:style w:type="paragraph" w:styleId="Quote">
    <w:name w:val="Quote"/>
    <w:basedOn w:val="Heading1"/>
    <w:link w:val="QuoteChar"/>
    <w:qFormat/>
    <w:rsid w:val="00D40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0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0FA1"/>
    <w:pPr>
      <w:pageBreakBefore/>
    </w:pPr>
  </w:style>
  <w:style w:type="paragraph" w:customStyle="1" w:styleId="Border">
    <w:name w:val="Border"/>
    <w:basedOn w:val="Normal"/>
    <w:qFormat/>
    <w:rsid w:val="00D40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0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F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0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0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0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0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0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0FA1"/>
    <w:rPr>
      <w:u w:val="single"/>
    </w:rPr>
  </w:style>
  <w:style w:type="character" w:customStyle="1" w:styleId="BoldandItalics">
    <w:name w:val="Bold and Italics"/>
    <w:qFormat/>
    <w:rsid w:val="00D40FA1"/>
    <w:rPr>
      <w:b/>
      <w:i/>
      <w:u w:val="none"/>
    </w:rPr>
  </w:style>
  <w:style w:type="paragraph" w:styleId="BalloonText">
    <w:name w:val="Balloon Text"/>
    <w:basedOn w:val="Normal"/>
    <w:link w:val="BalloonTextChar"/>
    <w:rsid w:val="00D40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0F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0F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0F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0F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0F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0FA1"/>
    <w:pPr>
      <w:spacing w:before="0" w:after="0"/>
    </w:pPr>
  </w:style>
  <w:style w:type="paragraph" w:customStyle="1" w:styleId="BodyTextBold">
    <w:name w:val="Body Text Bold"/>
    <w:basedOn w:val="BodyText"/>
    <w:qFormat/>
    <w:rsid w:val="00D40FA1"/>
    <w:rPr>
      <w:b/>
    </w:rPr>
  </w:style>
  <w:style w:type="character" w:styleId="Hyperlink">
    <w:name w:val="Hyperlink"/>
    <w:basedOn w:val="DefaultParagraphFont"/>
    <w:uiPriority w:val="99"/>
    <w:unhideWhenUsed/>
    <w:rsid w:val="00BD0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3133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3510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PSPCRT011 Provide court support to Indigenous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