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274" w:rsidP="005F2274">
      <w:pPr>
        <w:pStyle w:val="Title"/>
      </w:pPr>
      <w:r>
        <w:fldChar w:fldCharType="begin"/>
      </w:r>
      <w:r>
        <w:instrText xml:space="preserve"> TITLE   \* MERGEFORMAT </w:instrText>
      </w:r>
      <w:r>
        <w:fldChar w:fldCharType="separate"/>
      </w:r>
      <w:r>
        <w:t>PSPCRT006 Handle monies received in satisfaction of warrants and orders</w:t>
      </w:r>
      <w:r>
        <w:fldChar w:fldCharType="end"/>
      </w:r>
    </w:p>
    <w:p w:rsidR="005F2274" w:rsidP="005F2274">
      <w:pPr>
        <w:pStyle w:val="Version"/>
        <w:sectPr w:rsidSect="00C84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175" w:rsidP="00C84175">
      <w:pPr>
        <w:pStyle w:val="SuperHeading"/>
      </w:pPr>
      <w:r w:rsidRPr="00C84175">
        <w:t>PSPCRT006 Handle monies received in satisfaction of warrants and orders</w:t>
      </w:r>
    </w:p>
    <w:p w:rsidR="00000000" w:rsidRPr="00C84175" w:rsidP="00C84175">
      <w:pPr>
        <w:pStyle w:val="Heading1"/>
      </w:pPr>
      <w:bookmarkStart w:id="1" w:name="O_814281"/>
      <w:bookmarkEnd w:id="1"/>
      <w:r w:rsidRPr="00C84175">
        <w:t>Modification History</w:t>
      </w:r>
    </w:p>
    <w:tbl>
      <w:tblPr>
        <w:tblW w:w="0" w:type="auto"/>
        <w:tblLayout w:type="fixed"/>
        <w:tblCellMar>
          <w:left w:w="62" w:type="dxa"/>
          <w:right w:w="62" w:type="dxa"/>
        </w:tblCellMar>
        <w:tblLook w:val="0000"/>
      </w:tblPr>
      <w:tblGrid>
        <w:gridCol w:w="1134"/>
        <w:gridCol w:w="7937"/>
      </w:tblGrid>
      <w:tr w:rsidTr="005F22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TableHeading"/>
              <w:rPr>
                <w:lang w:val="en-NZ"/>
              </w:rPr>
            </w:pPr>
            <w:r w:rsidRPr="00C841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TableHeading"/>
              <w:rPr>
                <w:lang w:val="en-NZ"/>
              </w:rPr>
            </w:pPr>
            <w:r w:rsidRPr="00C84175">
              <w:t>Comments</w:t>
            </w:r>
          </w:p>
        </w:tc>
      </w:tr>
      <w:tr w:rsidTr="005F22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BodyText"/>
              <w:rPr>
                <w:lang w:val="en-NZ"/>
              </w:rPr>
            </w:pPr>
            <w:r w:rsidRPr="00C841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175" w:rsidP="00C84175">
            <w:pPr>
              <w:pStyle w:val="BodyText"/>
            </w:pPr>
            <w:r w:rsidRPr="00C84175">
              <w:t xml:space="preserve">This unit was released in PSP Public Sector Training Package release 1.0 and meets the Standards for Training Packages. </w:t>
            </w:r>
          </w:p>
          <w:p w:rsidR="00000000" w:rsidRPr="00C84175" w:rsidP="00C84175">
            <w:pPr>
              <w:pStyle w:val="BodyText"/>
            </w:pPr>
          </w:p>
          <w:p w:rsidR="00000000" w:rsidRPr="00C84175" w:rsidP="00C84175">
            <w:pPr>
              <w:pStyle w:val="BodyText"/>
            </w:pPr>
            <w:r w:rsidRPr="00C84175">
              <w:t>This unit supersedes and is equivalent to PSPCRT405C Handle monies received in satisfaction of warrants and orders.</w:t>
            </w:r>
          </w:p>
          <w:p w:rsidR="00000000" w:rsidRPr="00C84175" w:rsidP="00C84175">
            <w:pPr>
              <w:pStyle w:val="BodyText"/>
            </w:pPr>
          </w:p>
          <w:p w:rsidR="00000000" w:rsidRPr="00C84175" w:rsidP="00C84175">
            <w:pPr>
              <w:pStyle w:val="ListBullet"/>
            </w:pPr>
            <w:r w:rsidRPr="00C84175">
              <w:t>Unit code updated</w:t>
            </w:r>
          </w:p>
          <w:p w:rsidR="00000000" w:rsidRPr="00C84175" w:rsidP="00C84175">
            <w:pPr>
              <w:pStyle w:val="ListBullet"/>
            </w:pPr>
            <w:r w:rsidRPr="00C84175">
              <w:t>Content and formatting updated to comply with new standards</w:t>
            </w:r>
          </w:p>
          <w:p w:rsidR="00000000" w:rsidRPr="00C84175" w:rsidP="00C84175">
            <w:pPr>
              <w:pStyle w:val="ListBullet"/>
            </w:pPr>
            <w:r w:rsidRPr="00C84175">
              <w:t>All PC transitioned from passive to active voice</w:t>
            </w:r>
          </w:p>
        </w:tc>
      </w:tr>
    </w:tbl>
    <w:p w:rsidR="00000000" w:rsidRPr="00C84175" w:rsidP="00C84175">
      <w:pPr>
        <w:pStyle w:val="BodyText"/>
      </w:pPr>
    </w:p>
    <w:p w:rsidR="00000000" w:rsidRPr="00C84175" w:rsidP="00C84175">
      <w:pPr>
        <w:pStyle w:val="AllowPageBreak"/>
      </w:pPr>
    </w:p>
    <w:p w:rsidR="00000000" w:rsidRPr="00C84175" w:rsidP="00C84175">
      <w:pPr>
        <w:pStyle w:val="Heading1"/>
      </w:pPr>
      <w:bookmarkStart w:id="2" w:name="O_814282"/>
      <w:bookmarkEnd w:id="2"/>
      <w:r w:rsidRPr="00C84175">
        <w:t>Application</w:t>
      </w:r>
    </w:p>
    <w:p w:rsidR="00000000" w:rsidRPr="00C84175" w:rsidP="005F2274">
      <w:pPr>
        <w:pStyle w:val="BodyText"/>
      </w:pPr>
      <w:r w:rsidRPr="00C84175">
        <w:t>This unit describes the skills required to securely collect and bank monies received in satisfaction of warrants and orders. It includes dealing with difficult collection situations and applying knowledge of the policies, procedures and</w:t>
      </w:r>
      <w:r w:rsidRPr="00C84175">
        <w:t xml:space="preserve"> legislation relating to handling civil monies.</w:t>
      </w:r>
    </w:p>
    <w:p w:rsidR="00000000" w:rsidRPr="00C84175" w:rsidP="005F2274">
      <w:pPr>
        <w:pStyle w:val="BodyText"/>
      </w:pPr>
      <w:r w:rsidRPr="00C84175">
        <w:t>This unit applies to those working within the court system operating under procedures set by the court.</w:t>
      </w:r>
    </w:p>
    <w:p w:rsidR="00000000" w:rsidRPr="00C84175" w:rsidP="005F2274">
      <w:pPr>
        <w:pStyle w:val="BodyText"/>
      </w:pPr>
      <w:r w:rsidRPr="00C84175">
        <w:t>The skills and knowledge described in this unit must be applied within the legislative, regulatory and</w:t>
      </w:r>
      <w:r w:rsidRPr="00C84175">
        <w:t xml:space="preserve"> policy environment in which they are carried out. Organisational policies and procedures must be consulted and adhered to, particularly those set by the court.</w:t>
      </w:r>
    </w:p>
    <w:p w:rsidR="00000000" w:rsidRPr="00C84175" w:rsidP="005F2274">
      <w:pPr>
        <w:pStyle w:val="BodyText"/>
      </w:pPr>
      <w:r w:rsidRPr="00C84175">
        <w:t>Those undertaking this unit would generally work independently with occasional supervisory res</w:t>
      </w:r>
      <w:r w:rsidRPr="00C84175">
        <w:t>ponsibilities. They would perform complex tasks in a range of familiar and unfamiliar contexts.</w:t>
      </w:r>
    </w:p>
    <w:p w:rsidR="005F2274" w:rsidP="005F2274">
      <w:pPr>
        <w:pStyle w:val="BodyText"/>
      </w:pPr>
      <w:r w:rsidRPr="00C84175">
        <w:t>No licensing, legislative or certification requirements apply to unit at the time of publication.</w:t>
      </w:r>
    </w:p>
    <w:p w:rsidR="00000000" w:rsidRPr="00C84175" w:rsidP="00C84175">
      <w:pPr>
        <w:pStyle w:val="Heading1"/>
      </w:pPr>
      <w:bookmarkStart w:id="3" w:name="O_814284"/>
      <w:bookmarkEnd w:id="3"/>
      <w:r w:rsidRPr="00C84175">
        <w:t>Competency Field</w:t>
      </w:r>
    </w:p>
    <w:p w:rsidR="00000000" w:rsidRPr="00C84175" w:rsidP="005F2274">
      <w:pPr>
        <w:pStyle w:val="BodyText"/>
      </w:pPr>
      <w:r w:rsidRPr="00C84175">
        <w:t>Courts</w:t>
      </w:r>
    </w:p>
    <w:p w:rsidR="00000000" w:rsidRPr="00C84175" w:rsidP="00C84175">
      <w:pPr>
        <w:pStyle w:val="Heading1"/>
      </w:pPr>
      <w:bookmarkStart w:id="4" w:name="O_814286"/>
      <w:bookmarkEnd w:id="4"/>
      <w:r w:rsidRPr="00C84175">
        <w:t>El</w:t>
      </w:r>
      <w:r w:rsidRPr="00C84175">
        <w:t>ements and Performance Criteria</w:t>
      </w:r>
    </w:p>
    <w:tbl>
      <w:tblPr>
        <w:tblW w:w="0" w:type="auto"/>
        <w:tblLayout w:type="fixed"/>
        <w:tblCellMar>
          <w:left w:w="62" w:type="dxa"/>
          <w:right w:w="62" w:type="dxa"/>
        </w:tblCellMar>
        <w:tblLook w:val="0000"/>
      </w:tblPr>
      <w:tblGrid>
        <w:gridCol w:w="2203"/>
        <w:gridCol w:w="6804"/>
      </w:tblGrid>
      <w:tr w:rsidTr="00C841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TableHeading"/>
              <w:rPr>
                <w:lang w:val="en-NZ"/>
              </w:rPr>
            </w:pPr>
            <w:r w:rsidRPr="00C841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TableHeading"/>
              <w:rPr>
                <w:lang w:val="en-NZ"/>
              </w:rPr>
            </w:pPr>
            <w:r w:rsidRPr="00C84175">
              <w:t>PERFORMANCE CRITERIA</w:t>
            </w:r>
          </w:p>
        </w:tc>
      </w:tr>
      <w:tr w:rsidTr="00C841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BodyText"/>
              <w:rPr>
                <w:lang w:val="en-NZ"/>
              </w:rPr>
            </w:pPr>
            <w:r w:rsidRPr="00C841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BodyText"/>
              <w:rPr>
                <w:lang w:val="en-NZ"/>
              </w:rPr>
            </w:pPr>
            <w:r w:rsidRPr="00C84175">
              <w:t xml:space="preserve">Performance criteria describe the performance needed to demonstrate achievement of the element. Where bold italicised text is used, further information </w:t>
            </w:r>
            <w:r w:rsidRPr="00C84175">
              <w:t>is detailed in the range of conditions section.</w:t>
            </w:r>
          </w:p>
        </w:tc>
      </w:tr>
      <w:tr w:rsidTr="00C841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List"/>
              <w:rPr>
                <w:lang w:val="en-NZ"/>
              </w:rPr>
            </w:pPr>
            <w:r w:rsidRPr="00C84175">
              <w:rPr>
                <w:rStyle w:val="SpecialBold"/>
              </w:rPr>
              <w:t>1.</w:t>
            </w:r>
            <w:r w:rsidRPr="00C84175">
              <w:rPr>
                <w:rStyle w:val="SpecialBold"/>
              </w:rPr>
              <w:tab/>
              <w:t>Receive monies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175" w:rsidP="00C84175">
            <w:pPr>
              <w:pStyle w:val="List"/>
            </w:pPr>
            <w:r w:rsidRPr="00C84175">
              <w:t>1.1</w:t>
            </w:r>
            <w:r w:rsidRPr="00C84175">
              <w:tab/>
              <w:t>Obtain or confirm authorisations for the collection of monies in satisfaction of an order or warrant.</w:t>
            </w:r>
          </w:p>
          <w:p w:rsidR="00000000" w:rsidRPr="00C84175" w:rsidP="00C84175">
            <w:pPr>
              <w:pStyle w:val="List"/>
            </w:pPr>
            <w:r w:rsidRPr="00C84175">
              <w:t>1.2</w:t>
            </w:r>
            <w:r w:rsidRPr="00C84175">
              <w:tab/>
              <w:t>Undertake risk assessment and determine strategies to remove, control or minimi</w:t>
            </w:r>
            <w:r w:rsidRPr="00C84175">
              <w:t>se identified risks.</w:t>
            </w:r>
          </w:p>
          <w:p w:rsidR="00000000" w:rsidRPr="00C84175" w:rsidP="00C84175">
            <w:pPr>
              <w:pStyle w:val="List"/>
            </w:pPr>
            <w:r w:rsidRPr="00C84175">
              <w:t>1.3</w:t>
            </w:r>
            <w:r w:rsidRPr="00C84175">
              <w:tab/>
              <w:t>Respond to queries or requests for information using established customer service techniques.</w:t>
            </w:r>
          </w:p>
          <w:p w:rsidR="00000000" w:rsidRPr="00C84175" w:rsidP="00C84175">
            <w:pPr>
              <w:pStyle w:val="List"/>
            </w:pPr>
            <w:r w:rsidRPr="00C84175">
              <w:t>1.4</w:t>
            </w:r>
            <w:r w:rsidRPr="00C84175">
              <w:tab/>
              <w:t>Collect and receipt monies and implement contingencies to protect the safety of self and others as required.</w:t>
            </w:r>
          </w:p>
          <w:p w:rsidR="00000000" w:rsidP="00C84175">
            <w:pPr>
              <w:pStyle w:val="List"/>
              <w:rPr>
                <w:lang w:val="en-NZ"/>
              </w:rPr>
            </w:pPr>
            <w:r w:rsidRPr="00C84175">
              <w:t>1.5</w:t>
            </w:r>
            <w:r w:rsidRPr="00C84175">
              <w:tab/>
              <w:t>Maintain security of</w:t>
            </w:r>
            <w:r w:rsidRPr="00C84175">
              <w:t xml:space="preserve"> monies and receipt books.</w:t>
            </w:r>
          </w:p>
        </w:tc>
      </w:tr>
      <w:tr w:rsidTr="00C841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175">
            <w:pPr>
              <w:pStyle w:val="List"/>
              <w:rPr>
                <w:lang w:val="en-NZ"/>
              </w:rPr>
            </w:pPr>
            <w:r w:rsidRPr="00C84175">
              <w:rPr>
                <w:rStyle w:val="SpecialBold"/>
              </w:rPr>
              <w:t>2.</w:t>
            </w:r>
            <w:r w:rsidRPr="00C84175">
              <w:rPr>
                <w:rStyle w:val="SpecialBold"/>
              </w:rPr>
              <w:tab/>
              <w:t>Deposit monies received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175" w:rsidP="00C84175">
            <w:pPr>
              <w:pStyle w:val="List"/>
            </w:pPr>
            <w:r w:rsidRPr="00C84175">
              <w:t>2.1</w:t>
            </w:r>
            <w:r w:rsidRPr="00C84175">
              <w:tab/>
              <w:t>Secure or bank monies received according to designated timelines and legislative requirements for the type of process served and the jurisdiction.</w:t>
            </w:r>
          </w:p>
          <w:p w:rsidR="00000000" w:rsidRPr="00C84175" w:rsidP="00C84175">
            <w:pPr>
              <w:pStyle w:val="List"/>
            </w:pPr>
            <w:r w:rsidRPr="00C84175">
              <w:t>2.2</w:t>
            </w:r>
            <w:r w:rsidRPr="00C84175">
              <w:tab/>
              <w:t>Maintain receipts and banking data, process pa</w:t>
            </w:r>
            <w:r w:rsidRPr="00C84175">
              <w:t>yments and complete records.</w:t>
            </w:r>
          </w:p>
        </w:tc>
      </w:tr>
    </w:tbl>
    <w:p w:rsidR="00000000" w:rsidRPr="00C84175" w:rsidP="00C84175">
      <w:pPr>
        <w:pStyle w:val="BodyText"/>
      </w:pPr>
    </w:p>
    <w:p w:rsidR="00000000" w:rsidRPr="00C84175" w:rsidP="00C84175">
      <w:pPr>
        <w:pStyle w:val="AllowPageBreak"/>
      </w:pPr>
    </w:p>
    <w:p w:rsidR="00000000" w:rsidRPr="00C84175" w:rsidP="00C84175">
      <w:pPr>
        <w:pStyle w:val="Heading1"/>
      </w:pPr>
      <w:bookmarkStart w:id="5" w:name="O_814287"/>
      <w:bookmarkEnd w:id="5"/>
      <w:r w:rsidRPr="00C84175">
        <w:t>Foundation Skills</w:t>
      </w:r>
    </w:p>
    <w:p w:rsidR="00000000" w:rsidRPr="00C84175" w:rsidP="005F2274">
      <w:pPr>
        <w:pStyle w:val="BodyText"/>
      </w:pPr>
      <w:r w:rsidRPr="00C84175">
        <w:t xml:space="preserve">The foundation skills demands of this unit have been mapped for alignment with the Australian Core Skills Framework (ACSF). The following tables outline the performance levels indicated for </w:t>
      </w:r>
      <w:r w:rsidRPr="00C84175">
        <w:t>successful attainment of the unit.</w:t>
      </w:r>
    </w:p>
    <w:p w:rsidR="00000000" w:rsidRPr="00C84175" w:rsidP="00C84175">
      <w:pPr>
        <w:pStyle w:val="BodyText"/>
        <w:keepNext/>
      </w:pPr>
    </w:p>
    <w:p w:rsidR="00000000" w:rsidRPr="00C84175" w:rsidP="00C84175">
      <w:pPr>
        <w:pStyle w:val="BodyText"/>
      </w:pPr>
      <w:bookmarkStart w:id="6" w:name="O_8486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76.25pt">
            <v:imagedata r:id="rId10" o:title=""/>
          </v:shape>
        </w:pict>
      </w:r>
      <w:bookmarkEnd w:id="6"/>
    </w:p>
    <w:p w:rsidR="00000000" w:rsidRPr="00C84175" w:rsidP="00C84175">
      <w:pPr>
        <w:pStyle w:val="BodyText"/>
      </w:pPr>
    </w:p>
    <w:p w:rsidR="00000000" w:rsidRPr="00C84175" w:rsidP="005F2274">
      <w:pPr>
        <w:pStyle w:val="BodyText"/>
      </w:pPr>
      <w:r w:rsidRPr="00C84175">
        <w:t>Further information on ACSF and the foundation skills underpinning this unit can be found in the Foundation Skills Guide on the GSA website.</w:t>
      </w:r>
    </w:p>
    <w:p w:rsidR="00000000" w:rsidRPr="00C84175" w:rsidP="00C84175">
      <w:pPr>
        <w:pStyle w:val="Heading1"/>
      </w:pPr>
      <w:bookmarkStart w:id="7" w:name="O_814288"/>
      <w:bookmarkEnd w:id="7"/>
      <w:r w:rsidRPr="00C84175">
        <w:t>Range of Conditions</w:t>
      </w:r>
    </w:p>
    <w:p w:rsidR="00000000" w:rsidRPr="00C84175" w:rsidP="005F2274">
      <w:pPr>
        <w:pStyle w:val="BodyText"/>
      </w:pPr>
      <w:r w:rsidRPr="00C84175">
        <w:t>The foundation skills demands of this unit have been mapped for alignment with</w:t>
      </w:r>
      <w:r w:rsidRPr="00C84175">
        <w:t xml:space="preserve"> the Australian Core Skills Framework (ACSF). The following tables outline the performance levels indicated for successful attainment of the unit.</w:t>
      </w:r>
    </w:p>
    <w:p w:rsidR="00000000" w:rsidRPr="00C84175" w:rsidP="00C84175">
      <w:pPr>
        <w:pStyle w:val="BodyText"/>
        <w:keepNext/>
      </w:pPr>
    </w:p>
    <w:p w:rsidR="00000000" w:rsidRPr="00C84175" w:rsidP="00C84175">
      <w:pPr>
        <w:pStyle w:val="BodyText"/>
      </w:pPr>
      <w:bookmarkStart w:id="8" w:name="O_835077"/>
      <w:r>
        <w:pict>
          <v:shape id="_x0000_i1026" type="#_x0000_t75" style="height:156pt;width:463.5pt">
            <v:imagedata r:id="rId11" o:title=""/>
          </v:shape>
        </w:pict>
      </w:r>
      <w:bookmarkEnd w:id="8"/>
    </w:p>
    <w:p w:rsidR="00000000" w:rsidRPr="00C84175" w:rsidP="00C84175">
      <w:pPr>
        <w:pStyle w:val="BodyText"/>
      </w:pPr>
    </w:p>
    <w:p w:rsidR="00000000" w:rsidRPr="00C84175" w:rsidP="005F2274">
      <w:pPr>
        <w:pStyle w:val="BodyText"/>
      </w:pPr>
      <w:r w:rsidRPr="00C84175">
        <w:t>Further information on ACSF and the foundation skills underpinning this unit can be found in the Foundation Skills Guide on the GSA website.</w:t>
      </w:r>
    </w:p>
    <w:p w:rsidR="00000000" w:rsidRPr="00C84175" w:rsidP="00C84175">
      <w:pPr>
        <w:pStyle w:val="Heading1"/>
      </w:pPr>
      <w:bookmarkStart w:id="9" w:name="O_814289"/>
      <w:bookmarkEnd w:id="9"/>
      <w:r w:rsidRPr="00C84175">
        <w:t>Unit Mapping Information</w:t>
      </w:r>
    </w:p>
    <w:p w:rsidR="00000000" w:rsidRPr="00C84175" w:rsidP="005F2274">
      <w:pPr>
        <w:pStyle w:val="BodyText"/>
      </w:pPr>
      <w:r w:rsidRPr="00C84175">
        <w:t>This unit supersedes an</w:t>
      </w:r>
      <w:r w:rsidRPr="00C84175">
        <w:t>d is equivalent to PSPCRT405C Handle monies received in satisfaction of warrants and orders.</w:t>
      </w:r>
    </w:p>
    <w:p w:rsidR="00000000" w:rsidRPr="00C84175" w:rsidP="00C84175">
      <w:pPr>
        <w:pStyle w:val="Heading1"/>
      </w:pPr>
      <w:bookmarkStart w:id="10" w:name="O_814296"/>
      <w:bookmarkEnd w:id="10"/>
      <w:r w:rsidRPr="00C84175">
        <w:t>Links</w:t>
      </w:r>
    </w:p>
    <w:p w:rsidR="00000000" w:rsidRPr="00C84175" w:rsidP="005F2274">
      <w:pPr>
        <w:pStyle w:val="BodyText"/>
      </w:pPr>
      <w:r w:rsidRPr="00C841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759B">
        <w:rPr>
          <w:rStyle w:val="Hyperlink"/>
        </w:rPr>
        <w:t>https://vetnet.gov.au/Pages/TrainingDocs.aspx?q=bebbece7-ff48-4d2c-8876-405679019623</w:t>
      </w:r>
      <w:r>
        <w:fldChar w:fldCharType="end"/>
      </w:r>
    </w:p>
    <w:p w:rsidR="00000000" w:rsidRPr="00C84175" w:rsidP="005F2274">
      <w:pPr>
        <w:pStyle w:val="BodyText"/>
      </w:pPr>
      <w:r w:rsidRPr="00C841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759B">
        <w:rPr>
          <w:rStyle w:val="Hyperlink"/>
        </w:rPr>
        <w:t>https://vetnet.gov.au/Pages/TrainingDocs.aspx?q=bebbece7-ff48-4d2c-8876-405679019623</w:t>
      </w:r>
      <w:r>
        <w:fldChar w:fldCharType="end"/>
      </w:r>
    </w:p>
    <w:p w:rsidR="00000000" w:rsidRPr="00C84175" w:rsidP="005F2274">
      <w:pPr>
        <w:pStyle w:val="BodyText"/>
      </w:pPr>
      <w:r w:rsidRPr="00C841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759B">
        <w:rPr>
          <w:rStyle w:val="Hyperlink"/>
        </w:rPr>
        <w:t>https://vetnet.gov.au/Pages/TrainingDocs.aspx?q=bebbece7-ff48-4d2c-8876-405679019623</w:t>
      </w:r>
      <w:r>
        <w:fldChar w:fldCharType="end"/>
      </w:r>
    </w:p>
    <w:p w:rsidR="00000000" w:rsidRPr="00C84175" w:rsidP="005F2274">
      <w:pPr>
        <w:pStyle w:val="BodyText"/>
      </w:pPr>
      <w:r w:rsidRPr="00C841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759B">
        <w:rPr>
          <w:rStyle w:val="Hyperlink"/>
        </w:rPr>
        <w:t>https://vetnet.gov.au/Pages/TrainingDocs.aspx?q=bebbece7-ff48-4d2c-8876-405679019623</w:t>
      </w:r>
      <w:r>
        <w:fldChar w:fldCharType="end"/>
      </w:r>
    </w:p>
    <w:p w:rsidR="00000000" w:rsidRPr="00C84175" w:rsidP="00C84175"/>
    <w:sectPr w:rsidSect="00C841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5" w:rsidRPr="005F2274" w:rsidP="005F2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74" w:rsidP="00C84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274" w:rsidP="00C841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2274" w:rsidP="00C84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175" w:rsidRPr="005F2274" w:rsidP="005F2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274" w:rsidRPr="002D2AF8" w:rsidP="00C84175">
    <w:pPr>
      <w:pStyle w:val="Header"/>
      <w:framePr w:wrap="around"/>
    </w:pPr>
    <w:r>
      <w:fldChar w:fldCharType="begin"/>
    </w:r>
    <w:r>
      <w:instrText xml:space="preserve"> TITLE   \* MERGEFORMAT </w:instrText>
    </w:r>
    <w:r>
      <w:fldChar w:fldCharType="separate"/>
    </w:r>
    <w:r>
      <w:t>PSPCRT006 Handle monies received in satisfaction of warrants and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F2274" w:rsidP="00C84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662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9E6B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175"/>
    <w:pPr>
      <w:spacing w:before="360" w:after="60"/>
      <w:outlineLvl w:val="0"/>
    </w:pPr>
    <w:rPr>
      <w:sz w:val="32"/>
    </w:rPr>
  </w:style>
  <w:style w:type="paragraph" w:styleId="Heading2">
    <w:name w:val="heading 2"/>
    <w:basedOn w:val="HeadingBase"/>
    <w:next w:val="BodyText"/>
    <w:link w:val="Heading2Char"/>
    <w:qFormat/>
    <w:rsid w:val="00C84175"/>
    <w:pPr>
      <w:keepLines/>
      <w:spacing w:before="240" w:after="120"/>
      <w:outlineLvl w:val="1"/>
    </w:pPr>
    <w:rPr>
      <w:sz w:val="28"/>
      <w:szCs w:val="40"/>
    </w:rPr>
  </w:style>
  <w:style w:type="paragraph" w:styleId="Heading3">
    <w:name w:val="heading 3"/>
    <w:basedOn w:val="HeadingBase"/>
    <w:next w:val="BodyText"/>
    <w:link w:val="Heading3Char"/>
    <w:qFormat/>
    <w:rsid w:val="00C84175"/>
    <w:pPr>
      <w:spacing w:before="180" w:after="120"/>
      <w:outlineLvl w:val="2"/>
    </w:pPr>
    <w:rPr>
      <w:spacing w:val="-10"/>
      <w:kern w:val="32"/>
    </w:rPr>
  </w:style>
  <w:style w:type="paragraph" w:styleId="Heading4">
    <w:name w:val="heading 4"/>
    <w:basedOn w:val="HeadingBase"/>
    <w:next w:val="BodyText"/>
    <w:link w:val="Heading4Char"/>
    <w:qFormat/>
    <w:rsid w:val="00C84175"/>
    <w:pPr>
      <w:spacing w:before="160" w:after="120"/>
      <w:outlineLvl w:val="3"/>
    </w:pPr>
    <w:rPr>
      <w:sz w:val="22"/>
    </w:rPr>
  </w:style>
  <w:style w:type="paragraph" w:styleId="Heading5">
    <w:name w:val="heading 5"/>
    <w:basedOn w:val="HeadingBase"/>
    <w:next w:val="Normal"/>
    <w:link w:val="Heading5Char"/>
    <w:qFormat/>
    <w:rsid w:val="00C84175"/>
    <w:pPr>
      <w:spacing w:before="80"/>
      <w:outlineLvl w:val="4"/>
    </w:pPr>
    <w:rPr>
      <w:color w:val="918585"/>
      <w:sz w:val="20"/>
    </w:rPr>
  </w:style>
  <w:style w:type="paragraph" w:styleId="Heading6">
    <w:name w:val="heading 6"/>
    <w:basedOn w:val="HeadingBase"/>
    <w:next w:val="Normal"/>
    <w:link w:val="Heading6Char"/>
    <w:qFormat/>
    <w:rsid w:val="00C84175"/>
    <w:pPr>
      <w:spacing w:before="60"/>
      <w:outlineLvl w:val="5"/>
    </w:pPr>
    <w:rPr>
      <w:color w:val="918585"/>
      <w:sz w:val="20"/>
    </w:rPr>
  </w:style>
  <w:style w:type="paragraph" w:styleId="Heading7">
    <w:name w:val="heading 7"/>
    <w:basedOn w:val="Normal"/>
    <w:next w:val="Normal"/>
    <w:link w:val="Heading7Char"/>
    <w:qFormat/>
    <w:rsid w:val="00C84175"/>
    <w:pPr>
      <w:ind w:left="720"/>
      <w:outlineLvl w:val="6"/>
    </w:pPr>
    <w:rPr>
      <w:i/>
    </w:rPr>
  </w:style>
  <w:style w:type="paragraph" w:styleId="Heading8">
    <w:name w:val="heading 8"/>
    <w:basedOn w:val="Normal"/>
    <w:next w:val="Normal"/>
    <w:link w:val="Heading8Char"/>
    <w:qFormat/>
    <w:rsid w:val="00C84175"/>
    <w:pPr>
      <w:ind w:left="720"/>
      <w:outlineLvl w:val="7"/>
    </w:pPr>
    <w:rPr>
      <w:i/>
    </w:rPr>
  </w:style>
  <w:style w:type="paragraph" w:styleId="Heading9">
    <w:name w:val="heading 9"/>
    <w:basedOn w:val="Normal"/>
    <w:next w:val="Normal"/>
    <w:link w:val="Heading9Char"/>
    <w:qFormat/>
    <w:rsid w:val="00C84175"/>
    <w:pPr>
      <w:ind w:left="720"/>
      <w:outlineLvl w:val="8"/>
    </w:pPr>
    <w:rPr>
      <w:i/>
    </w:rPr>
  </w:style>
  <w:style w:type="character" w:default="1" w:styleId="DefaultParagraphFont">
    <w:name w:val="Default Paragraph Font"/>
    <w:uiPriority w:val="1"/>
    <w:unhideWhenUsed/>
    <w:rsid w:val="00C84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175"/>
  </w:style>
  <w:style w:type="character" w:customStyle="1" w:styleId="Heading1Char">
    <w:name w:val="Heading 1 Char"/>
    <w:basedOn w:val="DefaultParagraphFont"/>
    <w:link w:val="Heading1"/>
    <w:rsid w:val="00C84175"/>
    <w:rPr>
      <w:rFonts w:ascii="Times New Roman" w:eastAsia="Times New Roman" w:hAnsi="Times New Roman" w:cs="Times New Roman"/>
      <w:b/>
      <w:sz w:val="32"/>
      <w:szCs w:val="20"/>
      <w:lang w:eastAsia="en-US"/>
    </w:rPr>
  </w:style>
  <w:style w:type="paragraph" w:styleId="BodyText">
    <w:name w:val="Body Text"/>
    <w:basedOn w:val="Normal"/>
    <w:link w:val="BodyTextChar"/>
    <w:rsid w:val="00C84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175"/>
    <w:rPr>
      <w:rFonts w:ascii="Times New Roman" w:eastAsia="Times New Roman" w:hAnsi="Times New Roman" w:cs="Times New Roman"/>
      <w:sz w:val="24"/>
      <w:lang w:eastAsia="en-US"/>
    </w:rPr>
  </w:style>
  <w:style w:type="paragraph" w:styleId="List">
    <w:name w:val="List"/>
    <w:basedOn w:val="BodyText"/>
    <w:next w:val="BodyText"/>
    <w:rsid w:val="00C84175"/>
    <w:pPr>
      <w:tabs>
        <w:tab w:val="left" w:pos="340"/>
      </w:tabs>
      <w:spacing w:before="60" w:after="60"/>
      <w:ind w:left="340" w:hanging="340"/>
    </w:pPr>
  </w:style>
  <w:style w:type="paragraph" w:styleId="ListBullet">
    <w:name w:val="List Bullet"/>
    <w:basedOn w:val="List"/>
    <w:rsid w:val="00C84175"/>
    <w:pPr>
      <w:numPr>
        <w:numId w:val="11"/>
      </w:numPr>
      <w:tabs>
        <w:tab w:val="clear" w:pos="340"/>
      </w:tabs>
      <w:spacing w:before="40" w:after="40"/>
    </w:pPr>
  </w:style>
  <w:style w:type="character" w:customStyle="1" w:styleId="SpecialBold">
    <w:name w:val="Special Bold"/>
    <w:basedOn w:val="DefaultParagraphFont"/>
    <w:rsid w:val="00C84175"/>
    <w:rPr>
      <w:b/>
      <w:spacing w:val="0"/>
    </w:rPr>
  </w:style>
  <w:style w:type="paragraph" w:customStyle="1" w:styleId="SuperHeading">
    <w:name w:val="SuperHeading"/>
    <w:basedOn w:val="Normal"/>
    <w:rsid w:val="00C84175"/>
    <w:pPr>
      <w:spacing w:before="240" w:after="120"/>
      <w:outlineLvl w:val="0"/>
    </w:pPr>
    <w:rPr>
      <w:rFonts w:ascii="Times New Roman" w:hAnsi="Times New Roman"/>
      <w:b/>
      <w:sz w:val="32"/>
    </w:rPr>
  </w:style>
  <w:style w:type="paragraph" w:customStyle="1" w:styleId="TableHeading">
    <w:name w:val="Table Heading"/>
    <w:basedOn w:val="HeadingBase"/>
    <w:rsid w:val="00C84175"/>
    <w:pPr>
      <w:keepLines/>
      <w:pBdr>
        <w:bottom w:val="single" w:sz="6" w:space="1" w:color="918585"/>
      </w:pBdr>
      <w:spacing w:before="240"/>
    </w:pPr>
  </w:style>
  <w:style w:type="paragraph" w:customStyle="1" w:styleId="AllowPageBreak">
    <w:name w:val="AllowPageBreak"/>
    <w:rsid w:val="00C84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175"/>
    <w:rPr>
      <w:rFonts w:ascii="Courier New" w:eastAsia="Times New Roman" w:hAnsi="Courier New" w:cs="Times New Roman"/>
      <w:i/>
      <w:szCs w:val="20"/>
      <w:lang w:eastAsia="en-US"/>
    </w:rPr>
  </w:style>
  <w:style w:type="paragraph" w:customStyle="1" w:styleId="HeadingBase">
    <w:name w:val="Heading Base"/>
    <w:rsid w:val="00C84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175"/>
    <w:pPr>
      <w:tabs>
        <w:tab w:val="right" w:leader="dot" w:pos="9072"/>
      </w:tabs>
      <w:ind w:left="567"/>
    </w:pPr>
    <w:rPr>
      <w:szCs w:val="22"/>
    </w:rPr>
  </w:style>
  <w:style w:type="paragraph" w:customStyle="1" w:styleId="TOCBase">
    <w:name w:val="TOC Base"/>
    <w:rsid w:val="00C84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175"/>
    <w:pPr>
      <w:tabs>
        <w:tab w:val="right" w:leader="dot" w:pos="9072"/>
      </w:tabs>
      <w:spacing w:before="40" w:after="40"/>
      <w:ind w:left="284"/>
    </w:pPr>
    <w:rPr>
      <w:rFonts w:ascii="Times New Roman" w:hAnsi="Times New Roman"/>
    </w:rPr>
  </w:style>
  <w:style w:type="paragraph" w:styleId="TOC1">
    <w:name w:val="toc 1"/>
    <w:basedOn w:val="TOCBase"/>
    <w:next w:val="Normal"/>
    <w:rsid w:val="00C84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175"/>
    <w:rPr>
      <w:rFonts w:ascii="Times New Roman" w:eastAsia="Times New Roman" w:hAnsi="Times New Roman" w:cs="Times New Roman"/>
      <w:sz w:val="16"/>
      <w:lang w:eastAsia="en-US"/>
    </w:rPr>
  </w:style>
  <w:style w:type="paragraph" w:styleId="Title">
    <w:name w:val="Title"/>
    <w:basedOn w:val="HeadingBase"/>
    <w:link w:val="TitleChar"/>
    <w:qFormat/>
    <w:rsid w:val="00C84175"/>
    <w:pPr>
      <w:spacing w:before="5040"/>
      <w:jc w:val="center"/>
    </w:pPr>
    <w:rPr>
      <w:sz w:val="48"/>
      <w:szCs w:val="72"/>
      <w:lang w:val="en-US"/>
    </w:rPr>
  </w:style>
  <w:style w:type="character" w:customStyle="1" w:styleId="TitleChar">
    <w:name w:val="Title Char"/>
    <w:basedOn w:val="DefaultParagraphFont"/>
    <w:link w:val="Title"/>
    <w:rsid w:val="00C84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175"/>
    <w:pPr>
      <w:tabs>
        <w:tab w:val="left" w:pos="3600"/>
        <w:tab w:val="left" w:pos="3958"/>
      </w:tabs>
    </w:pPr>
  </w:style>
  <w:style w:type="paragraph" w:customStyle="1" w:styleId="Note">
    <w:name w:val="Note"/>
    <w:basedOn w:val="BodyText"/>
    <w:rsid w:val="00C84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175"/>
    <w:pPr>
      <w:framePr w:wrap="auto" w:hAnchor="text" w:y="6049"/>
    </w:pPr>
    <w:rPr>
      <w:color w:val="000000"/>
      <w:sz w:val="40"/>
    </w:rPr>
  </w:style>
  <w:style w:type="paragraph" w:customStyle="1" w:styleId="TOCTitle">
    <w:name w:val="TOCTitle"/>
    <w:basedOn w:val="Heading1"/>
    <w:rsid w:val="00C84175"/>
    <w:pPr>
      <w:spacing w:after="240"/>
      <w:jc w:val="center"/>
      <w:outlineLvl w:val="9"/>
    </w:pPr>
    <w:rPr>
      <w:caps/>
    </w:rPr>
  </w:style>
  <w:style w:type="paragraph" w:customStyle="1" w:styleId="Version">
    <w:name w:val="Version"/>
    <w:rsid w:val="00C84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175"/>
    <w:pPr>
      <w:numPr>
        <w:numId w:val="12"/>
      </w:numPr>
      <w:tabs>
        <w:tab w:val="clear" w:pos="680"/>
      </w:tabs>
    </w:pPr>
  </w:style>
  <w:style w:type="paragraph" w:styleId="Index1">
    <w:name w:val="index 1"/>
    <w:basedOn w:val="Normal"/>
    <w:next w:val="Normal"/>
    <w:semiHidden/>
    <w:rsid w:val="00C84175"/>
    <w:pPr>
      <w:keepNext w:val="0"/>
      <w:tabs>
        <w:tab w:val="right" w:pos="4176"/>
      </w:tabs>
      <w:ind w:left="198" w:hanging="198"/>
    </w:pPr>
    <w:rPr>
      <w:rFonts w:ascii="Garamond" w:hAnsi="Garamond"/>
    </w:rPr>
  </w:style>
  <w:style w:type="paragraph" w:styleId="IndexHeading">
    <w:name w:val="index heading"/>
    <w:basedOn w:val="Normal"/>
    <w:next w:val="Index1"/>
    <w:semiHidden/>
    <w:rsid w:val="00C84175"/>
    <w:pPr>
      <w:spacing w:before="120" w:after="120"/>
    </w:pPr>
    <w:rPr>
      <w:rFonts w:ascii="Arial" w:hAnsi="Arial"/>
      <w:b/>
      <w:color w:val="918585"/>
      <w:sz w:val="24"/>
    </w:rPr>
  </w:style>
  <w:style w:type="paragraph" w:styleId="Header">
    <w:name w:val="header"/>
    <w:basedOn w:val="Normal"/>
    <w:link w:val="HeaderChar"/>
    <w:rsid w:val="00C84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175"/>
    <w:rPr>
      <w:rFonts w:ascii="Times New Roman" w:eastAsia="Times New Roman" w:hAnsi="Times New Roman" w:cs="Times New Roman"/>
      <w:sz w:val="16"/>
      <w:szCs w:val="20"/>
      <w:lang w:val="en-GB" w:eastAsia="en-US"/>
    </w:rPr>
  </w:style>
  <w:style w:type="paragraph" w:customStyle="1" w:styleId="Chapter">
    <w:name w:val="Chapter"/>
    <w:basedOn w:val="Normal"/>
    <w:rsid w:val="00C84175"/>
    <w:pPr>
      <w:spacing w:before="240"/>
    </w:pPr>
    <w:rPr>
      <w:rFonts w:ascii="Times New Roman" w:hAnsi="Times New Roman"/>
      <w:smallCaps/>
      <w:spacing w:val="80"/>
      <w:sz w:val="28"/>
    </w:rPr>
  </w:style>
  <w:style w:type="paragraph" w:customStyle="1" w:styleId="InChapter">
    <w:name w:val="InChapter"/>
    <w:basedOn w:val="Heading3"/>
    <w:rsid w:val="00C84175"/>
    <w:pPr>
      <w:spacing w:after="240"/>
      <w:outlineLvl w:val="9"/>
    </w:pPr>
    <w:rPr>
      <w:noProof/>
    </w:rPr>
  </w:style>
  <w:style w:type="paragraph" w:styleId="Index2">
    <w:name w:val="index 2"/>
    <w:basedOn w:val="Normal"/>
    <w:next w:val="Normal"/>
    <w:semiHidden/>
    <w:rsid w:val="00C84175"/>
    <w:pPr>
      <w:tabs>
        <w:tab w:val="right" w:pos="4176"/>
      </w:tabs>
      <w:ind w:left="568" w:hanging="284"/>
    </w:pPr>
    <w:rPr>
      <w:rFonts w:ascii="Garamond" w:hAnsi="Garamond"/>
    </w:rPr>
  </w:style>
  <w:style w:type="paragraph" w:customStyle="1" w:styleId="Byline">
    <w:name w:val="Byline"/>
    <w:rsid w:val="00C84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175"/>
    <w:pPr>
      <w:tabs>
        <w:tab w:val="clear" w:pos="3600"/>
        <w:tab w:val="clear" w:pos="3958"/>
      </w:tabs>
      <w:jc w:val="right"/>
    </w:pPr>
  </w:style>
  <w:style w:type="character" w:styleId="Emphasis">
    <w:name w:val="Emphasis"/>
    <w:basedOn w:val="DefaultParagraphFont"/>
    <w:qFormat/>
    <w:rsid w:val="00C84175"/>
    <w:rPr>
      <w:i/>
    </w:rPr>
  </w:style>
  <w:style w:type="paragraph" w:styleId="Caption">
    <w:name w:val="caption"/>
    <w:basedOn w:val="BodyText"/>
    <w:next w:val="Normal"/>
    <w:qFormat/>
    <w:rsid w:val="00C84175"/>
    <w:pPr>
      <w:framePr w:w="2268" w:hSpace="181" w:vSpace="181" w:wrap="around" w:vAnchor="text" w:hAnchor="page" w:x="1135" w:y="285" w:anchorLock="1"/>
    </w:pPr>
    <w:rPr>
      <w:i/>
    </w:rPr>
  </w:style>
  <w:style w:type="paragraph" w:customStyle="1" w:styleId="MiniTOCTitle">
    <w:name w:val="MiniTOCTitle"/>
    <w:basedOn w:val="Heading4"/>
    <w:rsid w:val="00C84175"/>
    <w:pPr>
      <w:spacing w:before="240"/>
      <w:outlineLvl w:val="9"/>
    </w:pPr>
    <w:rPr>
      <w:noProof/>
      <w:sz w:val="24"/>
    </w:rPr>
  </w:style>
  <w:style w:type="paragraph" w:customStyle="1" w:styleId="MiniTOCItem">
    <w:name w:val="MiniTOCItem"/>
    <w:basedOn w:val="ListBullet"/>
    <w:rsid w:val="00C84175"/>
    <w:pPr>
      <w:numPr>
        <w:numId w:val="0"/>
      </w:numPr>
      <w:tabs>
        <w:tab w:val="right" w:leader="dot" w:pos="6521"/>
      </w:tabs>
      <w:spacing w:before="0" w:after="0"/>
    </w:pPr>
  </w:style>
  <w:style w:type="paragraph" w:customStyle="1" w:styleId="TOFTitle">
    <w:name w:val="TOFTitle"/>
    <w:basedOn w:val="TOCTitle"/>
    <w:rsid w:val="00C84175"/>
  </w:style>
  <w:style w:type="paragraph" w:styleId="TableofFigures">
    <w:name w:val="table of figures"/>
    <w:basedOn w:val="Normal"/>
    <w:next w:val="Normal"/>
    <w:semiHidden/>
    <w:rsid w:val="00C84175"/>
    <w:pPr>
      <w:tabs>
        <w:tab w:val="right" w:leader="dot" w:pos="9072"/>
      </w:tabs>
      <w:ind w:left="970" w:hanging="403"/>
    </w:pPr>
    <w:rPr>
      <w:rFonts w:ascii="Times New Roman" w:hAnsi="Times New Roman"/>
      <w:b/>
    </w:rPr>
  </w:style>
  <w:style w:type="paragraph" w:styleId="ListNumber">
    <w:name w:val="List Number"/>
    <w:basedOn w:val="List"/>
    <w:rsid w:val="00C84175"/>
    <w:pPr>
      <w:numPr>
        <w:numId w:val="14"/>
      </w:numPr>
      <w:tabs>
        <w:tab w:val="clear" w:pos="340"/>
      </w:tabs>
    </w:pPr>
  </w:style>
  <w:style w:type="character" w:customStyle="1" w:styleId="WingdingSymbols">
    <w:name w:val="Wingding Symbols"/>
    <w:rsid w:val="00C84175"/>
    <w:rPr>
      <w:rFonts w:ascii="Wingdings" w:hAnsi="Wingdings"/>
    </w:rPr>
  </w:style>
  <w:style w:type="character" w:customStyle="1" w:styleId="HotSpot">
    <w:name w:val="HotSpot"/>
    <w:rsid w:val="00C84175"/>
    <w:rPr>
      <w:color w:val="0033CC"/>
      <w:u w:val="none"/>
    </w:rPr>
  </w:style>
  <w:style w:type="paragraph" w:customStyle="1" w:styleId="BodyTextRight">
    <w:name w:val="Body Text Right"/>
    <w:basedOn w:val="BodyText"/>
    <w:rsid w:val="00C84175"/>
    <w:pPr>
      <w:spacing w:before="0" w:after="0"/>
      <w:jc w:val="right"/>
    </w:pPr>
  </w:style>
  <w:style w:type="paragraph" w:styleId="Index3">
    <w:name w:val="index 3"/>
    <w:basedOn w:val="ListNumber2"/>
    <w:next w:val="Normal"/>
    <w:semiHidden/>
    <w:rsid w:val="00C84175"/>
    <w:pPr>
      <w:numPr>
        <w:numId w:val="0"/>
      </w:numPr>
      <w:tabs>
        <w:tab w:val="right" w:leader="dot" w:pos="4176"/>
      </w:tabs>
    </w:pPr>
  </w:style>
  <w:style w:type="paragraph" w:styleId="ListNumber2">
    <w:name w:val="List Number 2"/>
    <w:basedOn w:val="List2"/>
    <w:rsid w:val="00C84175"/>
    <w:pPr>
      <w:numPr>
        <w:numId w:val="9"/>
      </w:numPr>
      <w:tabs>
        <w:tab w:val="clear" w:pos="1060"/>
      </w:tabs>
    </w:pPr>
  </w:style>
  <w:style w:type="paragraph" w:customStyle="1" w:styleId="MarginNote">
    <w:name w:val="Margin Note"/>
    <w:basedOn w:val="BodyText"/>
    <w:rsid w:val="00C84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175"/>
    <w:rPr>
      <w:sz w:val="32"/>
    </w:rPr>
  </w:style>
  <w:style w:type="paragraph" w:customStyle="1" w:styleId="HeadingProcedure">
    <w:name w:val="Heading Procedure"/>
    <w:basedOn w:val="HeadingBase"/>
    <w:next w:val="Normal"/>
    <w:rsid w:val="00C84175"/>
    <w:pPr>
      <w:tabs>
        <w:tab w:val="left" w:pos="0"/>
      </w:tabs>
      <w:spacing w:before="120" w:after="60"/>
    </w:pPr>
    <w:rPr>
      <w:i/>
      <w:color w:val="918585"/>
      <w:sz w:val="22"/>
    </w:rPr>
  </w:style>
  <w:style w:type="paragraph" w:customStyle="1" w:styleId="TableBodyText">
    <w:name w:val="Table Body Text"/>
    <w:basedOn w:val="BodyText"/>
    <w:rsid w:val="00C84175"/>
    <w:pPr>
      <w:spacing w:before="60" w:after="60"/>
    </w:pPr>
  </w:style>
  <w:style w:type="paragraph" w:styleId="ListContinue">
    <w:name w:val="List Continue"/>
    <w:basedOn w:val="List"/>
    <w:rsid w:val="00C84175"/>
    <w:pPr>
      <w:ind w:firstLine="0"/>
    </w:pPr>
  </w:style>
  <w:style w:type="paragraph" w:customStyle="1" w:styleId="ListNote">
    <w:name w:val="List Note"/>
    <w:basedOn w:val="List"/>
    <w:rsid w:val="00C84175"/>
    <w:pPr>
      <w:pBdr>
        <w:top w:val="single" w:sz="6" w:space="2" w:color="918585"/>
        <w:bottom w:val="single" w:sz="6" w:space="2" w:color="918585"/>
      </w:pBdr>
      <w:tabs>
        <w:tab w:val="left" w:pos="1021"/>
      </w:tabs>
      <w:ind w:firstLine="0"/>
    </w:pPr>
  </w:style>
  <w:style w:type="paragraph" w:customStyle="1" w:styleId="Warning">
    <w:name w:val="Warning"/>
    <w:basedOn w:val="BodyText"/>
    <w:rsid w:val="00C84175"/>
    <w:pPr>
      <w:shd w:val="clear" w:color="auto" w:fill="D9D9D9"/>
      <w:tabs>
        <w:tab w:val="left" w:pos="992"/>
      </w:tabs>
      <w:ind w:left="119" w:right="119"/>
    </w:pPr>
    <w:rPr>
      <w:sz w:val="20"/>
    </w:rPr>
  </w:style>
  <w:style w:type="paragraph" w:customStyle="1" w:styleId="MarginIcons">
    <w:name w:val="Margin Icons"/>
    <w:basedOn w:val="BodyText"/>
    <w:rsid w:val="00C84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175"/>
    <w:rPr>
      <w:rFonts w:ascii="Courier New" w:hAnsi="Courier New"/>
    </w:rPr>
  </w:style>
  <w:style w:type="paragraph" w:customStyle="1" w:styleId="NoteBullet">
    <w:name w:val="Note Bullet"/>
    <w:basedOn w:val="Note"/>
    <w:rsid w:val="00C84175"/>
    <w:pPr>
      <w:tabs>
        <w:tab w:val="clear" w:pos="680"/>
      </w:tabs>
      <w:spacing w:before="60" w:after="60"/>
    </w:pPr>
  </w:style>
  <w:style w:type="paragraph" w:customStyle="1" w:styleId="SubHeading2">
    <w:name w:val="SubHeading2"/>
    <w:basedOn w:val="HeadingBase"/>
    <w:rsid w:val="00C84175"/>
    <w:pPr>
      <w:spacing w:before="240" w:after="60"/>
    </w:pPr>
    <w:rPr>
      <w:sz w:val="20"/>
    </w:rPr>
  </w:style>
  <w:style w:type="paragraph" w:customStyle="1" w:styleId="SubHeading1">
    <w:name w:val="SubHeading1"/>
    <w:basedOn w:val="HeadingBase"/>
    <w:rsid w:val="00C84175"/>
    <w:pPr>
      <w:spacing w:before="240" w:after="60"/>
    </w:pPr>
    <w:rPr>
      <w:color w:val="918585"/>
      <w:sz w:val="22"/>
    </w:rPr>
  </w:style>
  <w:style w:type="paragraph" w:customStyle="1" w:styleId="SideHeading">
    <w:name w:val="Side Heading"/>
    <w:basedOn w:val="HeadingBase"/>
    <w:rsid w:val="00C84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175"/>
    <w:pPr>
      <w:numPr>
        <w:numId w:val="10"/>
      </w:numPr>
    </w:pPr>
  </w:style>
  <w:style w:type="paragraph" w:styleId="PlainText">
    <w:name w:val="Plain Text"/>
    <w:basedOn w:val="Normal"/>
    <w:link w:val="PlainTextChar"/>
    <w:rsid w:val="00C84175"/>
    <w:rPr>
      <w:sz w:val="20"/>
    </w:rPr>
  </w:style>
  <w:style w:type="character" w:customStyle="1" w:styleId="PlainTextChar">
    <w:name w:val="Plain Text Char"/>
    <w:basedOn w:val="DefaultParagraphFont"/>
    <w:link w:val="PlainText"/>
    <w:rsid w:val="00C84175"/>
    <w:rPr>
      <w:rFonts w:ascii="Courier New" w:eastAsia="Times New Roman" w:hAnsi="Courier New" w:cs="Times New Roman"/>
      <w:sz w:val="20"/>
      <w:szCs w:val="20"/>
      <w:lang w:eastAsia="en-US"/>
    </w:rPr>
  </w:style>
  <w:style w:type="character" w:customStyle="1" w:styleId="MenuOption">
    <w:name w:val="Menu Option"/>
    <w:basedOn w:val="DefaultParagraphFont"/>
    <w:rsid w:val="00C84175"/>
    <w:rPr>
      <w:b/>
      <w:smallCaps/>
    </w:rPr>
  </w:style>
  <w:style w:type="paragraph" w:customStyle="1" w:styleId="TableListNumber">
    <w:name w:val="Table List Number"/>
    <w:basedOn w:val="ListNumber"/>
    <w:rsid w:val="00C84175"/>
    <w:pPr>
      <w:numPr>
        <w:numId w:val="0"/>
      </w:numPr>
    </w:pPr>
  </w:style>
  <w:style w:type="paragraph" w:styleId="TOC4">
    <w:name w:val="toc 4"/>
    <w:basedOn w:val="TOCBase"/>
    <w:next w:val="Normal"/>
    <w:semiHidden/>
    <w:rsid w:val="00C84175"/>
    <w:pPr>
      <w:tabs>
        <w:tab w:val="right" w:leader="dot" w:pos="9071"/>
      </w:tabs>
      <w:ind w:left="1701"/>
    </w:pPr>
  </w:style>
  <w:style w:type="paragraph" w:customStyle="1" w:styleId="ListAlpha">
    <w:name w:val="List Alpha"/>
    <w:basedOn w:val="List"/>
    <w:rsid w:val="00C84175"/>
    <w:pPr>
      <w:numPr>
        <w:numId w:val="8"/>
      </w:numPr>
    </w:pPr>
  </w:style>
  <w:style w:type="paragraph" w:customStyle="1" w:styleId="ListAlpha2">
    <w:name w:val="List Alpha 2"/>
    <w:basedOn w:val="List2"/>
    <w:rsid w:val="00C84175"/>
    <w:pPr>
      <w:numPr>
        <w:numId w:val="7"/>
      </w:numPr>
    </w:pPr>
  </w:style>
  <w:style w:type="paragraph" w:styleId="List2">
    <w:name w:val="List 2"/>
    <w:basedOn w:val="BodyText"/>
    <w:rsid w:val="00C84175"/>
    <w:pPr>
      <w:tabs>
        <w:tab w:val="left" w:pos="680"/>
      </w:tabs>
      <w:spacing w:before="60" w:after="60"/>
      <w:ind w:left="680" w:hanging="340"/>
    </w:pPr>
  </w:style>
  <w:style w:type="paragraph" w:styleId="List3">
    <w:name w:val="List 3"/>
    <w:basedOn w:val="BodyText"/>
    <w:rsid w:val="00C84175"/>
    <w:pPr>
      <w:tabs>
        <w:tab w:val="left" w:pos="1021"/>
      </w:tabs>
      <w:spacing w:before="60" w:after="60"/>
      <w:ind w:left="1020" w:hanging="340"/>
    </w:pPr>
  </w:style>
  <w:style w:type="paragraph" w:styleId="List4">
    <w:name w:val="List 4"/>
    <w:basedOn w:val="BodyText"/>
    <w:rsid w:val="00C84175"/>
    <w:pPr>
      <w:tabs>
        <w:tab w:val="left" w:pos="1361"/>
      </w:tabs>
      <w:spacing w:before="60" w:after="60"/>
      <w:ind w:left="1361" w:hanging="340"/>
    </w:pPr>
  </w:style>
  <w:style w:type="paragraph" w:styleId="List5">
    <w:name w:val="List 5"/>
    <w:basedOn w:val="BodyText"/>
    <w:rsid w:val="00C84175"/>
    <w:pPr>
      <w:tabs>
        <w:tab w:val="left" w:pos="1701"/>
      </w:tabs>
      <w:spacing w:before="60" w:after="60"/>
      <w:ind w:left="1701" w:hanging="340"/>
    </w:pPr>
  </w:style>
  <w:style w:type="paragraph" w:styleId="ListBullet3">
    <w:name w:val="List Bullet 3"/>
    <w:basedOn w:val="List3"/>
    <w:rsid w:val="00C84175"/>
    <w:pPr>
      <w:numPr>
        <w:numId w:val="13"/>
      </w:numPr>
      <w:tabs>
        <w:tab w:val="clear" w:pos="1021"/>
      </w:tabs>
      <w:ind w:left="1037" w:hanging="357"/>
    </w:pPr>
  </w:style>
  <w:style w:type="paragraph" w:styleId="ListBullet4">
    <w:name w:val="List Bullet 4"/>
    <w:basedOn w:val="List4"/>
    <w:rsid w:val="00C84175"/>
    <w:pPr>
      <w:numPr>
        <w:numId w:val="2"/>
      </w:numPr>
      <w:tabs>
        <w:tab w:val="clear" w:pos="1361"/>
      </w:tabs>
    </w:pPr>
  </w:style>
  <w:style w:type="paragraph" w:styleId="ListBullet5">
    <w:name w:val="List Bullet 5"/>
    <w:basedOn w:val="List5"/>
    <w:rsid w:val="00C84175"/>
    <w:pPr>
      <w:numPr>
        <w:numId w:val="3"/>
      </w:numPr>
    </w:pPr>
  </w:style>
  <w:style w:type="paragraph" w:styleId="ListContinue2">
    <w:name w:val="List Continue 2"/>
    <w:basedOn w:val="List2"/>
    <w:rsid w:val="00C84175"/>
    <w:pPr>
      <w:ind w:firstLine="0"/>
    </w:pPr>
  </w:style>
  <w:style w:type="paragraph" w:styleId="ListContinue3">
    <w:name w:val="List Continue 3"/>
    <w:basedOn w:val="List3"/>
    <w:rsid w:val="00C84175"/>
    <w:pPr>
      <w:ind w:left="1021" w:firstLine="0"/>
    </w:pPr>
  </w:style>
  <w:style w:type="paragraph" w:styleId="ListContinue4">
    <w:name w:val="List Continue 4"/>
    <w:basedOn w:val="List4"/>
    <w:rsid w:val="00C84175"/>
    <w:pPr>
      <w:ind w:firstLine="0"/>
    </w:pPr>
  </w:style>
  <w:style w:type="paragraph" w:styleId="ListContinue5">
    <w:name w:val="List Continue 5"/>
    <w:basedOn w:val="List5"/>
    <w:rsid w:val="00C84175"/>
    <w:pPr>
      <w:ind w:firstLine="0"/>
    </w:pPr>
  </w:style>
  <w:style w:type="paragraph" w:styleId="ListNumber3">
    <w:name w:val="List Number 3"/>
    <w:basedOn w:val="List3"/>
    <w:rsid w:val="00C84175"/>
    <w:pPr>
      <w:numPr>
        <w:numId w:val="4"/>
      </w:numPr>
    </w:pPr>
  </w:style>
  <w:style w:type="paragraph" w:styleId="ListNumber4">
    <w:name w:val="List Number 4"/>
    <w:basedOn w:val="List4"/>
    <w:rsid w:val="00C84175"/>
    <w:pPr>
      <w:numPr>
        <w:numId w:val="5"/>
      </w:numPr>
    </w:pPr>
  </w:style>
  <w:style w:type="paragraph" w:styleId="ListNumber5">
    <w:name w:val="List Number 5"/>
    <w:basedOn w:val="List5"/>
    <w:rsid w:val="00C84175"/>
    <w:pPr>
      <w:numPr>
        <w:numId w:val="6"/>
      </w:numPr>
    </w:pPr>
  </w:style>
  <w:style w:type="paragraph" w:styleId="BlockText">
    <w:name w:val="Block Text"/>
    <w:basedOn w:val="Normal"/>
    <w:rsid w:val="00C84175"/>
    <w:pPr>
      <w:spacing w:after="120"/>
      <w:ind w:left="1440" w:right="1440"/>
    </w:pPr>
  </w:style>
  <w:style w:type="character" w:customStyle="1" w:styleId="Subscript">
    <w:name w:val="Subscript"/>
    <w:basedOn w:val="DefaultParagraphFont"/>
    <w:rsid w:val="00C84175"/>
    <w:rPr>
      <w:sz w:val="16"/>
      <w:vertAlign w:val="subscript"/>
    </w:rPr>
  </w:style>
  <w:style w:type="character" w:customStyle="1" w:styleId="Superscript">
    <w:name w:val="Superscript"/>
    <w:basedOn w:val="DefaultParagraphFont"/>
    <w:rsid w:val="00C84175"/>
    <w:rPr>
      <w:sz w:val="16"/>
      <w:vertAlign w:val="superscript"/>
    </w:rPr>
  </w:style>
  <w:style w:type="character" w:customStyle="1" w:styleId="Symbols">
    <w:name w:val="Symbols"/>
    <w:basedOn w:val="DefaultParagraphFont"/>
    <w:rsid w:val="00C84175"/>
    <w:rPr>
      <w:rFonts w:ascii="Symbol" w:hAnsi="Symbol"/>
    </w:rPr>
  </w:style>
  <w:style w:type="character" w:customStyle="1" w:styleId="MenuOptions">
    <w:name w:val="Menu Options"/>
    <w:basedOn w:val="DefaultParagraphFont"/>
    <w:rsid w:val="00C84175"/>
    <w:rPr>
      <w:rFonts w:ascii="Arial Narrow" w:hAnsi="Arial Narrow"/>
      <w:smallCaps/>
    </w:rPr>
  </w:style>
  <w:style w:type="character" w:customStyle="1" w:styleId="Buttons">
    <w:name w:val="Buttons"/>
    <w:basedOn w:val="DefaultParagraphFont"/>
    <w:rsid w:val="00C84175"/>
    <w:rPr>
      <w:b/>
    </w:rPr>
  </w:style>
  <w:style w:type="character" w:customStyle="1" w:styleId="Underlined">
    <w:name w:val="Underlined"/>
    <w:basedOn w:val="DefaultParagraphFont"/>
    <w:rsid w:val="00C84175"/>
    <w:rPr>
      <w:u w:val="single"/>
    </w:rPr>
  </w:style>
  <w:style w:type="paragraph" w:customStyle="1" w:styleId="TableBodyTextRight">
    <w:name w:val="Table Body Text Right"/>
    <w:basedOn w:val="TableBodyText"/>
    <w:rsid w:val="00C84175"/>
    <w:pPr>
      <w:widowControl w:val="0"/>
      <w:autoSpaceDE w:val="0"/>
      <w:autoSpaceDN w:val="0"/>
      <w:adjustRightInd w:val="0"/>
      <w:jc w:val="right"/>
    </w:pPr>
    <w:rPr>
      <w:rFonts w:cs="Arial"/>
      <w:szCs w:val="18"/>
    </w:rPr>
  </w:style>
  <w:style w:type="paragraph" w:customStyle="1" w:styleId="CopyrightText">
    <w:name w:val="Copyright Text"/>
    <w:basedOn w:val="BodyText"/>
    <w:rsid w:val="00C84175"/>
    <w:rPr>
      <w:sz w:val="18"/>
    </w:rPr>
  </w:style>
  <w:style w:type="paragraph" w:customStyle="1" w:styleId="BodySmallRight">
    <w:name w:val="Body Small Right"/>
    <w:basedOn w:val="BodyTextRight"/>
    <w:rsid w:val="00C84175"/>
    <w:rPr>
      <w:sz w:val="18"/>
      <w:szCs w:val="18"/>
    </w:rPr>
  </w:style>
  <w:style w:type="paragraph" w:customStyle="1" w:styleId="MarginEdition">
    <w:name w:val="Margin Edition"/>
    <w:basedOn w:val="MarginNote"/>
    <w:rsid w:val="00C84175"/>
    <w:pPr>
      <w:spacing w:before="0" w:after="0"/>
    </w:pPr>
    <w:rPr>
      <w:rFonts w:ascii="Times New Roman" w:hAnsi="Times New Roman"/>
      <w:color w:val="999999"/>
    </w:rPr>
  </w:style>
  <w:style w:type="paragraph" w:customStyle="1" w:styleId="Spacer">
    <w:name w:val="Spacer"/>
    <w:basedOn w:val="Normal"/>
    <w:rsid w:val="00C84175"/>
    <w:rPr>
      <w:sz w:val="2"/>
      <w:szCs w:val="2"/>
    </w:rPr>
  </w:style>
  <w:style w:type="character" w:customStyle="1" w:styleId="Small">
    <w:name w:val="Small"/>
    <w:basedOn w:val="DefaultParagraphFont"/>
    <w:rsid w:val="00C84175"/>
    <w:rPr>
      <w:sz w:val="16"/>
    </w:rPr>
  </w:style>
  <w:style w:type="paragraph" w:customStyle="1" w:styleId="WideTable">
    <w:name w:val="Wide Table"/>
    <w:basedOn w:val="Normal"/>
    <w:rsid w:val="00C84175"/>
    <w:pPr>
      <w:ind w:left="-1418"/>
    </w:pPr>
    <w:rPr>
      <w:sz w:val="2"/>
      <w:szCs w:val="2"/>
    </w:rPr>
  </w:style>
  <w:style w:type="character" w:styleId="PageNumber">
    <w:name w:val="page number"/>
    <w:basedOn w:val="DefaultParagraphFont"/>
    <w:rsid w:val="00C84175"/>
  </w:style>
  <w:style w:type="paragraph" w:styleId="Quote">
    <w:name w:val="Quote"/>
    <w:basedOn w:val="Heading1"/>
    <w:link w:val="QuoteChar"/>
    <w:qFormat/>
    <w:rsid w:val="00C84175"/>
    <w:rPr>
      <w:b w:val="0"/>
      <w:sz w:val="72"/>
      <w:szCs w:val="72"/>
      <w:lang w:val="en-NZ"/>
    </w:rPr>
  </w:style>
  <w:style w:type="character" w:customStyle="1" w:styleId="QuoteChar">
    <w:name w:val="Quote Char"/>
    <w:basedOn w:val="DefaultParagraphFont"/>
    <w:link w:val="Quote"/>
    <w:rsid w:val="00C84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175"/>
    <w:pPr>
      <w:pageBreakBefore/>
    </w:pPr>
  </w:style>
  <w:style w:type="paragraph" w:customStyle="1" w:styleId="Border">
    <w:name w:val="Border"/>
    <w:basedOn w:val="Normal"/>
    <w:qFormat/>
    <w:rsid w:val="00C84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175"/>
    <w:rPr>
      <w:b/>
      <w:bCs/>
      <w:i/>
      <w:iCs/>
      <w:color w:val="auto"/>
    </w:rPr>
  </w:style>
  <w:style w:type="paragraph" w:styleId="IntenseQuote">
    <w:name w:val="Intense Quote"/>
    <w:basedOn w:val="Normal"/>
    <w:next w:val="Normal"/>
    <w:link w:val="IntenseQuoteChar"/>
    <w:uiPriority w:val="30"/>
    <w:qFormat/>
    <w:rsid w:val="00C84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175"/>
    <w:rPr>
      <w:smallCaps/>
      <w:color w:val="auto"/>
      <w:u w:val="single"/>
    </w:rPr>
  </w:style>
  <w:style w:type="character" w:styleId="IntenseReference">
    <w:name w:val="Intense Reference"/>
    <w:basedOn w:val="DefaultParagraphFont"/>
    <w:uiPriority w:val="32"/>
    <w:qFormat/>
    <w:rsid w:val="00C84175"/>
    <w:rPr>
      <w:b/>
      <w:bCs/>
      <w:smallCaps/>
      <w:color w:val="auto"/>
      <w:spacing w:val="5"/>
      <w:u w:val="single"/>
    </w:rPr>
  </w:style>
  <w:style w:type="paragraph" w:customStyle="1" w:styleId="2ColumnHeading">
    <w:name w:val="2Column Heading"/>
    <w:basedOn w:val="BodyText"/>
    <w:qFormat/>
    <w:rsid w:val="00C84175"/>
    <w:pPr>
      <w:spacing w:after="60"/>
      <w:ind w:left="-2268"/>
    </w:pPr>
    <w:rPr>
      <w:b/>
    </w:rPr>
  </w:style>
  <w:style w:type="paragraph" w:customStyle="1" w:styleId="Heading1TOC">
    <w:name w:val="Heading1 TOC"/>
    <w:basedOn w:val="Normal"/>
    <w:qFormat/>
    <w:rsid w:val="00C84175"/>
    <w:pPr>
      <w:spacing w:before="240" w:after="120"/>
    </w:pPr>
    <w:rPr>
      <w:rFonts w:ascii="Times New Roman" w:hAnsi="Times New Roman"/>
      <w:b/>
      <w:sz w:val="32"/>
    </w:rPr>
  </w:style>
  <w:style w:type="paragraph" w:customStyle="1" w:styleId="Heading2TOC">
    <w:name w:val="Heading2 TOC"/>
    <w:basedOn w:val="Normal"/>
    <w:qFormat/>
    <w:rsid w:val="00C84175"/>
    <w:pPr>
      <w:spacing w:before="240" w:after="60"/>
    </w:pPr>
    <w:rPr>
      <w:rFonts w:ascii="Times New Roman" w:hAnsi="Times New Roman"/>
      <w:b/>
      <w:sz w:val="28"/>
    </w:rPr>
  </w:style>
  <w:style w:type="character" w:customStyle="1" w:styleId="Underline">
    <w:name w:val="Underline"/>
    <w:basedOn w:val="DefaultParagraphFont"/>
    <w:qFormat/>
    <w:rsid w:val="00C84175"/>
    <w:rPr>
      <w:u w:val="single"/>
    </w:rPr>
  </w:style>
  <w:style w:type="character" w:customStyle="1" w:styleId="BoldandItalics">
    <w:name w:val="Bold and Italics"/>
    <w:qFormat/>
    <w:rsid w:val="00C84175"/>
    <w:rPr>
      <w:b/>
      <w:i/>
      <w:u w:val="none"/>
    </w:rPr>
  </w:style>
  <w:style w:type="paragraph" w:styleId="BalloonText">
    <w:name w:val="Balloon Text"/>
    <w:basedOn w:val="Normal"/>
    <w:link w:val="BalloonTextChar"/>
    <w:rsid w:val="00C84175"/>
    <w:rPr>
      <w:rFonts w:ascii="Tahoma" w:hAnsi="Tahoma" w:cs="Tahoma"/>
      <w:sz w:val="16"/>
      <w:szCs w:val="16"/>
    </w:rPr>
  </w:style>
  <w:style w:type="character" w:customStyle="1" w:styleId="BalloonTextChar">
    <w:name w:val="Balloon Text Char"/>
    <w:basedOn w:val="DefaultParagraphFont"/>
    <w:link w:val="BalloonText"/>
    <w:rsid w:val="00C84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175"/>
    <w:rPr>
      <w:b/>
      <w:color w:val="660033"/>
      <w:spacing w:val="0"/>
    </w:rPr>
  </w:style>
  <w:style w:type="paragraph" w:customStyle="1" w:styleId="Nameditemlist">
    <w:name w:val="Named item list"/>
    <w:basedOn w:val="BodyText"/>
    <w:qFormat/>
    <w:rsid w:val="00C84175"/>
    <w:pPr>
      <w:tabs>
        <w:tab w:val="left" w:pos="2835"/>
      </w:tabs>
      <w:ind w:left="2835" w:hanging="2835"/>
    </w:pPr>
  </w:style>
  <w:style w:type="paragraph" w:customStyle="1" w:styleId="BodyTextnopadding">
    <w:name w:val="Body Text no padding"/>
    <w:basedOn w:val="BodyText"/>
    <w:qFormat/>
    <w:rsid w:val="00C84175"/>
    <w:pPr>
      <w:spacing w:before="0" w:after="0"/>
    </w:pPr>
  </w:style>
  <w:style w:type="paragraph" w:customStyle="1" w:styleId="BodyTextBold">
    <w:name w:val="Body Text Bold"/>
    <w:basedOn w:val="BodyText"/>
    <w:qFormat/>
    <w:rsid w:val="00C84175"/>
    <w:rPr>
      <w:b/>
    </w:rPr>
  </w:style>
  <w:style w:type="character" w:styleId="Hyperlink">
    <w:name w:val="Hyperlink"/>
    <w:basedOn w:val="DefaultParagraphFont"/>
    <w:uiPriority w:val="99"/>
    <w:unhideWhenUsed/>
    <w:rsid w:val="005F2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3964</Characters>
  <Application>Microsoft Office Word</Application>
  <DocSecurity>0</DocSecurity>
  <Lines>116</Lines>
  <Paragraphs>60</Paragraphs>
  <ScaleCrop>false</ScaleCrop>
  <Company>Author-it Software Corporation Ltd.</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PSPCRT006 Handle monies received in satisfaction of warrants and orders</dc:title>
  <dc:subject>Approved</dc:subject>
  <dc:creator>SkillsIQ</dc:creator>
  <cp:keywords>Release: 1</cp:keywords>
  <dc:description>Review Date: 12 April 2008</dc:description>
  <cp:lastModifiedBy>HSD_TPCMSd.prod</cp:lastModifiedBy>
  <cp:revision>3</cp:revision>
  <dcterms:created xsi:type="dcterms:W3CDTF">2022-11-21T09:00:00Z</dcterms:created>
  <dcterms:modified xsi:type="dcterms:W3CDTF">2022-11-21T09:00:00Z</dcterms:modified>
</cp:coreProperties>
</file>