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E42" w:rsidP="000B0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PSPBDR019 Command operational forces</w:t>
      </w:r>
      <w:r>
        <w:fldChar w:fldCharType="end"/>
      </w:r>
    </w:p>
    <w:p w:rsidR="000B0E42" w:rsidP="000B0E42">
      <w:pPr>
        <w:pStyle w:val="Version"/>
        <w:sectPr w:rsidSect="00431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C2E" w:rsidP="00431C2E">
      <w:pPr>
        <w:pStyle w:val="SuperHeading"/>
      </w:pPr>
      <w:r w:rsidRPr="00431C2E">
        <w:t>Assessment Requirements for PSPBDR019 Command operational forces</w:t>
      </w:r>
    </w:p>
    <w:p w:rsidR="00000000" w:rsidRPr="00431C2E" w:rsidP="00431C2E">
      <w:pPr>
        <w:pStyle w:val="Heading1"/>
      </w:pPr>
      <w:bookmarkStart w:id="1" w:name="O_1214559"/>
      <w:bookmarkEnd w:id="1"/>
      <w:r w:rsidRPr="00431C2E">
        <w:t>Modification History</w:t>
      </w:r>
    </w:p>
    <w:p w:rsidR="00000000" w:rsidRPr="00431C2E" w:rsidP="000B0E42">
      <w:pPr>
        <w:pStyle w:val="BodyText"/>
      </w:pPr>
      <w:r w:rsidRPr="00431C2E">
        <w:t>Supersedes and is equivalent to PSPBDR014 Command operational forces.</w:t>
      </w:r>
    </w:p>
    <w:p w:rsidR="00000000" w:rsidRPr="00431C2E" w:rsidP="00431C2E">
      <w:pPr>
        <w:pStyle w:val="Heading1"/>
      </w:pPr>
      <w:bookmarkStart w:id="2" w:name="O_1214560"/>
      <w:bookmarkEnd w:id="2"/>
      <w:r w:rsidRPr="00431C2E">
        <w:t>Performance Evidence</w:t>
      </w:r>
    </w:p>
    <w:p w:rsidR="00000000" w:rsidRPr="00431C2E" w:rsidP="000B0E42">
      <w:pPr>
        <w:pStyle w:val="BodyText"/>
      </w:pPr>
      <w:r w:rsidRPr="00431C2E">
        <w:t>Evidence of the ability to complet</w:t>
      </w:r>
      <w:r w:rsidRPr="00431C2E">
        <w:t>e tasks outlined in elements and performance criteria of this unit in the context of the job role, and on at least one occasion:</w:t>
      </w:r>
    </w:p>
    <w:p w:rsidR="00000000" w:rsidRPr="00431C2E" w:rsidP="00431C2E">
      <w:pPr>
        <w:pStyle w:val="ListBullet"/>
      </w:pPr>
      <w:r w:rsidRPr="00431C2E">
        <w:t>apply leadership and command in the context of leading patrol operational forces</w:t>
      </w:r>
    </w:p>
    <w:p w:rsidR="00000000" w:rsidRPr="00431C2E" w:rsidP="00431C2E">
      <w:pPr>
        <w:pStyle w:val="ListBullet"/>
      </w:pPr>
      <w:r w:rsidRPr="00431C2E">
        <w:t>conduct research in the context of leading op</w:t>
      </w:r>
      <w:r w:rsidRPr="00431C2E">
        <w:t xml:space="preserve">erational forces </w:t>
      </w:r>
    </w:p>
    <w:p w:rsidR="00000000" w:rsidRPr="00431C2E" w:rsidP="00431C2E">
      <w:pPr>
        <w:pStyle w:val="ListBullet"/>
      </w:pPr>
      <w:r w:rsidRPr="00431C2E">
        <w:t>apply relevant procedures to patrol, search, seizure, apprehension and surveillance.</w:t>
      </w:r>
    </w:p>
    <w:p w:rsidR="00000000" w:rsidRPr="00431C2E" w:rsidP="00431C2E">
      <w:pPr>
        <w:pStyle w:val="ListBullet"/>
      </w:pPr>
      <w:r w:rsidRPr="00431C2E">
        <w:t>determine a response to diverse circumstances resulting from situational and resource changes</w:t>
      </w:r>
      <w:r w:rsidRPr="00431C2E">
        <w:rPr>
          <w:rStyle w:val="SpecialBold"/>
        </w:rPr>
        <w:t xml:space="preserve"> </w:t>
      </w:r>
    </w:p>
    <w:p w:rsidR="00000000" w:rsidRPr="00431C2E" w:rsidP="00431C2E">
      <w:pPr>
        <w:pStyle w:val="ListBullet"/>
      </w:pPr>
      <w:r w:rsidRPr="00431C2E">
        <w:t>justify chosen response to any given situation against leg</w:t>
      </w:r>
      <w:r w:rsidRPr="00431C2E">
        <w:t>islation, regulations, guidelines, policies and procedures relating to command operations</w:t>
      </w:r>
    </w:p>
    <w:p w:rsidR="00000000" w:rsidRPr="00431C2E" w:rsidP="00431C2E">
      <w:pPr>
        <w:pStyle w:val="ListBullet"/>
      </w:pPr>
      <w:r w:rsidRPr="00431C2E">
        <w:t>complete post patrol reporting.</w:t>
      </w:r>
    </w:p>
    <w:p w:rsidR="00000000" w:rsidRPr="00431C2E" w:rsidP="00431C2E">
      <w:pPr>
        <w:pStyle w:val="AllowPageBreak"/>
      </w:pPr>
    </w:p>
    <w:p w:rsidR="00000000" w:rsidRPr="00431C2E" w:rsidP="00431C2E">
      <w:pPr>
        <w:pStyle w:val="Heading1"/>
      </w:pPr>
      <w:bookmarkStart w:id="3" w:name="O_1214561"/>
      <w:bookmarkEnd w:id="3"/>
      <w:r w:rsidRPr="00431C2E">
        <w:t>Knowledge Evidence</w:t>
      </w:r>
    </w:p>
    <w:p w:rsidR="00000000" w:rsidRPr="00431C2E" w:rsidP="000B0E42">
      <w:pPr>
        <w:pStyle w:val="BodyText"/>
      </w:pPr>
      <w:r w:rsidRPr="00431C2E">
        <w:t>Demonstrated knowledge required to complete the tasks outlined in elements and performance crite</w:t>
      </w:r>
      <w:r w:rsidRPr="00431C2E">
        <w:t>ria of this unit:</w:t>
      </w:r>
    </w:p>
    <w:p w:rsidR="00000000" w:rsidRPr="00431C2E" w:rsidP="00431C2E">
      <w:pPr>
        <w:pStyle w:val="ListBullet"/>
      </w:pPr>
      <w:r w:rsidRPr="00431C2E">
        <w:t>enabling and allied legislation</w:t>
      </w:r>
    </w:p>
    <w:p w:rsidR="00000000" w:rsidRPr="00431C2E" w:rsidP="00431C2E">
      <w:pPr>
        <w:pStyle w:val="ListBullet"/>
      </w:pPr>
      <w:r w:rsidRPr="00431C2E">
        <w:t xml:space="preserve">full range of regulatory powers enforceable by officers </w:t>
      </w:r>
    </w:p>
    <w:p w:rsidR="00000000" w:rsidRPr="00431C2E" w:rsidP="00431C2E">
      <w:pPr>
        <w:pStyle w:val="ListBullet"/>
      </w:pPr>
      <w:r w:rsidRPr="00431C2E">
        <w:t>operational command policy, methodology and principles</w:t>
      </w:r>
    </w:p>
    <w:p w:rsidR="00000000" w:rsidRPr="00431C2E" w:rsidP="00431C2E">
      <w:pPr>
        <w:pStyle w:val="ListBullet"/>
      </w:pPr>
      <w:r w:rsidRPr="00431C2E">
        <w:t xml:space="preserve">legislation, regulations, guidelines, policies and procedures </w:t>
      </w:r>
    </w:p>
    <w:p w:rsidR="00000000" w:rsidRPr="00431C2E" w:rsidP="00431C2E">
      <w:pPr>
        <w:pStyle w:val="ListBullet"/>
      </w:pPr>
      <w:r w:rsidRPr="00431C2E">
        <w:t xml:space="preserve">standing operating procedures </w:t>
      </w:r>
      <w:r w:rsidRPr="00431C2E">
        <w:t>and protocols</w:t>
      </w:r>
    </w:p>
    <w:p w:rsidR="00000000" w:rsidRPr="00431C2E" w:rsidP="00431C2E">
      <w:pPr>
        <w:pStyle w:val="ListBullet"/>
      </w:pPr>
      <w:r w:rsidRPr="00431C2E">
        <w:t xml:space="preserve">workplace and industry environment </w:t>
      </w:r>
    </w:p>
    <w:p w:rsidR="00000000" w:rsidRPr="00431C2E" w:rsidP="00431C2E">
      <w:pPr>
        <w:pStyle w:val="ListBullet"/>
      </w:pPr>
      <w:r w:rsidRPr="00431C2E">
        <w:t xml:space="preserve">operational environment including: </w:t>
      </w:r>
    </w:p>
    <w:p w:rsidR="00000000" w:rsidRPr="00431C2E" w:rsidP="00431C2E">
      <w:pPr>
        <w:pStyle w:val="ListBullet2"/>
      </w:pPr>
      <w:r w:rsidRPr="00431C2E">
        <w:t>geographic location</w:t>
      </w:r>
    </w:p>
    <w:p w:rsidR="00000000" w:rsidRPr="00431C2E" w:rsidP="00431C2E">
      <w:pPr>
        <w:pStyle w:val="ListBullet2"/>
      </w:pPr>
      <w:r w:rsidRPr="00431C2E">
        <w:t>transport mode</w:t>
      </w:r>
    </w:p>
    <w:p w:rsidR="00000000" w:rsidRPr="00431C2E" w:rsidP="00431C2E">
      <w:pPr>
        <w:pStyle w:val="ListBullet2"/>
      </w:pPr>
      <w:r w:rsidRPr="00431C2E">
        <w:t>transaction</w:t>
      </w:r>
    </w:p>
    <w:p w:rsidR="00000000" w:rsidRPr="00431C2E" w:rsidP="00431C2E">
      <w:pPr>
        <w:pStyle w:val="ListBullet2"/>
      </w:pPr>
      <w:r w:rsidRPr="00431C2E">
        <w:t>hours of operation</w:t>
      </w:r>
    </w:p>
    <w:p w:rsidR="00000000" w:rsidRPr="00431C2E" w:rsidP="00431C2E">
      <w:pPr>
        <w:pStyle w:val="ListBullet2"/>
      </w:pPr>
      <w:r w:rsidRPr="00431C2E">
        <w:t xml:space="preserve">the human elements, the officers; suspects; and persons who work, reside or visit in the environment </w:t>
      </w:r>
    </w:p>
    <w:p w:rsidR="00000000" w:rsidRPr="00431C2E" w:rsidP="00431C2E">
      <w:pPr>
        <w:pStyle w:val="ListBullet2"/>
      </w:pPr>
      <w:r w:rsidRPr="00431C2E">
        <w:t>the situation and intelligence</w:t>
      </w:r>
    </w:p>
    <w:p w:rsidR="00000000" w:rsidRPr="00431C2E" w:rsidP="00431C2E">
      <w:pPr>
        <w:pStyle w:val="ListBullet"/>
      </w:pPr>
      <w:r w:rsidRPr="00431C2E">
        <w:t>workplace technology and equipment including trace detectors such as Ionscan, and specialised X-ray equipment and related systems</w:t>
      </w:r>
    </w:p>
    <w:p w:rsidR="00000000" w:rsidRPr="00431C2E" w:rsidP="00431C2E">
      <w:pPr>
        <w:pStyle w:val="ListBullet"/>
      </w:pPr>
      <w:r w:rsidRPr="00431C2E">
        <w:t xml:space="preserve">work health and safety and environment policies and guidelines </w:t>
      </w:r>
    </w:p>
    <w:p w:rsidR="00000000" w:rsidRPr="00431C2E" w:rsidP="00431C2E">
      <w:pPr>
        <w:pStyle w:val="ListBullet"/>
      </w:pPr>
      <w:r w:rsidRPr="00431C2E">
        <w:t>risk assessment techniques</w:t>
      </w:r>
    </w:p>
    <w:p w:rsidR="00000000" w:rsidRPr="00431C2E" w:rsidP="00431C2E">
      <w:pPr>
        <w:pStyle w:val="ListBullet"/>
      </w:pPr>
      <w:r w:rsidRPr="00431C2E">
        <w:t>com</w:t>
      </w:r>
      <w:r w:rsidRPr="00431C2E">
        <w:t>munication systems relevant to the workplace including communications network and radio protocols</w:t>
      </w:r>
    </w:p>
    <w:p w:rsidR="00000000" w:rsidRPr="00431C2E" w:rsidP="00431C2E">
      <w:pPr>
        <w:pStyle w:val="ListBullet"/>
      </w:pPr>
      <w:r w:rsidRPr="00431C2E">
        <w:t>organisational and jurisdictional values, ethics and codes of conduct</w:t>
      </w:r>
    </w:p>
    <w:p w:rsidR="00000000" w:rsidRPr="00431C2E" w:rsidP="00431C2E">
      <w:pPr>
        <w:pStyle w:val="ListBullet"/>
      </w:pPr>
      <w:r w:rsidRPr="00431C2E">
        <w:t xml:space="preserve">confidentiality, privacy and security issues </w:t>
      </w:r>
    </w:p>
    <w:p w:rsidR="00000000" w:rsidRPr="00431C2E" w:rsidP="00431C2E">
      <w:pPr>
        <w:pStyle w:val="ListBullet"/>
      </w:pPr>
      <w:r w:rsidRPr="00431C2E">
        <w:t>reporting requirements.</w:t>
      </w:r>
    </w:p>
    <w:p w:rsidR="00000000" w:rsidRPr="00431C2E" w:rsidP="00431C2E">
      <w:pPr>
        <w:pStyle w:val="AllowPageBreak"/>
      </w:pPr>
    </w:p>
    <w:p w:rsidR="00000000" w:rsidRPr="00431C2E" w:rsidP="00431C2E">
      <w:pPr>
        <w:pStyle w:val="Heading1"/>
      </w:pPr>
      <w:bookmarkStart w:id="4" w:name="O_1214562"/>
      <w:bookmarkEnd w:id="4"/>
      <w:r w:rsidRPr="00431C2E">
        <w:t>Assessment Conditions</w:t>
      </w:r>
    </w:p>
    <w:p w:rsidR="00000000" w:rsidRPr="00431C2E" w:rsidP="000B0E42">
      <w:pPr>
        <w:pStyle w:val="BodyText"/>
      </w:pPr>
      <w:r w:rsidRPr="00431C2E">
        <w:t xml:space="preserve">Skills must be demonstrated in the workplace or in a simulated environment that reflects workplace conditions. </w:t>
      </w:r>
    </w:p>
    <w:p w:rsidR="00000000" w:rsidRPr="00431C2E" w:rsidP="000B0E42">
      <w:pPr>
        <w:pStyle w:val="BodyText"/>
      </w:pPr>
      <w:r w:rsidRPr="00431C2E">
        <w:t>Assessment must ensure access to:</w:t>
      </w:r>
    </w:p>
    <w:p w:rsidR="00000000" w:rsidRPr="00431C2E" w:rsidP="00431C2E">
      <w:pPr>
        <w:pStyle w:val="ListBullet"/>
      </w:pPr>
      <w:r w:rsidRPr="00431C2E">
        <w:t>legislation, regulations, policies, standing operating procedures and protocol</w:t>
      </w:r>
      <w:r w:rsidRPr="00431C2E">
        <w:t>s relating to commanding operational forces</w:t>
      </w:r>
    </w:p>
    <w:p w:rsidR="00000000" w:rsidRPr="00431C2E" w:rsidP="00431C2E">
      <w:pPr>
        <w:pStyle w:val="ListBullet"/>
      </w:pPr>
      <w:r w:rsidRPr="00431C2E">
        <w:t xml:space="preserve">relevant resources and equipment required of working environment. </w:t>
      </w:r>
    </w:p>
    <w:p w:rsidR="00000000" w:rsidRPr="00431C2E" w:rsidP="000B0E42">
      <w:pPr>
        <w:pStyle w:val="BodyText"/>
      </w:pPr>
      <w:r w:rsidRPr="00431C2E">
        <w:t>Assessors must satisfy the Standards for Registered Training Organisations’ requirements for assessors.</w:t>
      </w:r>
    </w:p>
    <w:p w:rsidR="00000000" w:rsidRPr="00431C2E" w:rsidP="00431C2E">
      <w:pPr>
        <w:pStyle w:val="Heading1"/>
      </w:pPr>
      <w:bookmarkStart w:id="5" w:name="O_1214565"/>
      <w:bookmarkEnd w:id="5"/>
      <w:r w:rsidRPr="00431C2E">
        <w:t>Links</w:t>
      </w:r>
    </w:p>
    <w:p w:rsidR="00000000" w:rsidRPr="00431C2E" w:rsidP="000B0E42">
      <w:pPr>
        <w:pStyle w:val="BodyText"/>
      </w:pPr>
      <w:r w:rsidRPr="00431C2E">
        <w:t>Companion Volume</w:t>
      </w:r>
      <w:r w:rsidRPr="00431C2E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A7C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31C2E" w:rsidP="00431C2E"/>
    <w:sectPr w:rsidSect="00431C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C2E" w:rsidRPr="000B0E42" w:rsidP="000B0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42" w:rsidP="00431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E42" w:rsidP="00431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0E42" w:rsidP="00431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C2E" w:rsidRPr="000B0E42" w:rsidP="000B0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42" w:rsidRPr="002D2AF8" w:rsidP="00431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PSPBDR019 Command operational forces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B0E42" w:rsidP="00431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2E5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46D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08D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C2E"/>
  </w:style>
  <w:style w:type="character" w:customStyle="1" w:styleId="Heading1Char">
    <w:name w:val="Heading 1 Char"/>
    <w:basedOn w:val="DefaultParagraphFont"/>
    <w:link w:val="Heading1"/>
    <w:rsid w:val="00431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C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C2E"/>
    <w:rPr>
      <w:b/>
      <w:spacing w:val="0"/>
    </w:rPr>
  </w:style>
  <w:style w:type="paragraph" w:styleId="ListBullet2">
    <w:name w:val="List Bullet 2"/>
    <w:basedOn w:val="List2"/>
    <w:rsid w:val="00431C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1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C2E"/>
    <w:rPr>
      <w:i/>
    </w:rPr>
  </w:style>
  <w:style w:type="paragraph" w:styleId="Caption">
    <w:name w:val="caption"/>
    <w:basedOn w:val="BodyText"/>
    <w:next w:val="Normal"/>
    <w:qFormat/>
    <w:rsid w:val="00431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C2E"/>
  </w:style>
  <w:style w:type="paragraph" w:styleId="TableofFigures">
    <w:name w:val="table of figures"/>
    <w:basedOn w:val="Normal"/>
    <w:next w:val="Normal"/>
    <w:semiHidden/>
    <w:rsid w:val="00431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C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C2E"/>
    <w:rPr>
      <w:rFonts w:ascii="Wingdings" w:hAnsi="Wingdings"/>
    </w:rPr>
  </w:style>
  <w:style w:type="paragraph" w:customStyle="1" w:styleId="TableHeading">
    <w:name w:val="Table Heading"/>
    <w:basedOn w:val="HeadingBase"/>
    <w:rsid w:val="00431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C2E"/>
    <w:rPr>
      <w:color w:val="0033CC"/>
      <w:u w:val="none"/>
    </w:rPr>
  </w:style>
  <w:style w:type="paragraph" w:customStyle="1" w:styleId="BodyTextRight">
    <w:name w:val="Body Text Right"/>
    <w:basedOn w:val="BodyText"/>
    <w:rsid w:val="00431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C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C2E"/>
    <w:rPr>
      <w:sz w:val="32"/>
    </w:rPr>
  </w:style>
  <w:style w:type="paragraph" w:customStyle="1" w:styleId="HeadingProcedure">
    <w:name w:val="Heading Procedure"/>
    <w:basedOn w:val="HeadingBase"/>
    <w:next w:val="Normal"/>
    <w:rsid w:val="00431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C2E"/>
    <w:pPr>
      <w:spacing w:before="60" w:after="60"/>
    </w:pPr>
  </w:style>
  <w:style w:type="paragraph" w:styleId="ListContinue">
    <w:name w:val="List Continue"/>
    <w:basedOn w:val="List"/>
    <w:rsid w:val="00431C2E"/>
    <w:pPr>
      <w:ind w:firstLine="0"/>
    </w:pPr>
  </w:style>
  <w:style w:type="paragraph" w:customStyle="1" w:styleId="ListNote">
    <w:name w:val="List Note"/>
    <w:basedOn w:val="List"/>
    <w:rsid w:val="00431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C2E"/>
    <w:rPr>
      <w:rFonts w:ascii="Courier New" w:hAnsi="Courier New"/>
    </w:rPr>
  </w:style>
  <w:style w:type="paragraph" w:customStyle="1" w:styleId="NoteBullet">
    <w:name w:val="Note Bullet"/>
    <w:basedOn w:val="Note"/>
    <w:rsid w:val="00431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C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C2E"/>
    <w:rPr>
      <w:b/>
      <w:smallCaps/>
    </w:rPr>
  </w:style>
  <w:style w:type="paragraph" w:customStyle="1" w:styleId="TableListNumber">
    <w:name w:val="Table List Number"/>
    <w:basedOn w:val="ListNumber"/>
    <w:rsid w:val="00431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C2E"/>
    <w:pPr>
      <w:numPr>
        <w:numId w:val="9"/>
      </w:numPr>
    </w:pPr>
  </w:style>
  <w:style w:type="paragraph" w:customStyle="1" w:styleId="ListAlpha2">
    <w:name w:val="List Alpha 2"/>
    <w:basedOn w:val="List2"/>
    <w:rsid w:val="00431C2E"/>
    <w:pPr>
      <w:numPr>
        <w:numId w:val="8"/>
      </w:numPr>
    </w:pPr>
  </w:style>
  <w:style w:type="paragraph" w:styleId="List2">
    <w:name w:val="List 2"/>
    <w:basedOn w:val="BodyText"/>
    <w:rsid w:val="00431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C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C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C2E"/>
    <w:pPr>
      <w:numPr>
        <w:numId w:val="4"/>
      </w:numPr>
    </w:pPr>
  </w:style>
  <w:style w:type="paragraph" w:styleId="ListContinue2">
    <w:name w:val="List Continue 2"/>
    <w:basedOn w:val="List2"/>
    <w:rsid w:val="00431C2E"/>
    <w:pPr>
      <w:ind w:firstLine="0"/>
    </w:pPr>
  </w:style>
  <w:style w:type="paragraph" w:styleId="ListContinue3">
    <w:name w:val="List Continue 3"/>
    <w:basedOn w:val="List3"/>
    <w:rsid w:val="00431C2E"/>
    <w:pPr>
      <w:ind w:left="1021" w:firstLine="0"/>
    </w:pPr>
  </w:style>
  <w:style w:type="paragraph" w:styleId="ListContinue4">
    <w:name w:val="List Continue 4"/>
    <w:basedOn w:val="List4"/>
    <w:rsid w:val="00431C2E"/>
    <w:pPr>
      <w:ind w:firstLine="0"/>
    </w:pPr>
  </w:style>
  <w:style w:type="paragraph" w:styleId="ListContinue5">
    <w:name w:val="List Continue 5"/>
    <w:basedOn w:val="List5"/>
    <w:rsid w:val="00431C2E"/>
    <w:pPr>
      <w:ind w:firstLine="0"/>
    </w:pPr>
  </w:style>
  <w:style w:type="paragraph" w:styleId="ListNumber3">
    <w:name w:val="List Number 3"/>
    <w:basedOn w:val="List3"/>
    <w:rsid w:val="00431C2E"/>
    <w:pPr>
      <w:numPr>
        <w:numId w:val="5"/>
      </w:numPr>
    </w:pPr>
  </w:style>
  <w:style w:type="paragraph" w:styleId="ListNumber4">
    <w:name w:val="List Number 4"/>
    <w:basedOn w:val="List4"/>
    <w:rsid w:val="00431C2E"/>
    <w:pPr>
      <w:numPr>
        <w:numId w:val="6"/>
      </w:numPr>
    </w:pPr>
  </w:style>
  <w:style w:type="paragraph" w:styleId="ListNumber5">
    <w:name w:val="List Number 5"/>
    <w:basedOn w:val="List5"/>
    <w:rsid w:val="00431C2E"/>
    <w:pPr>
      <w:numPr>
        <w:numId w:val="7"/>
      </w:numPr>
    </w:pPr>
  </w:style>
  <w:style w:type="paragraph" w:styleId="BlockText">
    <w:name w:val="Block Text"/>
    <w:basedOn w:val="Normal"/>
    <w:rsid w:val="00431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C2E"/>
    <w:rPr>
      <w:sz w:val="16"/>
      <w:vertAlign w:val="superscript"/>
    </w:rPr>
  </w:style>
  <w:style w:type="character" w:customStyle="1" w:styleId="Symbols">
    <w:name w:val="Symbols"/>
    <w:basedOn w:val="DefaultParagraphFont"/>
    <w:rsid w:val="00431C2E"/>
    <w:rPr>
      <w:rFonts w:ascii="Symbol" w:hAnsi="Symbol"/>
    </w:rPr>
  </w:style>
  <w:style w:type="character" w:customStyle="1" w:styleId="MenuOptions">
    <w:name w:val="Menu Options"/>
    <w:basedOn w:val="DefaultParagraphFont"/>
    <w:rsid w:val="00431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C2E"/>
    <w:rPr>
      <w:b/>
    </w:rPr>
  </w:style>
  <w:style w:type="character" w:customStyle="1" w:styleId="Underlined">
    <w:name w:val="Underlined"/>
    <w:basedOn w:val="DefaultParagraphFont"/>
    <w:rsid w:val="00431C2E"/>
    <w:rPr>
      <w:u w:val="single"/>
    </w:rPr>
  </w:style>
  <w:style w:type="paragraph" w:customStyle="1" w:styleId="TableBodyTextRight">
    <w:name w:val="Table Body Text Right"/>
    <w:basedOn w:val="TableBodyText"/>
    <w:rsid w:val="00431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C2E"/>
    <w:rPr>
      <w:sz w:val="18"/>
    </w:rPr>
  </w:style>
  <w:style w:type="paragraph" w:customStyle="1" w:styleId="BodySmallRight">
    <w:name w:val="Body Small Right"/>
    <w:basedOn w:val="BodyTextRight"/>
    <w:rsid w:val="00431C2E"/>
    <w:rPr>
      <w:sz w:val="18"/>
      <w:szCs w:val="18"/>
    </w:rPr>
  </w:style>
  <w:style w:type="paragraph" w:customStyle="1" w:styleId="MarginEdition">
    <w:name w:val="Margin Edition"/>
    <w:basedOn w:val="MarginNote"/>
    <w:rsid w:val="00431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C2E"/>
    <w:rPr>
      <w:sz w:val="2"/>
      <w:szCs w:val="2"/>
    </w:rPr>
  </w:style>
  <w:style w:type="character" w:customStyle="1" w:styleId="Small">
    <w:name w:val="Small"/>
    <w:basedOn w:val="DefaultParagraphFont"/>
    <w:rsid w:val="00431C2E"/>
    <w:rPr>
      <w:sz w:val="16"/>
    </w:rPr>
  </w:style>
  <w:style w:type="paragraph" w:customStyle="1" w:styleId="WideTable">
    <w:name w:val="Wide Table"/>
    <w:basedOn w:val="Normal"/>
    <w:rsid w:val="00431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C2E"/>
  </w:style>
  <w:style w:type="paragraph" w:styleId="Quote">
    <w:name w:val="Quote"/>
    <w:basedOn w:val="Heading1"/>
    <w:link w:val="QuoteChar"/>
    <w:qFormat/>
    <w:rsid w:val="00431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C2E"/>
    <w:pPr>
      <w:pageBreakBefore/>
    </w:pPr>
  </w:style>
  <w:style w:type="paragraph" w:customStyle="1" w:styleId="Border">
    <w:name w:val="Border"/>
    <w:basedOn w:val="Normal"/>
    <w:qFormat/>
    <w:rsid w:val="00431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C2E"/>
    <w:rPr>
      <w:u w:val="single"/>
    </w:rPr>
  </w:style>
  <w:style w:type="character" w:customStyle="1" w:styleId="BoldandItalics">
    <w:name w:val="Bold and Italics"/>
    <w:qFormat/>
    <w:rsid w:val="00431C2E"/>
    <w:rPr>
      <w:b/>
      <w:i/>
      <w:u w:val="none"/>
    </w:rPr>
  </w:style>
  <w:style w:type="paragraph" w:styleId="BalloonText">
    <w:name w:val="Balloon Text"/>
    <w:basedOn w:val="Normal"/>
    <w:link w:val="BalloonTextChar"/>
    <w:rsid w:val="00431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C2E"/>
    <w:pPr>
      <w:spacing w:before="0" w:after="0"/>
    </w:pPr>
  </w:style>
  <w:style w:type="paragraph" w:customStyle="1" w:styleId="BodyTextBold">
    <w:name w:val="Body Text Bold"/>
    <w:basedOn w:val="BodyText"/>
    <w:qFormat/>
    <w:rsid w:val="00431C2E"/>
    <w:rPr>
      <w:b/>
    </w:rPr>
  </w:style>
  <w:style w:type="character" w:styleId="Hyperlink">
    <w:name w:val="Hyperlink"/>
    <w:basedOn w:val="DefaultParagraphFont"/>
    <w:uiPriority w:val="99"/>
    <w:unhideWhenUsed/>
    <w:rsid w:val="000B0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2475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PSPBDR019 Command operational forces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