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13D6" w:rsidP="002513D6">
      <w:pPr>
        <w:pStyle w:val="Title"/>
      </w:pPr>
      <w:r>
        <w:fldChar w:fldCharType="begin"/>
      </w:r>
      <w:r>
        <w:instrText xml:space="preserve"> TITLE   \* MERGEFORMAT </w:instrText>
      </w:r>
      <w:r>
        <w:fldChar w:fldCharType="separate"/>
      </w:r>
      <w:r>
        <w:t>PRMWM13B Receive waste</w:t>
      </w:r>
      <w:r>
        <w:fldChar w:fldCharType="end"/>
      </w:r>
    </w:p>
    <w:p w:rsidR="002513D6" w:rsidP="002513D6">
      <w:pPr>
        <w:pStyle w:val="Version"/>
        <w:sectPr w:rsidSect="00A2183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1838" w:rsidP="00A21838">
      <w:pPr>
        <w:pStyle w:val="SuperHeading"/>
      </w:pPr>
      <w:r w:rsidRPr="00A21838">
        <w:t>PRMWM13B Receive waste</w:t>
      </w:r>
    </w:p>
    <w:p w:rsidR="00000000" w:rsidRPr="00A21838" w:rsidP="00A21838">
      <w:pPr>
        <w:pStyle w:val="Heading1"/>
      </w:pPr>
      <w:bookmarkStart w:id="1" w:name="O_272972"/>
      <w:bookmarkEnd w:id="1"/>
      <w:r w:rsidRPr="00A21838">
        <w:t>Modification History</w:t>
      </w:r>
    </w:p>
    <w:p w:rsidR="00000000" w:rsidRPr="00A21838" w:rsidP="00A21838">
      <w:pPr>
        <w:pStyle w:val="BodyText"/>
      </w:pPr>
      <w:r w:rsidRPr="00A21838">
        <w:t>Not Applicable</w:t>
      </w:r>
    </w:p>
    <w:p w:rsidR="00000000" w:rsidRPr="00A21838" w:rsidP="00A21838">
      <w:pPr>
        <w:pStyle w:val="AllowPageBreak"/>
      </w:pPr>
    </w:p>
    <w:p w:rsidR="00000000" w:rsidRPr="00A21838" w:rsidP="00A21838">
      <w:pPr>
        <w:pStyle w:val="Heading1"/>
      </w:pPr>
      <w:bookmarkStart w:id="2" w:name="O_216529"/>
      <w:bookmarkEnd w:id="2"/>
      <w:r w:rsidRPr="00A21838">
        <w:t>Unit Descriptor</w:t>
      </w:r>
    </w:p>
    <w:p w:rsidR="00000000" w:rsidRPr="00A21838" w:rsidP="00A21838">
      <w:pPr>
        <w:pStyle w:val="BodyText"/>
      </w:pPr>
      <w:r w:rsidRPr="00A21838">
        <w:rPr>
          <w:rStyle w:val="SpecialBold"/>
        </w:rPr>
        <w:t>Unit descriptor</w:t>
      </w:r>
    </w:p>
    <w:p w:rsidR="002513D6" w:rsidP="00A21838">
      <w:pPr>
        <w:pStyle w:val="BodyText"/>
      </w:pPr>
      <w:r w:rsidRPr="00A21838">
        <w:t>This unit of competency describes the receival of all waste types (including regulated and unregulated, solid and liquid) for pr</w:t>
      </w:r>
      <w:r w:rsidRPr="00A21838">
        <w:t xml:space="preserve">ocessing and treatment. It requires the ability to organise and coordinate activity. </w:t>
      </w:r>
    </w:p>
    <w:p w:rsidR="002513D6" w:rsidP="00A21838">
      <w:pPr>
        <w:pStyle w:val="BodyText"/>
      </w:pPr>
    </w:p>
    <w:p w:rsidR="00000000" w:rsidRPr="00A21838" w:rsidP="00A21838">
      <w:pPr>
        <w:pStyle w:val="Heading1"/>
      </w:pPr>
      <w:bookmarkStart w:id="3" w:name="O_275807"/>
      <w:bookmarkEnd w:id="3"/>
      <w:r w:rsidRPr="00A21838">
        <w:t>Application of the Unit</w:t>
      </w:r>
    </w:p>
    <w:p w:rsidR="00000000" w:rsidRPr="00A21838" w:rsidP="00A21838">
      <w:pPr>
        <w:pStyle w:val="BodyText"/>
      </w:pPr>
      <w:r w:rsidRPr="00A21838">
        <w:t>Not Applicable</w:t>
      </w:r>
    </w:p>
    <w:p w:rsidR="00000000" w:rsidRPr="00A21838" w:rsidP="00A21838">
      <w:pPr>
        <w:pStyle w:val="AllowPageBreak"/>
      </w:pPr>
    </w:p>
    <w:p w:rsidR="00000000" w:rsidRPr="00A21838" w:rsidP="00A21838">
      <w:pPr>
        <w:pStyle w:val="Heading1"/>
      </w:pPr>
      <w:bookmarkStart w:id="4" w:name="O_281232"/>
      <w:bookmarkEnd w:id="4"/>
      <w:r w:rsidRPr="00A21838">
        <w:t>Licensing/Regulatory Information</w:t>
      </w:r>
    </w:p>
    <w:p w:rsidR="00000000" w:rsidRPr="00A21838" w:rsidP="00A21838">
      <w:pPr>
        <w:pStyle w:val="BodyText"/>
      </w:pPr>
      <w:r w:rsidRPr="00A21838">
        <w:t>Not Applicable</w:t>
      </w:r>
    </w:p>
    <w:p w:rsidR="00000000" w:rsidRPr="00A21838" w:rsidP="00A21838">
      <w:pPr>
        <w:pStyle w:val="AllowPageBreak"/>
      </w:pPr>
    </w:p>
    <w:p w:rsidR="00000000" w:rsidRPr="00A21838" w:rsidP="00A21838">
      <w:pPr>
        <w:pStyle w:val="Heading1"/>
      </w:pPr>
      <w:bookmarkStart w:id="5" w:name="O_284532"/>
      <w:bookmarkEnd w:id="5"/>
      <w:r w:rsidRPr="00A21838">
        <w:t>Pre-Requisites</w:t>
      </w:r>
    </w:p>
    <w:p w:rsidR="00000000" w:rsidRPr="00A21838" w:rsidP="00A21838">
      <w:pPr>
        <w:pStyle w:val="BodyText"/>
      </w:pPr>
      <w:r w:rsidRPr="00A21838">
        <w:t>Not Applicable</w:t>
      </w:r>
    </w:p>
    <w:p w:rsidR="00000000" w:rsidRPr="00A21838" w:rsidP="00A21838">
      <w:pPr>
        <w:pStyle w:val="AllowPageBreak"/>
      </w:pPr>
    </w:p>
    <w:p w:rsidR="00000000" w:rsidRPr="00A21838" w:rsidP="00A21838">
      <w:pPr>
        <w:pStyle w:val="Heading1"/>
      </w:pPr>
      <w:bookmarkStart w:id="6" w:name="O_285282"/>
      <w:bookmarkEnd w:id="6"/>
      <w:r w:rsidRPr="00A21838">
        <w:t>Employability Skills Information</w:t>
      </w:r>
    </w:p>
    <w:p w:rsidR="00000000" w:rsidRPr="00A21838" w:rsidP="00A21838">
      <w:pPr>
        <w:pStyle w:val="BodyText"/>
      </w:pPr>
      <w:r w:rsidRPr="00A21838">
        <w:t>Not Applicable</w:t>
      </w:r>
    </w:p>
    <w:p w:rsidR="00000000" w:rsidRPr="00A21838" w:rsidP="00A21838">
      <w:pPr>
        <w:pStyle w:val="AllowPageBreak"/>
      </w:pPr>
    </w:p>
    <w:p w:rsidR="00000000" w:rsidRPr="00A21838" w:rsidP="00A21838">
      <w:pPr>
        <w:pStyle w:val="Heading1"/>
      </w:pPr>
      <w:bookmarkStart w:id="7" w:name="O_291018"/>
      <w:bookmarkEnd w:id="7"/>
      <w:r w:rsidRPr="00A21838">
        <w:t>Elements and Performance Criteria Pre-Content</w:t>
      </w:r>
    </w:p>
    <w:p w:rsidR="00000000" w:rsidRPr="00A21838" w:rsidP="00A21838">
      <w:pPr>
        <w:pStyle w:val="BodyText"/>
      </w:pPr>
      <w:r w:rsidRPr="00A21838">
        <w:t>Not Applicable</w:t>
      </w:r>
    </w:p>
    <w:p w:rsidR="00000000" w:rsidRPr="00A21838" w:rsidP="00A21838">
      <w:pPr>
        <w:pStyle w:val="AllowPageBreak"/>
      </w:pPr>
    </w:p>
    <w:p w:rsidR="00000000" w:rsidRPr="00A21838" w:rsidP="00A21838">
      <w:pPr>
        <w:pStyle w:val="Heading1"/>
      </w:pPr>
      <w:bookmarkStart w:id="8" w:name="O_237686"/>
      <w:bookmarkEnd w:id="8"/>
      <w:r w:rsidRPr="00A21838">
        <w:t>Elements and Performance Criteria</w:t>
      </w:r>
    </w:p>
    <w:tbl>
      <w:tblPr>
        <w:tblW w:w="0" w:type="auto"/>
        <w:tblLayout w:type="fixed"/>
        <w:tblCellMar>
          <w:left w:w="62" w:type="dxa"/>
          <w:right w:w="62" w:type="dxa"/>
        </w:tblCellMar>
        <w:tblLook w:val="0000"/>
      </w:tblPr>
      <w:tblGrid>
        <w:gridCol w:w="3720"/>
        <w:gridCol w:w="18"/>
        <w:gridCol w:w="4992"/>
        <w:gridCol w:w="25"/>
      </w:tblGrid>
      <w:tr w:rsidTr="002513D6">
        <w:tblPrEx>
          <w:tblW w:w="0" w:type="auto"/>
          <w:tblLayout w:type="fixed"/>
          <w:tblCellMar>
            <w:left w:w="62" w:type="dxa"/>
            <w:right w:w="62" w:type="dxa"/>
          </w:tblCellMar>
          <w:tblLook w:val="0000"/>
        </w:tblPrEx>
        <w:trPr>
          <w:tblHeader/>
        </w:trPr>
        <w:tc>
          <w:tcPr>
            <w:tcW w:w="3738" w:type="dxa"/>
            <w:gridSpan w:val="2"/>
            <w:tcBorders>
              <w:top w:val="nil"/>
              <w:left w:val="nil"/>
              <w:bottom w:val="nil"/>
              <w:right w:val="nil"/>
            </w:tcBorders>
            <w:tcMar>
              <w:top w:w="0" w:type="dxa"/>
              <w:left w:w="62" w:type="dxa"/>
              <w:bottom w:w="0" w:type="dxa"/>
              <w:right w:w="62" w:type="dxa"/>
            </w:tcMar>
          </w:tcPr>
          <w:p w:rsidR="00000000" w:rsidRPr="00A21838" w:rsidP="00A21838">
            <w:pPr>
              <w:pStyle w:val="List"/>
            </w:pPr>
            <w:r w:rsidRPr="00A21838">
              <w:rPr>
                <w:rStyle w:val="SpecialBold"/>
              </w:rPr>
              <w:t>ELEMENT</w:t>
            </w:r>
          </w:p>
        </w:tc>
        <w:tc>
          <w:tcPr>
            <w:tcW w:w="5017" w:type="dxa"/>
            <w:gridSpan w:val="2"/>
            <w:tcBorders>
              <w:top w:val="nil"/>
              <w:left w:val="nil"/>
              <w:bottom w:val="nil"/>
              <w:right w:val="nil"/>
            </w:tcBorders>
            <w:tcMar>
              <w:top w:w="0" w:type="dxa"/>
              <w:left w:w="62" w:type="dxa"/>
              <w:bottom w:w="0" w:type="dxa"/>
              <w:right w:w="62" w:type="dxa"/>
            </w:tcMar>
          </w:tcPr>
          <w:p w:rsidR="00000000" w:rsidP="00A21838">
            <w:pPr>
              <w:pStyle w:val="List"/>
              <w:rPr>
                <w:lang w:val="en-NZ"/>
              </w:rPr>
            </w:pPr>
            <w:r w:rsidRPr="00A21838">
              <w:rPr>
                <w:rStyle w:val="SpecialBold"/>
              </w:rPr>
              <w:t>PERFORMANCE CRITERIA</w:t>
            </w:r>
          </w:p>
        </w:tc>
      </w:tr>
      <w:tr w:rsidTr="002513D6">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A21838">
            <w:pPr>
              <w:pStyle w:val="List"/>
              <w:rPr>
                <w:lang w:val="en-NZ"/>
              </w:rPr>
            </w:pPr>
            <w:r w:rsidRPr="00A21838">
              <w:t>1</w:t>
            </w:r>
            <w:r w:rsidRPr="00A21838">
              <w:tab/>
              <w:t>Organise for receival of wast</w:t>
            </w:r>
            <w:r w:rsidRPr="00A21838">
              <w:t>e</w:t>
            </w:r>
          </w:p>
        </w:tc>
        <w:tc>
          <w:tcPr>
            <w:tcW w:w="5010" w:type="dxa"/>
            <w:gridSpan w:val="2"/>
            <w:tcBorders>
              <w:top w:val="nil"/>
              <w:left w:val="nil"/>
              <w:bottom w:val="nil"/>
              <w:right w:val="nil"/>
            </w:tcBorders>
            <w:tcMar>
              <w:top w:w="0" w:type="dxa"/>
              <w:left w:w="62" w:type="dxa"/>
              <w:bottom w:w="0" w:type="dxa"/>
              <w:right w:w="62" w:type="dxa"/>
            </w:tcMar>
          </w:tcPr>
          <w:p w:rsidR="00000000" w:rsidRPr="00A21838" w:rsidP="00A21838">
            <w:pPr>
              <w:pStyle w:val="List"/>
            </w:pPr>
            <w:r w:rsidRPr="00A21838">
              <w:t>1.1</w:t>
            </w:r>
            <w:r w:rsidRPr="00A21838">
              <w:tab/>
              <w:t xml:space="preserve">Review </w:t>
            </w:r>
            <w:r w:rsidRPr="00A21838">
              <w:rPr>
                <w:rStyle w:val="Emphasis"/>
              </w:rPr>
              <w:t>waste receival schedule</w:t>
            </w:r>
            <w:r w:rsidRPr="00A21838">
              <w:t xml:space="preserve"> to identify all job requirements</w:t>
            </w:r>
          </w:p>
          <w:p w:rsidR="00000000" w:rsidRPr="00A21838" w:rsidP="00A21838">
            <w:pPr>
              <w:pStyle w:val="List"/>
            </w:pPr>
            <w:r w:rsidRPr="00A21838">
              <w:t>1.2</w:t>
            </w:r>
            <w:r w:rsidRPr="00A21838">
              <w:tab/>
              <w:t xml:space="preserve">Select appropriate personnel and </w:t>
            </w:r>
            <w:r w:rsidRPr="00A21838">
              <w:rPr>
                <w:rStyle w:val="Emphasis"/>
              </w:rPr>
              <w:t>equipment</w:t>
            </w:r>
            <w:r w:rsidRPr="00A21838">
              <w:t xml:space="preserve"> for waste receival</w:t>
            </w:r>
          </w:p>
          <w:p w:rsidR="00000000" w:rsidRPr="00A21838" w:rsidP="00A21838">
            <w:pPr>
              <w:pStyle w:val="List"/>
            </w:pPr>
            <w:r w:rsidRPr="00A21838">
              <w:t>1.3</w:t>
            </w:r>
            <w:r w:rsidRPr="00A21838">
              <w:tab/>
              <w:t xml:space="preserve">Identify and manage </w:t>
            </w:r>
            <w:r w:rsidRPr="00A21838">
              <w:rPr>
                <w:rStyle w:val="Emphasis"/>
              </w:rPr>
              <w:t>potential risks and hazards</w:t>
            </w:r>
            <w:r w:rsidRPr="00A21838">
              <w:t xml:space="preserve"> to work, in accordance with </w:t>
            </w:r>
            <w:r w:rsidRPr="00A21838">
              <w:rPr>
                <w:rStyle w:val="Emphasis"/>
              </w:rPr>
              <w:t>company requirements</w:t>
            </w:r>
            <w:r w:rsidRPr="00A21838">
              <w:t>, occupational health and safety and other relevant legislation</w:t>
            </w:r>
          </w:p>
          <w:p w:rsidR="00000000" w:rsidRPr="00A21838" w:rsidP="00A21838">
            <w:pPr>
              <w:pStyle w:val="List"/>
            </w:pPr>
            <w:r w:rsidRPr="00A21838">
              <w:t>1.4</w:t>
            </w:r>
            <w:r w:rsidRPr="00A21838">
              <w:tab/>
              <w:t xml:space="preserve">Utilise appropriate personnel and/or </w:t>
            </w:r>
            <w:r w:rsidRPr="00A21838">
              <w:rPr>
                <w:rStyle w:val="Emphasis"/>
              </w:rPr>
              <w:t>equipment to maximise safety</w:t>
            </w:r>
            <w:r w:rsidRPr="00A21838">
              <w:t xml:space="preserve">, </w:t>
            </w:r>
            <w:r w:rsidRPr="00A21838">
              <w:rPr>
                <w:rStyle w:val="Emphasis"/>
              </w:rPr>
              <w:t>efficiency and effectiveness of unloading</w:t>
            </w:r>
            <w:r w:rsidRPr="00A21838">
              <w:t xml:space="preserve"> waste</w:t>
            </w:r>
          </w:p>
          <w:p w:rsidR="00000000" w:rsidRPr="00A21838" w:rsidP="00A21838">
            <w:pPr>
              <w:pStyle w:val="List"/>
            </w:pPr>
            <w:r w:rsidRPr="00A21838">
              <w:t>1.5</w:t>
            </w:r>
            <w:r w:rsidRPr="00A21838">
              <w:tab/>
              <w:t>Pre-check personal protective equipment to ensure it is not damaged</w:t>
            </w:r>
          </w:p>
          <w:p w:rsidR="00000000" w:rsidRPr="00A21838" w:rsidP="00A21838">
            <w:pPr>
              <w:pStyle w:val="List"/>
            </w:pPr>
            <w:r w:rsidRPr="00A21838">
              <w:t>1</w:t>
            </w:r>
            <w:r w:rsidRPr="00A21838">
              <w:t>.6</w:t>
            </w:r>
            <w:r w:rsidRPr="00A21838">
              <w:tab/>
              <w:t xml:space="preserve">Select and fit </w:t>
            </w:r>
            <w:r w:rsidRPr="00A21838">
              <w:rPr>
                <w:rStyle w:val="Emphasis"/>
              </w:rPr>
              <w:t>emergency and personal protective equipment</w:t>
            </w:r>
            <w:r w:rsidRPr="00A21838">
              <w:t xml:space="preserve"> in accordance with job requirements, </w:t>
            </w:r>
            <w:r w:rsidRPr="00A21838">
              <w:rPr>
                <w:rStyle w:val="Emphasis"/>
              </w:rPr>
              <w:t>manufacturers' specifications</w:t>
            </w:r>
            <w:r w:rsidRPr="00A21838">
              <w:t xml:space="preserve">, company requirements and </w:t>
            </w:r>
            <w:r w:rsidRPr="00A21838">
              <w:rPr>
                <w:rStyle w:val="Emphasis"/>
              </w:rPr>
              <w:t>relevant legislation</w:t>
            </w:r>
          </w:p>
          <w:p w:rsidR="00000000" w:rsidP="00A21838">
            <w:pPr>
              <w:pStyle w:val="List"/>
              <w:rPr>
                <w:lang w:val="en-NZ"/>
              </w:rPr>
            </w:pPr>
            <w:r w:rsidRPr="00A21838">
              <w:t>1.7</w:t>
            </w:r>
            <w:r w:rsidRPr="00A21838">
              <w:tab/>
              <w:t>Identify and review the suitability of the designated unloading area to ensu</w:t>
            </w:r>
            <w:r w:rsidRPr="00A21838">
              <w:t xml:space="preserve">re adequate storage capacity and ability to meet </w:t>
            </w:r>
            <w:r w:rsidRPr="00A21838">
              <w:rPr>
                <w:rStyle w:val="Emphasis"/>
              </w:rPr>
              <w:t>unloading requirements</w:t>
            </w:r>
          </w:p>
        </w:tc>
      </w:tr>
      <w:tr w:rsidTr="002513D6">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A21838">
            <w:pPr>
              <w:pStyle w:val="List"/>
              <w:rPr>
                <w:lang w:val="en-NZ"/>
              </w:rPr>
            </w:pPr>
            <w:r w:rsidRPr="00A21838">
              <w:t>2</w:t>
            </w:r>
            <w:r w:rsidRPr="00A21838">
              <w:tab/>
              <w:t>Receive waste</w:t>
            </w:r>
          </w:p>
        </w:tc>
        <w:tc>
          <w:tcPr>
            <w:tcW w:w="5010" w:type="dxa"/>
            <w:gridSpan w:val="2"/>
            <w:tcBorders>
              <w:top w:val="nil"/>
              <w:left w:val="nil"/>
              <w:bottom w:val="nil"/>
              <w:right w:val="nil"/>
            </w:tcBorders>
            <w:tcMar>
              <w:top w:w="0" w:type="dxa"/>
              <w:left w:w="62" w:type="dxa"/>
              <w:bottom w:w="0" w:type="dxa"/>
              <w:right w:w="62" w:type="dxa"/>
            </w:tcMar>
          </w:tcPr>
          <w:p w:rsidR="00000000" w:rsidRPr="00A21838" w:rsidP="00A21838">
            <w:pPr>
              <w:pStyle w:val="List"/>
            </w:pPr>
            <w:r w:rsidRPr="00A21838">
              <w:t>2.1</w:t>
            </w:r>
            <w:r w:rsidRPr="00A21838">
              <w:tab/>
              <w:t xml:space="preserve">Screen all waste received to identify </w:t>
            </w:r>
            <w:r w:rsidRPr="00A21838">
              <w:rPr>
                <w:rStyle w:val="Emphasis"/>
              </w:rPr>
              <w:t>waste type and characteristics</w:t>
            </w:r>
          </w:p>
          <w:p w:rsidR="00000000" w:rsidRPr="00A21838" w:rsidP="00A21838">
            <w:pPr>
              <w:pStyle w:val="List"/>
            </w:pPr>
            <w:r w:rsidRPr="00A21838">
              <w:t>2.2</w:t>
            </w:r>
            <w:r w:rsidRPr="00A21838">
              <w:tab/>
              <w:t>Advise waste generator/deliverer of hazardous waste and disposal</w:t>
            </w:r>
          </w:p>
          <w:p w:rsidR="00000000" w:rsidP="00A21838">
            <w:pPr>
              <w:pStyle w:val="List"/>
              <w:rPr>
                <w:lang w:val="en-NZ"/>
              </w:rPr>
            </w:pPr>
            <w:r w:rsidRPr="00A21838">
              <w:t>2.3</w:t>
            </w:r>
            <w:r w:rsidRPr="00A21838">
              <w:tab/>
              <w:t>Advise waste generato</w:t>
            </w:r>
            <w:r w:rsidRPr="00A21838">
              <w:t>r/deliverer of other more appropriate re-use/recycling/disposal options</w:t>
            </w:r>
          </w:p>
        </w:tc>
      </w:tr>
      <w:tr w:rsidTr="002513D6">
        <w:tblPrEx>
          <w:tblW w:w="0" w:type="auto"/>
          <w:tblLayout w:type="fixed"/>
          <w:tblCellMar>
            <w:left w:w="62" w:type="dxa"/>
            <w:right w:w="62" w:type="dxa"/>
          </w:tblCellMar>
          <w:tblLook w:val="0000"/>
        </w:tblPrEx>
        <w:trPr>
          <w:gridAfter w:val="1"/>
          <w:wAfter w:w="25" w:type="dxa"/>
        </w:trPr>
        <w:tc>
          <w:tcPr>
            <w:tcW w:w="3720" w:type="dxa"/>
            <w:tcBorders>
              <w:top w:val="nil"/>
              <w:left w:val="nil"/>
              <w:bottom w:val="single" w:sz="6" w:space="0" w:color="auto"/>
              <w:right w:val="nil"/>
            </w:tcBorders>
            <w:tcMar>
              <w:top w:w="0" w:type="dxa"/>
              <w:left w:w="62" w:type="dxa"/>
              <w:bottom w:w="0" w:type="dxa"/>
              <w:right w:w="62" w:type="dxa"/>
            </w:tcMar>
          </w:tcPr>
          <w:p w:rsidR="00000000" w:rsidP="00A21838">
            <w:pPr>
              <w:pStyle w:val="BodyText"/>
              <w:rPr>
                <w:lang w:val="en-NZ"/>
              </w:rPr>
            </w:pPr>
          </w:p>
        </w:tc>
        <w:tc>
          <w:tcPr>
            <w:tcW w:w="501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A21838" w:rsidP="00A21838">
            <w:pPr>
              <w:pStyle w:val="List"/>
            </w:pPr>
            <w:r w:rsidRPr="00A21838">
              <w:t>2.4</w:t>
            </w:r>
            <w:r w:rsidRPr="00A21838">
              <w:tab/>
              <w:t>Identify and handle waste non-conformances in accordance with company requirements and relevant legislation</w:t>
            </w:r>
          </w:p>
          <w:p w:rsidR="00000000" w:rsidP="00A21838">
            <w:pPr>
              <w:pStyle w:val="List"/>
              <w:rPr>
                <w:lang w:val="en-NZ"/>
              </w:rPr>
            </w:pPr>
            <w:r w:rsidRPr="00A21838">
              <w:t>2.5</w:t>
            </w:r>
            <w:r w:rsidRPr="00A21838">
              <w:tab/>
              <w:t>Measure and record all waste received in accordance with company r</w:t>
            </w:r>
            <w:r w:rsidRPr="00A21838">
              <w:t>equirements and relevant legislation</w:t>
            </w:r>
          </w:p>
        </w:tc>
      </w:tr>
      <w:tr w:rsidTr="002513D6">
        <w:tblPrEx>
          <w:tblW w:w="0" w:type="auto"/>
          <w:tblLayout w:type="fixed"/>
          <w:tblCellMar>
            <w:left w:w="62" w:type="dxa"/>
            <w:right w:w="62" w:type="dxa"/>
          </w:tblCellMar>
          <w:tblLook w:val="0000"/>
        </w:tblPrEx>
        <w:trPr>
          <w:gridAfter w:val="1"/>
          <w:wAfter w:w="25" w:type="dxa"/>
        </w:trPr>
        <w:tc>
          <w:tcPr>
            <w:tcW w:w="3720" w:type="dxa"/>
            <w:tcBorders>
              <w:top w:val="single" w:sz="6" w:space="0" w:color="auto"/>
              <w:left w:val="nil"/>
              <w:bottom w:val="nil"/>
              <w:right w:val="nil"/>
            </w:tcBorders>
            <w:tcMar>
              <w:top w:w="0" w:type="dxa"/>
              <w:left w:w="62" w:type="dxa"/>
              <w:bottom w:w="0" w:type="dxa"/>
              <w:right w:w="62" w:type="dxa"/>
            </w:tcMar>
          </w:tcPr>
          <w:p w:rsidR="00000000" w:rsidP="00A21838">
            <w:pPr>
              <w:pStyle w:val="BodyText"/>
              <w:rPr>
                <w:lang w:val="en-NZ"/>
              </w:rPr>
            </w:pPr>
          </w:p>
        </w:tc>
        <w:tc>
          <w:tcPr>
            <w:tcW w:w="501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rsidRPr="00A21838" w:rsidP="00A21838">
            <w:pPr>
              <w:pStyle w:val="List"/>
            </w:pPr>
            <w:r w:rsidRPr="00A21838">
              <w:t>2.6</w:t>
            </w:r>
            <w:r w:rsidRPr="00A21838">
              <w:tab/>
              <w:t>Calculate fee based on waste type and quantity and charge to waste generator/deliverer, in accordance with company accounting requirements</w:t>
            </w:r>
          </w:p>
          <w:p w:rsidR="00000000" w:rsidRPr="00A21838" w:rsidP="00A21838">
            <w:pPr>
              <w:pStyle w:val="List"/>
            </w:pPr>
            <w:r w:rsidRPr="00A21838">
              <w:t>2.7</w:t>
            </w:r>
            <w:r w:rsidRPr="00A21838">
              <w:tab/>
            </w:r>
            <w:r w:rsidRPr="00A21838">
              <w:t>Receive, record and issue receipt for correct fee payment in accordance with company accounting requirements</w:t>
            </w:r>
          </w:p>
          <w:p w:rsidR="00000000" w:rsidP="00A21838">
            <w:pPr>
              <w:pStyle w:val="List"/>
              <w:rPr>
                <w:lang w:val="en-NZ"/>
              </w:rPr>
            </w:pPr>
            <w:r w:rsidRPr="00A21838">
              <w:t>2.8</w:t>
            </w:r>
            <w:r w:rsidRPr="00A21838">
              <w:tab/>
              <w:t>Take a load sample in accordance with company requirements, manufacturers' specifications and relevant legislation</w:t>
            </w:r>
          </w:p>
        </w:tc>
      </w:tr>
      <w:tr w:rsidTr="002513D6">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A21838">
            <w:pPr>
              <w:pStyle w:val="List"/>
              <w:rPr>
                <w:lang w:val="en-NZ"/>
              </w:rPr>
            </w:pPr>
            <w:r w:rsidRPr="00A21838">
              <w:t>3</w:t>
            </w:r>
            <w:r w:rsidRPr="00A21838">
              <w:tab/>
              <w:t>Coordinate unloading of w</w:t>
            </w:r>
            <w:r w:rsidRPr="00A21838">
              <w:t>aste</w:t>
            </w:r>
          </w:p>
        </w:tc>
        <w:tc>
          <w:tcPr>
            <w:tcW w:w="5010" w:type="dxa"/>
            <w:gridSpan w:val="2"/>
            <w:tcBorders>
              <w:top w:val="nil"/>
              <w:left w:val="nil"/>
              <w:bottom w:val="nil"/>
              <w:right w:val="nil"/>
            </w:tcBorders>
            <w:tcMar>
              <w:top w:w="0" w:type="dxa"/>
              <w:left w:w="62" w:type="dxa"/>
              <w:bottom w:w="0" w:type="dxa"/>
              <w:right w:w="62" w:type="dxa"/>
            </w:tcMar>
          </w:tcPr>
          <w:p w:rsidR="00000000" w:rsidRPr="00A21838" w:rsidP="00A21838">
            <w:pPr>
              <w:pStyle w:val="List"/>
            </w:pPr>
            <w:r w:rsidRPr="00A21838">
              <w:t>3.1</w:t>
            </w:r>
            <w:r w:rsidRPr="00A21838">
              <w:tab/>
              <w:t xml:space="preserve">Give clear </w:t>
            </w:r>
            <w:r w:rsidRPr="00A21838">
              <w:rPr>
                <w:rStyle w:val="Emphasis"/>
              </w:rPr>
              <w:t>directions to unloading</w:t>
            </w:r>
            <w:r w:rsidRPr="00A21838">
              <w:t xml:space="preserve"> </w:t>
            </w:r>
            <w:r w:rsidRPr="00A21838">
              <w:rPr>
                <w:rStyle w:val="Emphasis"/>
              </w:rPr>
              <w:t>site</w:t>
            </w:r>
            <w:r w:rsidRPr="00A21838">
              <w:t xml:space="preserve"> to waste generator/deliverer to ensure safety of personnel involved</w:t>
            </w:r>
          </w:p>
          <w:p w:rsidR="00000000" w:rsidRPr="00A21838" w:rsidP="00A21838">
            <w:pPr>
              <w:pStyle w:val="List"/>
            </w:pPr>
            <w:r w:rsidRPr="00A21838">
              <w:t>3.2</w:t>
            </w:r>
            <w:r w:rsidRPr="00A21838">
              <w:tab/>
              <w:t>Provide waste generator/deliverer with signalling and instructions to ensure safe and effective unloading in designated unloading area</w:t>
            </w:r>
          </w:p>
          <w:p w:rsidR="00000000" w:rsidRPr="00A21838" w:rsidP="00A21838">
            <w:pPr>
              <w:pStyle w:val="List"/>
            </w:pPr>
            <w:r w:rsidRPr="00A21838">
              <w:t>3.3</w:t>
            </w:r>
            <w:r w:rsidRPr="00A21838">
              <w:tab/>
              <w:t>Provide unloading assistance in accordance with company requirements and OHS regulations/procedures</w:t>
            </w:r>
          </w:p>
          <w:p w:rsidR="00000000" w:rsidRPr="00A21838" w:rsidP="00A21838">
            <w:pPr>
              <w:pStyle w:val="List"/>
            </w:pPr>
            <w:r w:rsidRPr="00A21838">
              <w:t>3.4</w:t>
            </w:r>
            <w:r w:rsidRPr="00A21838">
              <w:tab/>
              <w:t xml:space="preserve">Monitor unloading site to ensure compliance with unloading instructions, containment of waste within designated unloading area and adequate storage </w:t>
            </w:r>
            <w:r w:rsidRPr="00A21838">
              <w:t>capacity</w:t>
            </w:r>
          </w:p>
        </w:tc>
      </w:tr>
    </w:tbl>
    <w:p w:rsidR="002513D6" w:rsidP="00A21838">
      <w:pPr>
        <w:pStyle w:val="BodyText"/>
      </w:pPr>
    </w:p>
    <w:p w:rsidR="002513D6" w:rsidP="00A21838">
      <w:pPr>
        <w:pStyle w:val="BodyText"/>
      </w:pPr>
    </w:p>
    <w:p w:rsidR="00000000" w:rsidRPr="00A21838" w:rsidP="00A21838">
      <w:pPr>
        <w:pStyle w:val="Heading1"/>
      </w:pPr>
      <w:bookmarkStart w:id="9" w:name="O_293764"/>
      <w:bookmarkEnd w:id="9"/>
      <w:r w:rsidRPr="00A21838">
        <w:t>Required Skills and Knowledge</w:t>
      </w:r>
    </w:p>
    <w:p w:rsidR="00000000" w:rsidRPr="00A21838" w:rsidP="00A21838">
      <w:pPr>
        <w:pStyle w:val="BodyText"/>
      </w:pPr>
      <w:r w:rsidRPr="00A21838">
        <w:t>Refer to Evidence Guide</w:t>
      </w:r>
    </w:p>
    <w:p w:rsidR="00000000" w:rsidRPr="00A21838" w:rsidP="00A21838">
      <w:pPr>
        <w:pStyle w:val="AllowPageBreak"/>
      </w:pPr>
    </w:p>
    <w:p w:rsidR="00000000" w:rsidRPr="00A21838" w:rsidP="00A21838">
      <w:pPr>
        <w:pStyle w:val="Heading1"/>
      </w:pPr>
      <w:bookmarkStart w:id="10" w:name="O_245670"/>
      <w:bookmarkEnd w:id="10"/>
      <w:r w:rsidRPr="00A21838">
        <w:t>Evidence Guide</w:t>
      </w:r>
    </w:p>
    <w:p w:rsidR="00000000" w:rsidRPr="00A21838" w:rsidP="00A21838">
      <w:pPr>
        <w:pStyle w:val="BodyText"/>
      </w:pPr>
      <w:r w:rsidRPr="00A21838">
        <w:rPr>
          <w:rStyle w:val="SpecialBold"/>
        </w:rPr>
        <w:t>EVIDENCE GUIDE</w:t>
      </w:r>
    </w:p>
    <w:p w:rsidR="00000000" w:rsidRPr="00A21838" w:rsidP="00A21838">
      <w:pPr>
        <w:pStyle w:val="BodyText"/>
      </w:pPr>
      <w:r w:rsidRPr="00A21838">
        <w:rPr>
          <w:rStyle w:val="SpecialBold"/>
        </w:rPr>
        <w:t>Critical aspects of competency</w:t>
      </w:r>
    </w:p>
    <w:p w:rsidR="00000000" w:rsidRPr="00A21838" w:rsidP="00A21838">
      <w:pPr>
        <w:pStyle w:val="ListBullet"/>
      </w:pPr>
      <w:r w:rsidRPr="00A21838">
        <w:t>Correct interpretation of waste receival schedule and job requirements.</w:t>
      </w:r>
    </w:p>
    <w:p w:rsidR="00000000" w:rsidRPr="00A21838" w:rsidP="00A21838">
      <w:pPr>
        <w:pStyle w:val="ListBullet"/>
      </w:pPr>
      <w:r w:rsidRPr="00A21838">
        <w:t>Efficient organisation of equipment and personnel requirements.</w:t>
      </w:r>
    </w:p>
    <w:p w:rsidR="00000000" w:rsidRPr="00A21838" w:rsidP="00A21838">
      <w:pPr>
        <w:pStyle w:val="ListBullet"/>
      </w:pPr>
      <w:r w:rsidRPr="00A21838">
        <w:t>Identification of potential risks and hazards to waste receival and unloading.</w:t>
      </w:r>
    </w:p>
    <w:p w:rsidR="00000000" w:rsidRPr="00A21838" w:rsidP="00A21838">
      <w:pPr>
        <w:pStyle w:val="ListBullet"/>
      </w:pPr>
      <w:r w:rsidRPr="00A21838">
        <w:t>Coordination of unloading.</w:t>
      </w:r>
    </w:p>
    <w:p w:rsidR="00000000" w:rsidRPr="00A21838" w:rsidP="00A21838">
      <w:pPr>
        <w:pStyle w:val="BodyText"/>
      </w:pPr>
      <w:r w:rsidRPr="00A21838">
        <w:rPr>
          <w:rStyle w:val="SpecialBold"/>
        </w:rPr>
        <w:t>Knowledge needed to achieve the performance criteria</w:t>
      </w:r>
    </w:p>
    <w:p w:rsidR="00000000" w:rsidRPr="00A21838" w:rsidP="00A21838">
      <w:pPr>
        <w:pStyle w:val="BodyText"/>
      </w:pPr>
      <w:r w:rsidRPr="00A21838">
        <w:t>Knowledge and understanding are essential to apply this unit in the workplace, to transfer the skills to other contexts, and to deal with unplanned events. The knowledge requirements for this unit are listed below.</w:t>
      </w:r>
    </w:p>
    <w:p w:rsidR="00000000" w:rsidRPr="00A21838" w:rsidP="00A21838">
      <w:pPr>
        <w:pStyle w:val="ListBullet"/>
      </w:pPr>
      <w:r w:rsidRPr="00A21838">
        <w:t>Waste types, streams and characteristics</w:t>
      </w:r>
      <w:r w:rsidRPr="00A21838">
        <w:t>.</w:t>
      </w:r>
    </w:p>
    <w:p w:rsidR="00000000" w:rsidRPr="00A21838" w:rsidP="00A21838">
      <w:pPr>
        <w:pStyle w:val="ListBullet"/>
      </w:pPr>
      <w:r w:rsidRPr="00A21838">
        <w:t>Waste management options.</w:t>
      </w:r>
    </w:p>
    <w:p w:rsidR="00000000" w:rsidRPr="00A21838" w:rsidP="00A21838">
      <w:pPr>
        <w:pStyle w:val="ListBullet"/>
      </w:pPr>
      <w:r w:rsidRPr="00A21838">
        <w:t>Waste contaminants.</w:t>
      </w:r>
    </w:p>
    <w:p w:rsidR="00000000" w:rsidRPr="00A21838" w:rsidP="00A21838">
      <w:pPr>
        <w:pStyle w:val="ListBullet"/>
      </w:pPr>
      <w:r w:rsidRPr="00A21838">
        <w:t>Waste monitoring (sampling and analytical methods).</w:t>
      </w:r>
    </w:p>
    <w:p w:rsidR="00000000" w:rsidRPr="00A21838" w:rsidP="00A21838">
      <w:pPr>
        <w:pStyle w:val="ListBullet"/>
      </w:pPr>
      <w:r w:rsidRPr="00A21838">
        <w:t>Measurements, including weights and volumes.</w:t>
      </w:r>
    </w:p>
    <w:p w:rsidR="00000000" w:rsidRPr="00A21838" w:rsidP="00A21838">
      <w:pPr>
        <w:pStyle w:val="ListBullet"/>
      </w:pPr>
      <w:r w:rsidRPr="00A21838">
        <w:t>Waste sampling procedures.</w:t>
      </w:r>
    </w:p>
    <w:p w:rsidR="00000000" w:rsidRPr="00A21838" w:rsidP="00A21838">
      <w:pPr>
        <w:pStyle w:val="ListBullet"/>
      </w:pPr>
      <w:r w:rsidRPr="00A21838">
        <w:t>Potential risks and hazards.</w:t>
      </w:r>
    </w:p>
    <w:p w:rsidR="00000000" w:rsidRPr="00A21838" w:rsidP="00A21838">
      <w:pPr>
        <w:pStyle w:val="ListBullet"/>
      </w:pPr>
      <w:r w:rsidRPr="00A21838">
        <w:t>Unloading requirements.</w:t>
      </w:r>
    </w:p>
    <w:p w:rsidR="00000000" w:rsidRPr="00A21838" w:rsidP="00A21838">
      <w:pPr>
        <w:pStyle w:val="ListBullet"/>
      </w:pPr>
      <w:r w:rsidRPr="00A21838">
        <w:t>Waste non-conformances handling</w:t>
      </w:r>
      <w:r w:rsidRPr="00A21838">
        <w:t>.</w:t>
      </w:r>
    </w:p>
    <w:p w:rsidR="00000000" w:rsidRPr="00A21838" w:rsidP="00A21838">
      <w:pPr>
        <w:pStyle w:val="ListBullet"/>
      </w:pPr>
      <w:r w:rsidRPr="00A21838">
        <w:t>Signalling techniques.</w:t>
      </w:r>
    </w:p>
    <w:p w:rsidR="00000000" w:rsidRPr="00A21838" w:rsidP="00A21838">
      <w:pPr>
        <w:pStyle w:val="ListBullet"/>
      </w:pPr>
      <w:r w:rsidRPr="00A21838">
        <w:t>Emergency response procedures.</w:t>
      </w:r>
    </w:p>
    <w:p w:rsidR="00000000" w:rsidRPr="00A21838" w:rsidP="00A21838">
      <w:pPr>
        <w:pStyle w:val="ListBullet"/>
      </w:pPr>
      <w:r w:rsidRPr="00A21838">
        <w:t>Company requirements.</w:t>
      </w:r>
    </w:p>
    <w:p w:rsidR="00000000" w:rsidRPr="00A21838" w:rsidP="00A21838">
      <w:pPr>
        <w:pStyle w:val="ListBullet"/>
      </w:pPr>
      <w:r w:rsidRPr="00A21838">
        <w:t>Occupational health and safety requirements.</w:t>
      </w:r>
    </w:p>
    <w:p w:rsidR="00000000" w:rsidRPr="00A21838" w:rsidP="00A21838">
      <w:pPr>
        <w:pStyle w:val="ListBullet"/>
      </w:pPr>
      <w:r w:rsidRPr="00A21838">
        <w:t>Relevant industry standards.</w:t>
      </w:r>
    </w:p>
    <w:p w:rsidR="00000000" w:rsidRPr="00A21838" w:rsidP="00A21838">
      <w:pPr>
        <w:pStyle w:val="ListBullet"/>
      </w:pPr>
      <w:r w:rsidRPr="00A21838">
        <w:t>Relevant legislation.</w:t>
      </w:r>
    </w:p>
    <w:p w:rsidR="00000000" w:rsidRPr="00A21838" w:rsidP="00A21838">
      <w:pPr>
        <w:pStyle w:val="ListBullet"/>
      </w:pPr>
      <w:r w:rsidRPr="00A21838">
        <w:t>Relevant environmental regulations.</w:t>
      </w:r>
    </w:p>
    <w:p w:rsidR="00000000" w:rsidRPr="00A21838" w:rsidP="00A21838">
      <w:pPr>
        <w:pStyle w:val="ListBullet"/>
      </w:pPr>
      <w:r w:rsidRPr="00A21838">
        <w:t>OHS hierarchy of control.</w:t>
      </w:r>
    </w:p>
    <w:p w:rsidR="00000000" w:rsidRPr="00A21838" w:rsidP="00A21838">
      <w:pPr>
        <w:pStyle w:val="BodyText"/>
      </w:pPr>
      <w:r w:rsidRPr="00A21838">
        <w:rPr>
          <w:rStyle w:val="SpecialBold"/>
        </w:rPr>
        <w:t>Specific skills need</w:t>
      </w:r>
      <w:r w:rsidRPr="00A21838">
        <w:rPr>
          <w:rStyle w:val="SpecialBold"/>
        </w:rPr>
        <w:t>ed to achieve the performance criteria</w:t>
      </w:r>
    </w:p>
    <w:p w:rsidR="00000000" w:rsidRPr="00A21838" w:rsidP="00A21838">
      <w:pPr>
        <w:pStyle w:val="BodyText"/>
      </w:pPr>
      <w:r w:rsidRPr="00A21838">
        <w:t>To achieve the performance criteria, some complementary skills are required. These are:</w:t>
      </w:r>
    </w:p>
    <w:p w:rsidR="00000000" w:rsidRPr="00A21838" w:rsidP="00A21838">
      <w:pPr>
        <w:pStyle w:val="ListBullet"/>
      </w:pPr>
      <w:r w:rsidRPr="00A21838">
        <w:t>communication including customer service and liaison, interpersonal, following instructions, giving information, signalling</w:t>
      </w:r>
    </w:p>
    <w:p w:rsidR="00000000" w:rsidRPr="00A21838" w:rsidP="00A21838">
      <w:pPr>
        <w:pStyle w:val="ListBullet"/>
      </w:pPr>
      <w:r w:rsidRPr="00A21838">
        <w:t>reading and interpreting work schedules</w:t>
      </w:r>
    </w:p>
    <w:p w:rsidR="00000000" w:rsidRPr="00A21838" w:rsidP="00A21838">
      <w:pPr>
        <w:pStyle w:val="ListBullet"/>
      </w:pPr>
      <w:r w:rsidRPr="00A21838">
        <w:t>equipment operation</w:t>
      </w:r>
    </w:p>
    <w:p w:rsidR="00000000" w:rsidRPr="00A21838" w:rsidP="00A21838">
      <w:pPr>
        <w:pStyle w:val="ListBullet"/>
      </w:pPr>
      <w:r w:rsidRPr="00A21838">
        <w:t>waste monitoring and sampling</w:t>
      </w:r>
    </w:p>
    <w:p w:rsidR="00000000" w:rsidRPr="00A21838" w:rsidP="00A21838">
      <w:pPr>
        <w:pStyle w:val="ListBullet"/>
      </w:pPr>
      <w:r w:rsidRPr="00A21838">
        <w:t>measurement of waste</w:t>
      </w:r>
    </w:p>
    <w:p w:rsidR="00000000" w:rsidRPr="00A21838" w:rsidP="00A21838">
      <w:pPr>
        <w:pStyle w:val="ListBullet"/>
      </w:pPr>
      <w:r w:rsidRPr="00A21838">
        <w:t>identifying gross weight and payload of vehicle</w:t>
      </w:r>
    </w:p>
    <w:p w:rsidR="00000000" w:rsidRPr="00A21838" w:rsidP="00A21838">
      <w:pPr>
        <w:pStyle w:val="ListBullet"/>
      </w:pPr>
      <w:r w:rsidRPr="00A21838">
        <w:t>record keeping</w:t>
      </w:r>
    </w:p>
    <w:p w:rsidR="00000000" w:rsidRPr="00A21838" w:rsidP="00A21838">
      <w:pPr>
        <w:pStyle w:val="ListBullet"/>
      </w:pPr>
      <w:r w:rsidRPr="00A21838">
        <w:t>calculating (including determining fees and calculating correct change)</w:t>
      </w:r>
    </w:p>
    <w:p w:rsidR="00000000" w:rsidRPr="00A21838" w:rsidP="00A21838">
      <w:pPr>
        <w:pStyle w:val="ListBullet"/>
      </w:pPr>
      <w:r w:rsidRPr="00A21838">
        <w:t>identifyin</w:t>
      </w:r>
      <w:r w:rsidRPr="00A21838">
        <w:t>g and handling waste non-conformances</w:t>
      </w:r>
    </w:p>
    <w:p w:rsidR="00000000" w:rsidRPr="00A21838" w:rsidP="00A21838">
      <w:pPr>
        <w:pStyle w:val="ListBullet"/>
      </w:pPr>
      <w:r w:rsidRPr="00A21838">
        <w:t>using communications equipment (two-way radio and mobile phone)</w:t>
      </w:r>
    </w:p>
    <w:p w:rsidR="00000000" w:rsidRPr="00A21838" w:rsidP="00A21838">
      <w:pPr>
        <w:pStyle w:val="ListBullet"/>
      </w:pPr>
      <w:r w:rsidRPr="00A21838">
        <w:t>hazard identification and disposal</w:t>
      </w:r>
    </w:p>
    <w:p w:rsidR="00000000" w:rsidRPr="00A21838" w:rsidP="00A21838">
      <w:pPr>
        <w:pStyle w:val="ListBullet"/>
      </w:pPr>
      <w:r w:rsidRPr="00A21838">
        <w:t>safe and efficient work practices</w:t>
      </w:r>
    </w:p>
    <w:p w:rsidR="00000000" w:rsidRPr="00A21838" w:rsidP="00A21838">
      <w:pPr>
        <w:pStyle w:val="ListBullet"/>
      </w:pPr>
      <w:r w:rsidRPr="00A21838">
        <w:t>following MSDS.</w:t>
      </w:r>
    </w:p>
    <w:p w:rsidR="00000000" w:rsidRPr="00A21838" w:rsidP="00A21838">
      <w:pPr>
        <w:pStyle w:val="BodyText"/>
      </w:pPr>
      <w:r w:rsidRPr="00A21838">
        <w:rPr>
          <w:rStyle w:val="SpecialBold"/>
        </w:rPr>
        <w:t>Other units of competency that could be assessed with this unit</w:t>
      </w:r>
    </w:p>
    <w:p w:rsidR="00000000" w:rsidRPr="00A21838" w:rsidP="00A21838">
      <w:pPr>
        <w:pStyle w:val="BodyText"/>
      </w:pPr>
      <w:r w:rsidRPr="00A21838">
        <w:t>This unit could be assessed on its own or in combination with other competencies relevant to the job function, for example:</w:t>
      </w:r>
    </w:p>
    <w:p w:rsidR="00000000" w:rsidRPr="00A21838" w:rsidP="00A21838">
      <w:pPr>
        <w:pStyle w:val="ListBullet"/>
      </w:pPr>
      <w:r w:rsidRPr="00A21838">
        <w:t>PRMWM44B Identify wastes and hazards</w:t>
      </w:r>
    </w:p>
    <w:p w:rsidR="00000000" w:rsidRPr="00A21838" w:rsidP="00A21838">
      <w:pPr>
        <w:pStyle w:val="ListBullet"/>
      </w:pPr>
      <w:r w:rsidRPr="00A21838">
        <w:t>PRMCMN201A Participate in workplace safety arrangements</w:t>
      </w:r>
    </w:p>
    <w:p w:rsidR="00000000" w:rsidRPr="00A21838" w:rsidP="00A21838">
      <w:pPr>
        <w:pStyle w:val="ListBullet"/>
      </w:pPr>
      <w:r w:rsidRPr="00A21838">
        <w:t>PRMCMN203A Provide effective client se</w:t>
      </w:r>
      <w:r w:rsidRPr="00A21838">
        <w:t>rvice</w:t>
      </w:r>
    </w:p>
    <w:p w:rsidR="00000000" w:rsidRPr="00A21838" w:rsidP="00A21838">
      <w:pPr>
        <w:pStyle w:val="ListBullet"/>
      </w:pPr>
      <w:r w:rsidRPr="00A21838">
        <w:t>BSATEC303B Maintain computer files</w:t>
      </w:r>
    </w:p>
    <w:p w:rsidR="00000000" w:rsidRPr="00A21838" w:rsidP="00A21838">
      <w:pPr>
        <w:pStyle w:val="ListBullet"/>
      </w:pPr>
      <w:r w:rsidRPr="00A21838">
        <w:t>BSBCMN215B Participate in environmental work practices</w:t>
      </w:r>
    </w:p>
    <w:p w:rsidR="00000000" w:rsidRPr="00A21838" w:rsidP="00A21838">
      <w:pPr>
        <w:pStyle w:val="ListBullet"/>
      </w:pPr>
      <w:r w:rsidRPr="00A21838">
        <w:t>BSBCMN308A Maintain financial records</w:t>
      </w:r>
    </w:p>
    <w:p w:rsidR="00000000" w:rsidRPr="00A21838" w:rsidP="00A21838">
      <w:pPr>
        <w:pStyle w:val="ListBullet"/>
      </w:pPr>
      <w:r w:rsidRPr="00A21838">
        <w:t>BSBRKG304A Maintain business records.</w:t>
      </w:r>
    </w:p>
    <w:p w:rsidR="00000000" w:rsidRPr="00A21838" w:rsidP="00A21838">
      <w:pPr>
        <w:pStyle w:val="BodyText"/>
      </w:pPr>
      <w:r w:rsidRPr="00A21838">
        <w:rPr>
          <w:rStyle w:val="SpecialBold"/>
        </w:rPr>
        <w:t>Resources required to assess this unit</w:t>
      </w:r>
    </w:p>
    <w:p w:rsidR="00000000" w:rsidRPr="00A21838" w:rsidP="00A21838">
      <w:pPr>
        <w:pStyle w:val="BodyText"/>
      </w:pPr>
      <w:r w:rsidRPr="00A21838">
        <w:t>The following resources should be available:</w:t>
      </w:r>
    </w:p>
    <w:p w:rsidR="00000000" w:rsidRPr="00A21838" w:rsidP="00A21838">
      <w:pPr>
        <w:pStyle w:val="ListBullet"/>
      </w:pPr>
      <w:r w:rsidRPr="00A21838">
        <w:t>waste receival schedule</w:t>
      </w:r>
    </w:p>
    <w:p w:rsidR="00000000" w:rsidRPr="00A21838" w:rsidP="00A21838">
      <w:pPr>
        <w:pStyle w:val="ListBullet"/>
      </w:pPr>
      <w:r w:rsidRPr="00A21838">
        <w:t>waste receival area</w:t>
      </w:r>
    </w:p>
    <w:p w:rsidR="00000000" w:rsidRPr="00A21838" w:rsidP="00A21838">
      <w:pPr>
        <w:pStyle w:val="ListBullet"/>
      </w:pPr>
      <w:r w:rsidRPr="00A21838">
        <w:t>personal protective equipment</w:t>
      </w:r>
    </w:p>
    <w:p w:rsidR="00000000" w:rsidRPr="00A21838" w:rsidP="00A21838">
      <w:pPr>
        <w:pStyle w:val="ListBullet"/>
      </w:pPr>
      <w:r w:rsidRPr="00A21838">
        <w:t>OHS requirements</w:t>
      </w:r>
    </w:p>
    <w:p w:rsidR="00000000" w:rsidRPr="00A21838" w:rsidP="00A21838">
      <w:pPr>
        <w:pStyle w:val="ListBullet"/>
      </w:pPr>
      <w:r w:rsidRPr="00A21838">
        <w:t>wastes for receival</w:t>
      </w:r>
    </w:p>
    <w:p w:rsidR="00000000" w:rsidRPr="00A21838" w:rsidP="00A21838">
      <w:pPr>
        <w:pStyle w:val="ListBullet"/>
      </w:pPr>
      <w:r w:rsidRPr="00A21838">
        <w:t>measurement, recording and fee calculation equipment</w:t>
      </w:r>
    </w:p>
    <w:p w:rsidR="00000000" w:rsidRPr="00A21838" w:rsidP="00A21838">
      <w:pPr>
        <w:pStyle w:val="ListBullet"/>
      </w:pPr>
      <w:r w:rsidRPr="00A21838">
        <w:t>communications equipment</w:t>
      </w:r>
    </w:p>
    <w:p w:rsidR="00000000" w:rsidRPr="00A21838" w:rsidP="00A21838">
      <w:pPr>
        <w:pStyle w:val="ListBullet"/>
      </w:pPr>
      <w:r w:rsidRPr="00A21838">
        <w:t>site safety plan.</w:t>
      </w:r>
    </w:p>
    <w:p w:rsidR="00000000" w:rsidRPr="00A21838" w:rsidP="00A21838">
      <w:pPr>
        <w:pStyle w:val="BodyText"/>
      </w:pPr>
      <w:r w:rsidRPr="00A21838">
        <w:rPr>
          <w:rStyle w:val="SpecialBold"/>
        </w:rPr>
        <w:t>Gaining evidence to assess this unit</w:t>
      </w:r>
    </w:p>
    <w:p w:rsidR="00000000" w:rsidRPr="00A21838" w:rsidP="00A21838">
      <w:pPr>
        <w:pStyle w:val="BodyText"/>
      </w:pPr>
      <w:r w:rsidRPr="00A21838">
        <w:t>For valid a</w:t>
      </w:r>
      <w:r w:rsidRPr="00A21838">
        <w:t>nd reliable assessment of this unit, the competency should be demonstrated over a period of time and be observed by the assessor (or assessment team working together to conduct the assessment). The competency is to be demonstrated in a range of situations,</w:t>
      </w:r>
      <w:r w:rsidRPr="00A21838">
        <w:t xml:space="preserve"> which may include customer/workplace interruptions and involvement in related activities normally experienced in the workplace.</w:t>
      </w:r>
    </w:p>
    <w:p w:rsidR="00000000" w:rsidRPr="00A21838" w:rsidP="00A21838">
      <w:pPr>
        <w:pStyle w:val="BodyText"/>
      </w:pPr>
      <w:r w:rsidRPr="00A21838">
        <w:t>Evidence of competency is best obtained by observing activities in the field and reviewing the receival of waste under normal i</w:t>
      </w:r>
      <w:r w:rsidRPr="00A21838">
        <w:t>ndustry operating conditions. If this is not practicable, observations in realistic simulated environments may be substituted.</w:t>
      </w:r>
    </w:p>
    <w:p w:rsidR="00000000" w:rsidRPr="00A21838" w:rsidP="00A21838">
      <w:pPr>
        <w:pStyle w:val="BodyText"/>
      </w:pPr>
      <w:r w:rsidRPr="00A21838">
        <w:rPr>
          <w:rStyle w:val="SpecialBold"/>
        </w:rPr>
        <w:t>Consistency in performance</w:t>
      </w:r>
    </w:p>
    <w:p w:rsidR="00000000" w:rsidRPr="00A21838" w:rsidP="00A21838">
      <w:pPr>
        <w:pStyle w:val="BodyText"/>
      </w:pPr>
      <w:r w:rsidRPr="00A21838">
        <w:t>Assessment requires that strategies meet the objectives of clients and comply with industry expectatio</w:t>
      </w:r>
      <w:r w:rsidRPr="00A21838">
        <w:t>ns in the particular client environment. If the environment is narrowly defined or is not representative of industry needs, it will be necessary to assess the unit within a variety of waste management environments or different client needs to assess compet</w:t>
      </w:r>
      <w:r w:rsidRPr="00A21838">
        <w:t>ency in the receival of waste.</w:t>
      </w:r>
    </w:p>
    <w:p w:rsidR="00000000" w:rsidRPr="00A21838" w:rsidP="00A21838">
      <w:pPr>
        <w:pStyle w:val="BodyText"/>
      </w:pPr>
      <w:r w:rsidRPr="00A21838">
        <w:t>Oral questioning or written assessment and hypothetical situations (scenarios) may be used to assess underpinning knowledge. (In assessment situations where the candidate is offered a preference between oral questioning and w</w:t>
      </w:r>
      <w:r w:rsidRPr="00A21838">
        <w:t>ritten audit, questions are to be identical.)</w:t>
      </w:r>
    </w:p>
    <w:p w:rsidR="00000000" w:rsidRPr="00A21838" w:rsidP="00A21838">
      <w:pPr>
        <w:pStyle w:val="BodyText"/>
      </w:pPr>
      <w:r w:rsidRPr="00A21838">
        <w:t>Supplementary evidence may be obtained from relevant authenticated correspondence from existing supervisors, team leaders or specialist training staff.</w:t>
      </w:r>
    </w:p>
    <w:p w:rsidR="00000000" w:rsidRPr="00A21838" w:rsidP="00A21838">
      <w:pPr>
        <w:pStyle w:val="BodyText"/>
      </w:pPr>
      <w:r w:rsidRPr="00A21838">
        <w:t>Note:</w:t>
      </w:r>
      <w:r w:rsidRPr="00A21838">
        <w:tab/>
        <w:t>All practical demonstrations must adhere to the safe</w:t>
      </w:r>
      <w:r w:rsidRPr="00A21838">
        <w:t>ty and environmental regulations relevant to each state or territory.</w:t>
      </w:r>
    </w:p>
    <w:p w:rsidR="00000000" w:rsidRPr="00A21838" w:rsidP="00A21838">
      <w:pPr>
        <w:pStyle w:val="BodyText"/>
      </w:pPr>
      <w:r w:rsidRPr="00A21838">
        <w:rPr>
          <w:rStyle w:val="SpecialBold"/>
        </w:rPr>
        <w:t>Key competency levels</w:t>
      </w:r>
    </w:p>
    <w:p w:rsidR="00000000" w:rsidRPr="00A21838" w:rsidP="00A21838">
      <w:pPr>
        <w:pStyle w:val="BodyText"/>
      </w:pPr>
      <w:r w:rsidRPr="00A21838">
        <w:t xml:space="preserve">There are a </w:t>
      </w:r>
      <w:r w:rsidRPr="00A21838">
        <w:t>number of processes that are learnt throughout work and life which are required in all jobs. They are fundamental processes and generally transferable to other work functions. Some of these are covered by the key competencies, although others may be added.</w:t>
      </w:r>
    </w:p>
    <w:p w:rsidR="00000000" w:rsidRPr="00A21838" w:rsidP="00A21838">
      <w:pPr>
        <w:pStyle w:val="BodyText"/>
      </w:pPr>
      <w:r w:rsidRPr="00A21838">
        <w:t>Information below highlights how these processes are applied in this competency standard.</w:t>
      </w:r>
    </w:p>
    <w:tbl>
      <w:tblPr>
        <w:tblW w:w="0" w:type="auto"/>
        <w:tblLayout w:type="fixed"/>
        <w:tblCellMar>
          <w:left w:w="62" w:type="dxa"/>
          <w:right w:w="62" w:type="dxa"/>
        </w:tblCellMar>
        <w:tblLook w:val="0000"/>
      </w:tblPr>
      <w:tblGrid>
        <w:gridCol w:w="273"/>
        <w:gridCol w:w="2535"/>
        <w:gridCol w:w="435"/>
        <w:gridCol w:w="443"/>
        <w:gridCol w:w="2182"/>
        <w:gridCol w:w="345"/>
        <w:gridCol w:w="2715"/>
        <w:gridCol w:w="214"/>
      </w:tblGrid>
      <w:tr w:rsidTr="002513D6">
        <w:tblPrEx>
          <w:tblW w:w="0" w:type="auto"/>
          <w:tblLayout w:type="fixed"/>
          <w:tblCellMar>
            <w:left w:w="62" w:type="dxa"/>
            <w:right w:w="62" w:type="dxa"/>
          </w:tblCellMar>
          <w:tblLook w:val="0000"/>
        </w:tblPrEx>
        <w:trPr>
          <w:gridAfter w:val="1"/>
          <w:wAfter w:w="214" w:type="dxa"/>
        </w:trPr>
        <w:tc>
          <w:tcPr>
            <w:tcW w:w="273" w:type="dxa"/>
            <w:tcBorders>
              <w:top w:val="nil"/>
              <w:left w:val="nil"/>
              <w:bottom w:val="nil"/>
              <w:right w:val="nil"/>
            </w:tcBorders>
            <w:tcMar>
              <w:top w:w="0" w:type="dxa"/>
              <w:left w:w="62" w:type="dxa"/>
              <w:bottom w:w="0" w:type="dxa"/>
              <w:right w:w="62" w:type="dxa"/>
            </w:tcMar>
          </w:tcPr>
          <w:p w:rsidR="00000000" w:rsidP="00A21838">
            <w:pPr>
              <w:pStyle w:val="BodyText"/>
              <w:rPr>
                <w:lang w:val="en-NZ"/>
              </w:rPr>
            </w:pPr>
            <w:r w:rsidRPr="00A21838">
              <w:rPr>
                <w:rStyle w:val="SpecialBold"/>
              </w:rPr>
              <w:t>1</w:t>
            </w:r>
          </w:p>
        </w:tc>
        <w:tc>
          <w:tcPr>
            <w:tcW w:w="2535" w:type="dxa"/>
            <w:tcBorders>
              <w:top w:val="nil"/>
              <w:left w:val="nil"/>
              <w:bottom w:val="nil"/>
              <w:right w:val="nil"/>
            </w:tcBorders>
            <w:tcMar>
              <w:top w:w="0" w:type="dxa"/>
              <w:left w:w="62" w:type="dxa"/>
              <w:bottom w:w="0" w:type="dxa"/>
              <w:right w:w="62" w:type="dxa"/>
            </w:tcMar>
          </w:tcPr>
          <w:p w:rsidR="00000000" w:rsidRPr="00A21838" w:rsidP="00A21838">
            <w:pPr>
              <w:pStyle w:val="BodyText"/>
            </w:pPr>
            <w:r w:rsidRPr="00A21838">
              <w:t>Perform the process</w:t>
            </w:r>
          </w:p>
        </w:tc>
        <w:tc>
          <w:tcPr>
            <w:tcW w:w="435" w:type="dxa"/>
            <w:tcBorders>
              <w:top w:val="nil"/>
              <w:left w:val="nil"/>
              <w:bottom w:val="nil"/>
              <w:right w:val="nil"/>
            </w:tcBorders>
            <w:tcMar>
              <w:top w:w="0" w:type="dxa"/>
              <w:left w:w="62" w:type="dxa"/>
              <w:bottom w:w="0" w:type="dxa"/>
              <w:right w:w="62" w:type="dxa"/>
            </w:tcMar>
          </w:tcPr>
          <w:p w:rsidR="00000000" w:rsidP="00A21838">
            <w:pPr>
              <w:pStyle w:val="BodyText"/>
              <w:rPr>
                <w:lang w:val="en-NZ"/>
              </w:rPr>
            </w:pPr>
            <w:r w:rsidRPr="00A21838">
              <w:rPr>
                <w:rStyle w:val="SpecialBold"/>
              </w:rPr>
              <w:t>2</w:t>
            </w:r>
          </w:p>
        </w:tc>
        <w:tc>
          <w:tcPr>
            <w:tcW w:w="2625" w:type="dxa"/>
            <w:gridSpan w:val="2"/>
            <w:tcBorders>
              <w:top w:val="nil"/>
              <w:left w:val="nil"/>
              <w:bottom w:val="nil"/>
              <w:right w:val="nil"/>
            </w:tcBorders>
            <w:tcMar>
              <w:top w:w="0" w:type="dxa"/>
              <w:left w:w="62" w:type="dxa"/>
              <w:bottom w:w="0" w:type="dxa"/>
              <w:right w:w="62" w:type="dxa"/>
            </w:tcMar>
          </w:tcPr>
          <w:p w:rsidR="00000000" w:rsidRPr="00A21838" w:rsidP="00A21838">
            <w:pPr>
              <w:pStyle w:val="BodyText"/>
            </w:pPr>
            <w:r w:rsidRPr="00A21838">
              <w:t>Perform and administer the process</w:t>
            </w:r>
          </w:p>
        </w:tc>
        <w:tc>
          <w:tcPr>
            <w:tcW w:w="345" w:type="dxa"/>
            <w:tcBorders>
              <w:top w:val="nil"/>
              <w:left w:val="nil"/>
              <w:bottom w:val="nil"/>
              <w:right w:val="nil"/>
            </w:tcBorders>
            <w:tcMar>
              <w:top w:w="0" w:type="dxa"/>
              <w:left w:w="62" w:type="dxa"/>
              <w:bottom w:w="0" w:type="dxa"/>
              <w:right w:w="62" w:type="dxa"/>
            </w:tcMar>
          </w:tcPr>
          <w:p w:rsidR="00000000" w:rsidP="00A21838">
            <w:pPr>
              <w:pStyle w:val="BodyText"/>
              <w:rPr>
                <w:lang w:val="en-NZ"/>
              </w:rPr>
            </w:pPr>
            <w:r w:rsidRPr="00A21838">
              <w:rPr>
                <w:rStyle w:val="SpecialBold"/>
              </w:rPr>
              <w:t>3</w:t>
            </w:r>
          </w:p>
        </w:tc>
        <w:tc>
          <w:tcPr>
            <w:tcW w:w="2715" w:type="dxa"/>
            <w:tcBorders>
              <w:top w:val="nil"/>
              <w:left w:val="nil"/>
              <w:bottom w:val="nil"/>
              <w:right w:val="nil"/>
            </w:tcBorders>
            <w:tcMar>
              <w:top w:w="0" w:type="dxa"/>
              <w:left w:w="62" w:type="dxa"/>
              <w:bottom w:w="0" w:type="dxa"/>
              <w:right w:w="62" w:type="dxa"/>
            </w:tcMar>
          </w:tcPr>
          <w:p w:rsidR="00000000" w:rsidP="00A21838">
            <w:pPr>
              <w:pStyle w:val="BodyText"/>
              <w:rPr>
                <w:lang w:val="en-NZ"/>
              </w:rPr>
            </w:pPr>
            <w:r w:rsidRPr="00A21838">
              <w:t>Perform, administer and design the process</w:t>
            </w:r>
          </w:p>
        </w:tc>
      </w:tr>
      <w:tr w:rsidTr="002513D6">
        <w:tblPrEx>
          <w:tblW w:w="0" w:type="auto"/>
          <w:tblLayout w:type="fixed"/>
          <w:tblCellMar>
            <w:left w:w="62" w:type="dxa"/>
            <w:right w:w="62" w:type="dxa"/>
          </w:tblCellMar>
          <w:tblLook w:val="0000"/>
        </w:tblPrEx>
        <w:trPr>
          <w:gridAfter w:val="1"/>
          <w:wAfter w:w="214" w:type="dxa"/>
        </w:trPr>
        <w:tc>
          <w:tcPr>
            <w:tcW w:w="2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15" w:type="dxa"/>
            <w:tcBorders>
              <w:top w:val="nil"/>
              <w:left w:val="nil"/>
              <w:bottom w:val="nil"/>
              <w:right w:val="nil"/>
            </w:tcBorders>
            <w:tcMar>
              <w:top w:w="0" w:type="dxa"/>
              <w:left w:w="62" w:type="dxa"/>
              <w:bottom w:w="0" w:type="dxa"/>
              <w:right w:w="62" w:type="dxa"/>
            </w:tcMar>
          </w:tcPr>
          <w:p w:rsidR="00000000" w:rsidP="00A21838">
            <w:pPr>
              <w:pStyle w:val="BodyText"/>
              <w:rPr>
                <w:lang w:val="en-NZ"/>
              </w:rPr>
            </w:pPr>
          </w:p>
        </w:tc>
      </w:tr>
      <w:tr w:rsidTr="002513D6">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A21838" w:rsidP="00A21838">
            <w:pPr>
              <w:pStyle w:val="BodyText"/>
            </w:pPr>
            <w:r w:rsidRPr="00A21838">
              <w:t xml:space="preserve">How can </w:t>
            </w:r>
            <w:r w:rsidRPr="00A21838">
              <w:rPr>
                <w:rStyle w:val="SpecialBold"/>
              </w:rPr>
              <w:t>communication of ideas and information</w:t>
            </w:r>
            <w:r w:rsidRPr="00A21838">
              <w:t xml:space="preserve"> be a</w:t>
            </w:r>
            <w:r w:rsidRPr="00A21838">
              <w:t>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A21838">
            <w:pPr>
              <w:pStyle w:val="BodyText"/>
              <w:rPr>
                <w:lang w:val="en-NZ"/>
              </w:rPr>
            </w:pPr>
            <w:r w:rsidRPr="00A21838">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A21838">
            <w:pPr>
              <w:pStyle w:val="BodyText"/>
              <w:rPr>
                <w:lang w:val="en-NZ"/>
              </w:rPr>
            </w:pPr>
            <w:r w:rsidRPr="00A21838">
              <w:t>Communicate effectively with waste generator/deliverer</w:t>
            </w:r>
          </w:p>
        </w:tc>
      </w:tr>
      <w:tr w:rsidTr="002513D6">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A21838" w:rsidP="00A21838">
            <w:pPr>
              <w:pStyle w:val="BodyText"/>
            </w:pPr>
            <w:r w:rsidRPr="00A21838">
              <w:t xml:space="preserve">How can </w:t>
            </w:r>
            <w:r w:rsidRPr="00A21838">
              <w:rPr>
                <w:rStyle w:val="SpecialBold"/>
              </w:rPr>
              <w:t>information be collected</w:t>
            </w:r>
            <w:r w:rsidRPr="00A21838">
              <w:t xml:space="preserve">, </w:t>
            </w:r>
            <w:r w:rsidRPr="00A21838">
              <w:rPr>
                <w:rStyle w:val="SpecialBold"/>
              </w:rPr>
              <w:t>analysed and organised</w:t>
            </w:r>
            <w:r w:rsidRPr="00A21838">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A21838">
            <w:pPr>
              <w:pStyle w:val="BodyText"/>
              <w:rPr>
                <w:lang w:val="en-NZ"/>
              </w:rPr>
            </w:pPr>
            <w:r w:rsidRPr="00A21838">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A21838">
            <w:pPr>
              <w:pStyle w:val="BodyText"/>
              <w:rPr>
                <w:lang w:val="en-NZ"/>
              </w:rPr>
            </w:pPr>
            <w:r w:rsidRPr="00A21838">
              <w:t>Gather information from a number of sources (including regulatory sources, relevant personnel and company specifications).</w:t>
            </w:r>
          </w:p>
        </w:tc>
      </w:tr>
      <w:tr w:rsidTr="002513D6">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A21838" w:rsidP="00A21838">
            <w:pPr>
              <w:pStyle w:val="BodyText"/>
            </w:pPr>
            <w:r w:rsidRPr="00A21838">
              <w:t xml:space="preserve">How are </w:t>
            </w:r>
            <w:r w:rsidRPr="00A21838">
              <w:rPr>
                <w:rStyle w:val="SpecialBold"/>
              </w:rPr>
              <w:t>activities planned and organised</w:t>
            </w:r>
            <w:r w:rsidRPr="00A21838">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A21838">
            <w:pPr>
              <w:pStyle w:val="BodyText"/>
              <w:rPr>
                <w:lang w:val="en-NZ"/>
              </w:rPr>
            </w:pPr>
            <w:r w:rsidRPr="00A21838">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A21838">
            <w:pPr>
              <w:pStyle w:val="BodyText"/>
              <w:rPr>
                <w:lang w:val="en-NZ"/>
              </w:rPr>
            </w:pPr>
            <w:r w:rsidRPr="00A21838">
              <w:t>Prepare activities for appropriate waste receival.</w:t>
            </w:r>
          </w:p>
        </w:tc>
      </w:tr>
      <w:tr w:rsidTr="002513D6">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A21838" w:rsidP="00A21838">
            <w:pPr>
              <w:pStyle w:val="BodyText"/>
            </w:pPr>
            <w:r w:rsidRPr="00A21838">
              <w:t xml:space="preserve">How can </w:t>
            </w:r>
            <w:r w:rsidRPr="00A21838">
              <w:rPr>
                <w:rStyle w:val="SpecialBold"/>
              </w:rPr>
              <w:t>teamwork</w:t>
            </w:r>
            <w:r w:rsidRPr="00A21838">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A21838">
            <w:pPr>
              <w:pStyle w:val="BodyText"/>
              <w:rPr>
                <w:lang w:val="en-NZ"/>
              </w:rPr>
            </w:pPr>
            <w:r w:rsidRPr="00A21838">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A21838">
            <w:pPr>
              <w:pStyle w:val="BodyText"/>
              <w:rPr>
                <w:lang w:val="en-NZ"/>
              </w:rPr>
            </w:pPr>
            <w:r w:rsidRPr="00A21838">
              <w:t>Work with appropriate personnel to maximise efficiency and effectiveness of waste receival processes.</w:t>
            </w:r>
          </w:p>
        </w:tc>
      </w:tr>
      <w:tr w:rsidTr="002513D6">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A21838" w:rsidP="00A21838">
            <w:pPr>
              <w:pStyle w:val="BodyText"/>
            </w:pPr>
            <w:r w:rsidRPr="00A21838">
              <w:t xml:space="preserve">How can the use of </w:t>
            </w:r>
            <w:r w:rsidRPr="00A21838">
              <w:rPr>
                <w:rStyle w:val="SpecialBold"/>
              </w:rPr>
              <w:t>mathematical ideas and techniques</w:t>
            </w:r>
            <w:r w:rsidRPr="00A21838">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A21838">
            <w:pPr>
              <w:pStyle w:val="BodyText"/>
              <w:rPr>
                <w:lang w:val="en-NZ"/>
              </w:rPr>
            </w:pPr>
            <w:r w:rsidRPr="00A21838">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A21838">
            <w:pPr>
              <w:pStyle w:val="BodyText"/>
              <w:rPr>
                <w:lang w:val="en-NZ"/>
              </w:rPr>
            </w:pPr>
            <w:r w:rsidRPr="00A21838">
              <w:t>Calculate fees accurately.</w:t>
            </w:r>
          </w:p>
        </w:tc>
      </w:tr>
      <w:tr w:rsidTr="002513D6">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A21838" w:rsidP="00A21838">
            <w:pPr>
              <w:pStyle w:val="BodyText"/>
            </w:pPr>
            <w:r w:rsidRPr="00A21838">
              <w:t xml:space="preserve">How can </w:t>
            </w:r>
            <w:r w:rsidRPr="00A21838">
              <w:rPr>
                <w:rStyle w:val="SpecialBold"/>
              </w:rPr>
              <w:t>problem-solving skills</w:t>
            </w:r>
            <w:r w:rsidRPr="00A21838">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A21838">
            <w:pPr>
              <w:pStyle w:val="BodyText"/>
              <w:rPr>
                <w:lang w:val="en-NZ"/>
              </w:rPr>
            </w:pPr>
            <w:r w:rsidRPr="00A21838">
              <w:rPr>
                <w:rStyle w:val="SpecialBold"/>
              </w:rPr>
              <w:t>2</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A21838">
            <w:pPr>
              <w:pStyle w:val="BodyText"/>
              <w:rPr>
                <w:lang w:val="en-NZ"/>
              </w:rPr>
            </w:pPr>
            <w:r w:rsidRPr="00A21838">
              <w:t>Identify and manage possible problems and solutions regarding potential waste receival risks and hazards.</w:t>
            </w:r>
          </w:p>
        </w:tc>
      </w:tr>
      <w:tr w:rsidTr="002513D6">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A21838" w:rsidP="00A21838">
            <w:pPr>
              <w:pStyle w:val="BodyText"/>
            </w:pPr>
            <w:r w:rsidRPr="00A21838">
              <w:t xml:space="preserve">How can the </w:t>
            </w:r>
            <w:r w:rsidRPr="00A21838">
              <w:rPr>
                <w:rStyle w:val="SpecialBold"/>
              </w:rPr>
              <w:t>use of technology</w:t>
            </w:r>
            <w:r w:rsidRPr="00A21838">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A21838">
            <w:pPr>
              <w:pStyle w:val="BodyText"/>
              <w:rPr>
                <w:lang w:val="en-NZ"/>
              </w:rPr>
            </w:pPr>
            <w:r w:rsidRPr="00A21838">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RPr="00A21838" w:rsidP="00A21838">
            <w:pPr>
              <w:pStyle w:val="BodyText"/>
            </w:pPr>
            <w:r w:rsidRPr="00A21838">
              <w:t>Demonstrate understanding of technological principles and physical skills to use appropriate equipment.</w:t>
            </w:r>
          </w:p>
        </w:tc>
      </w:tr>
    </w:tbl>
    <w:p w:rsidR="002513D6" w:rsidP="00A21838">
      <w:pPr>
        <w:pStyle w:val="BodyText"/>
      </w:pPr>
    </w:p>
    <w:p w:rsidR="002513D6" w:rsidP="00A21838">
      <w:pPr>
        <w:pStyle w:val="BodyText"/>
      </w:pPr>
    </w:p>
    <w:p w:rsidR="00000000" w:rsidRPr="00A21838" w:rsidP="00A21838">
      <w:pPr>
        <w:pStyle w:val="Heading1"/>
      </w:pPr>
      <w:bookmarkStart w:id="11" w:name="O_253653"/>
      <w:bookmarkEnd w:id="11"/>
      <w:r w:rsidRPr="00A21838">
        <w:t>Range Statement</w:t>
      </w:r>
    </w:p>
    <w:p w:rsidR="00000000" w:rsidRPr="00A21838" w:rsidP="00A21838">
      <w:pPr>
        <w:pStyle w:val="BodyText"/>
      </w:pPr>
      <w:r w:rsidRPr="00A21838">
        <w:rPr>
          <w:rStyle w:val="SpecialBold"/>
        </w:rPr>
        <w:t>RANGE STATEMENT</w:t>
      </w:r>
    </w:p>
    <w:p w:rsidR="00000000" w:rsidRPr="00A21838" w:rsidP="00A21838">
      <w:pPr>
        <w:pStyle w:val="BodyText"/>
      </w:pPr>
      <w:r w:rsidRPr="00A21838">
        <w:t>The range statement links the required knowledge and organisational and technical requirements to the workplace context. It describes any contextual variables that will be used or encountered when applying the competency in work situations. It allows for d</w:t>
      </w:r>
      <w:r w:rsidRPr="00A21838">
        <w:t>ifferent work practices and work and knowledge requirements as well as for differences between organisations and workplaces. The following variables may be present for this particular unit.</w:t>
      </w:r>
    </w:p>
    <w:p w:rsidR="00000000" w:rsidRPr="00A21838" w:rsidP="00A21838">
      <w:pPr>
        <w:pStyle w:val="BodyText"/>
      </w:pPr>
      <w:r w:rsidRPr="00A21838">
        <w:rPr>
          <w:rStyle w:val="SpecialBold"/>
        </w:rPr>
        <w:t>Client</w:t>
      </w:r>
      <w:r w:rsidRPr="00A21838">
        <w:t>/</w:t>
      </w:r>
      <w:r w:rsidRPr="00A21838">
        <w:rPr>
          <w:rStyle w:val="SpecialBold"/>
        </w:rPr>
        <w:t>company</w:t>
      </w:r>
      <w:r w:rsidRPr="00A21838">
        <w:t xml:space="preserve"> includes all forms of business enterprises in this </w:t>
      </w:r>
      <w:r w:rsidRPr="00A21838">
        <w:t>context including government agencies, local governments/councils, private and public companies, and residents/ratepayers.</w:t>
      </w:r>
    </w:p>
    <w:p w:rsidR="00000000" w:rsidRPr="00A21838" w:rsidP="00A21838">
      <w:pPr>
        <w:pStyle w:val="BodyText"/>
      </w:pPr>
      <w:r w:rsidRPr="00A21838">
        <w:rPr>
          <w:rStyle w:val="SpecialBold"/>
        </w:rPr>
        <w:t>Company requirements</w:t>
      </w:r>
      <w:r w:rsidRPr="00A21838">
        <w:t xml:space="preserve"> are found in briefing papers, job sheets, letters, quality assurance documents, tender/contract documents, verba</w:t>
      </w:r>
      <w:r w:rsidRPr="00A21838">
        <w:t>l or written instructions and work procedures.</w:t>
      </w:r>
    </w:p>
    <w:p w:rsidR="00000000" w:rsidRPr="00A21838" w:rsidP="00A21838">
      <w:pPr>
        <w:pStyle w:val="BodyText"/>
      </w:pPr>
      <w:r w:rsidRPr="00A21838">
        <w:rPr>
          <w:rStyle w:val="SpecialBold"/>
        </w:rPr>
        <w:t>Directions to unloading site</w:t>
      </w:r>
      <w:r w:rsidRPr="00A21838">
        <w:t xml:space="preserve"> include maps, signs and arrows, verbal instructions and written directions.</w:t>
      </w:r>
    </w:p>
    <w:p w:rsidR="00000000" w:rsidRPr="00A21838" w:rsidP="00A21838">
      <w:pPr>
        <w:pStyle w:val="BodyText"/>
      </w:pPr>
      <w:r w:rsidRPr="00A21838">
        <w:rPr>
          <w:rStyle w:val="SpecialBold"/>
        </w:rPr>
        <w:t>Emergency and personal protective equipment</w:t>
      </w:r>
      <w:r w:rsidRPr="00A21838">
        <w:t xml:space="preserve"> must include:</w:t>
      </w:r>
    </w:p>
    <w:p w:rsidR="00000000" w:rsidRPr="00A21838" w:rsidP="00A21838">
      <w:pPr>
        <w:pStyle w:val="ListBullet"/>
      </w:pPr>
      <w:r w:rsidRPr="00A21838">
        <w:t>communications equipment</w:t>
      </w:r>
    </w:p>
    <w:p w:rsidR="00000000" w:rsidRPr="00A21838" w:rsidP="00A21838">
      <w:pPr>
        <w:pStyle w:val="ListBullet"/>
      </w:pPr>
      <w:r w:rsidRPr="00A21838">
        <w:t xml:space="preserve">emergency procedure </w:t>
      </w:r>
      <w:r w:rsidRPr="00A21838">
        <w:t>guides</w:t>
      </w:r>
    </w:p>
    <w:p w:rsidR="00000000" w:rsidRPr="00A21838" w:rsidP="00A21838">
      <w:pPr>
        <w:pStyle w:val="ListBullet"/>
      </w:pPr>
      <w:r w:rsidRPr="00A21838">
        <w:t>eye protection</w:t>
      </w:r>
    </w:p>
    <w:p w:rsidR="00000000" w:rsidRPr="00A21838" w:rsidP="00A21838">
      <w:pPr>
        <w:pStyle w:val="ListBullet"/>
      </w:pPr>
      <w:r w:rsidRPr="00A21838">
        <w:t>eyewash kit</w:t>
      </w:r>
    </w:p>
    <w:p w:rsidR="00000000" w:rsidRPr="00A21838" w:rsidP="00A21838">
      <w:pPr>
        <w:pStyle w:val="ListBullet"/>
      </w:pPr>
      <w:r w:rsidRPr="00A21838">
        <w:t>fire extinguishers</w:t>
      </w:r>
    </w:p>
    <w:p w:rsidR="00000000" w:rsidRPr="00A21838" w:rsidP="00A21838">
      <w:pPr>
        <w:pStyle w:val="ListBullet"/>
      </w:pPr>
      <w:r w:rsidRPr="00A21838">
        <w:t>First Aid kit</w:t>
      </w:r>
    </w:p>
    <w:p w:rsidR="00000000" w:rsidRPr="00A21838" w:rsidP="00A21838">
      <w:pPr>
        <w:pStyle w:val="ListBullet"/>
      </w:pPr>
      <w:r w:rsidRPr="00A21838">
        <w:t>gloves</w:t>
      </w:r>
    </w:p>
    <w:p w:rsidR="00000000" w:rsidRPr="00A21838" w:rsidP="00A21838">
      <w:pPr>
        <w:pStyle w:val="ListBullet"/>
      </w:pPr>
      <w:r w:rsidRPr="00A21838">
        <w:t>headgear</w:t>
      </w:r>
    </w:p>
    <w:p w:rsidR="00000000" w:rsidRPr="00A21838" w:rsidP="00A21838">
      <w:pPr>
        <w:pStyle w:val="ListBullet"/>
      </w:pPr>
      <w:r w:rsidRPr="00A21838">
        <w:t>overalls and protective clothing</w:t>
      </w:r>
    </w:p>
    <w:p w:rsidR="00000000" w:rsidRPr="00A21838" w:rsidP="00A21838">
      <w:pPr>
        <w:pStyle w:val="ListBullet"/>
      </w:pPr>
      <w:r w:rsidRPr="00A21838">
        <w:t>safety boots.</w:t>
      </w:r>
    </w:p>
    <w:p w:rsidR="00000000" w:rsidRPr="00A21838" w:rsidP="00A21838">
      <w:pPr>
        <w:pStyle w:val="BodyText"/>
      </w:pPr>
      <w:r w:rsidRPr="00A21838">
        <w:rPr>
          <w:rStyle w:val="SpecialBold"/>
        </w:rPr>
        <w:t>Emergency and personal protective equipment</w:t>
      </w:r>
      <w:r w:rsidRPr="00A21838">
        <w:t xml:space="preserve"> could also include:</w:t>
      </w:r>
    </w:p>
    <w:p w:rsidR="00000000" w:rsidRPr="00A21838" w:rsidP="00A21838">
      <w:pPr>
        <w:pStyle w:val="ListBullet"/>
      </w:pPr>
      <w:r w:rsidRPr="00A21838">
        <w:t>breathing apparatus</w:t>
      </w:r>
    </w:p>
    <w:p w:rsidR="00000000" w:rsidRPr="00A21838" w:rsidP="00A21838">
      <w:pPr>
        <w:pStyle w:val="ListBullet"/>
      </w:pPr>
      <w:r w:rsidRPr="00A21838">
        <w:t>containment devices such as booms</w:t>
      </w:r>
    </w:p>
    <w:p w:rsidR="00000000" w:rsidRPr="00A21838" w:rsidP="00A21838">
      <w:pPr>
        <w:pStyle w:val="ListBullet"/>
      </w:pPr>
      <w:r w:rsidRPr="00A21838">
        <w:t>face shield/mask</w:t>
      </w:r>
    </w:p>
    <w:p w:rsidR="00000000" w:rsidRPr="00A21838" w:rsidP="00A21838">
      <w:pPr>
        <w:pStyle w:val="ListBullet"/>
      </w:pPr>
      <w:r w:rsidRPr="00A21838">
        <w:t>hard hat</w:t>
      </w:r>
    </w:p>
    <w:p w:rsidR="00000000" w:rsidRPr="00A21838" w:rsidP="00A21838">
      <w:pPr>
        <w:pStyle w:val="ListBullet"/>
      </w:pPr>
      <w:r w:rsidRPr="00A21838">
        <w:t>hearing protection</w:t>
      </w:r>
    </w:p>
    <w:p w:rsidR="00000000" w:rsidRPr="00A21838" w:rsidP="00A21838">
      <w:pPr>
        <w:pStyle w:val="ListBullet"/>
      </w:pPr>
      <w:r w:rsidRPr="00A21838">
        <w:t>material safety data sheets (MSDS)</w:t>
      </w:r>
    </w:p>
    <w:p w:rsidR="00000000" w:rsidRPr="00A21838" w:rsidP="00A21838">
      <w:pPr>
        <w:pStyle w:val="ListBullet"/>
      </w:pPr>
      <w:r w:rsidRPr="00A21838">
        <w:t>oil absorbent materials</w:t>
      </w:r>
    </w:p>
    <w:p w:rsidR="00000000" w:rsidRPr="00A21838" w:rsidP="00A21838">
      <w:pPr>
        <w:pStyle w:val="ListBullet"/>
      </w:pPr>
      <w:r w:rsidRPr="00A21838">
        <w:t>spill kit.</w:t>
      </w:r>
    </w:p>
    <w:p w:rsidR="00000000" w:rsidRPr="00A21838" w:rsidP="00A21838">
      <w:pPr>
        <w:pStyle w:val="BodyText"/>
      </w:pPr>
      <w:r w:rsidRPr="00A21838">
        <w:rPr>
          <w:rStyle w:val="SpecialBold"/>
        </w:rPr>
        <w:t>Emergency response action</w:t>
      </w:r>
      <w:r w:rsidRPr="00A21838">
        <w:t>/</w:t>
      </w:r>
      <w:r w:rsidRPr="00A21838">
        <w:rPr>
          <w:rStyle w:val="SpecialBold"/>
        </w:rPr>
        <w:t>procedures</w:t>
      </w:r>
      <w:r w:rsidRPr="00A21838">
        <w:t xml:space="preserve"> include but are not limited to:</w:t>
      </w:r>
    </w:p>
    <w:p w:rsidR="00000000" w:rsidRPr="00A21838" w:rsidP="00A21838">
      <w:pPr>
        <w:pStyle w:val="ListBullet"/>
      </w:pPr>
      <w:r w:rsidRPr="00A21838">
        <w:t>clean up</w:t>
      </w:r>
    </w:p>
    <w:p w:rsidR="00000000" w:rsidRPr="00A21838" w:rsidP="00A21838">
      <w:pPr>
        <w:pStyle w:val="ListBullet"/>
      </w:pPr>
      <w:r w:rsidRPr="00A21838">
        <w:t>contain emergency</w:t>
      </w:r>
    </w:p>
    <w:p w:rsidR="00000000" w:rsidRPr="00A21838" w:rsidP="00A21838">
      <w:pPr>
        <w:pStyle w:val="ListBullet"/>
      </w:pPr>
      <w:r w:rsidRPr="00A21838">
        <w:t>equipment/plant isolation and shut-down</w:t>
      </w:r>
    </w:p>
    <w:p w:rsidR="00000000" w:rsidRPr="00A21838" w:rsidP="00A21838">
      <w:pPr>
        <w:pStyle w:val="ListBullet"/>
      </w:pPr>
      <w:r w:rsidRPr="00A21838">
        <w:t>evac</w:t>
      </w:r>
      <w:r w:rsidRPr="00A21838">
        <w:t>uation</w:t>
      </w:r>
    </w:p>
    <w:p w:rsidR="00000000" w:rsidRPr="00A21838" w:rsidP="00A21838">
      <w:pPr>
        <w:pStyle w:val="ListBullet"/>
      </w:pPr>
      <w:r w:rsidRPr="00A21838">
        <w:t>First Aid</w:t>
      </w:r>
    </w:p>
    <w:p w:rsidR="00000000" w:rsidRPr="00A21838" w:rsidP="00A21838">
      <w:pPr>
        <w:pStyle w:val="ListBullet"/>
      </w:pPr>
      <w:r w:rsidRPr="00A21838">
        <w:t>make safe</w:t>
      </w:r>
    </w:p>
    <w:p w:rsidR="00000000" w:rsidRPr="00A21838" w:rsidP="00A21838">
      <w:pPr>
        <w:pStyle w:val="ListBullet"/>
      </w:pPr>
      <w:r w:rsidRPr="00A21838">
        <w:t>notification of authorities</w:t>
      </w:r>
    </w:p>
    <w:p w:rsidR="00000000" w:rsidRPr="00A21838" w:rsidP="00A21838">
      <w:pPr>
        <w:pStyle w:val="ListBullet"/>
      </w:pPr>
      <w:r w:rsidRPr="00A21838">
        <w:t>use of appropriate personal protective equipment.</w:t>
      </w:r>
    </w:p>
    <w:p w:rsidR="00000000" w:rsidRPr="00A21838" w:rsidP="00A21838">
      <w:pPr>
        <w:pStyle w:val="BodyText"/>
      </w:pPr>
      <w:r w:rsidRPr="00A21838">
        <w:rPr>
          <w:rStyle w:val="SpecialBold"/>
        </w:rPr>
        <w:t>Equipment</w:t>
      </w:r>
      <w:r w:rsidRPr="00A21838">
        <w:t xml:space="preserve"> includes but is not limited to communications equipment, recording equipment, sampling equipment, storage containers, tarpaulin and weighbrid</w:t>
      </w:r>
      <w:r w:rsidRPr="00A21838">
        <w:t>ge.</w:t>
      </w:r>
    </w:p>
    <w:p w:rsidR="00000000" w:rsidRPr="00A21838" w:rsidP="00A21838">
      <w:pPr>
        <w:pStyle w:val="BodyText"/>
      </w:pPr>
      <w:r w:rsidRPr="00A21838">
        <w:rPr>
          <w:rStyle w:val="SpecialBold"/>
        </w:rPr>
        <w:t>Equipment required to assist in unloading</w:t>
      </w:r>
      <w:r w:rsidRPr="00A21838">
        <w:t xml:space="preserve"> may include hoses, load shifting equipment, pumps and vacuums.</w:t>
      </w:r>
    </w:p>
    <w:p w:rsidR="00000000" w:rsidRPr="00A21838" w:rsidP="00A21838">
      <w:pPr>
        <w:pStyle w:val="BodyText"/>
      </w:pPr>
      <w:r w:rsidRPr="00A21838">
        <w:rPr>
          <w:rStyle w:val="SpecialBold"/>
        </w:rPr>
        <w:t>Manufacturers' specifications</w:t>
      </w:r>
      <w:r w:rsidRPr="00A21838">
        <w:t xml:space="preserve"> are found in equipment specifications and operator manuals.</w:t>
      </w:r>
    </w:p>
    <w:p w:rsidR="00000000" w:rsidRPr="00A21838" w:rsidP="00A21838">
      <w:pPr>
        <w:pStyle w:val="BodyText"/>
      </w:pPr>
      <w:r w:rsidRPr="00A21838">
        <w:rPr>
          <w:rStyle w:val="SpecialBold"/>
        </w:rPr>
        <w:t>Measurement</w:t>
      </w:r>
      <w:r w:rsidRPr="00A21838">
        <w:t xml:space="preserve"> includes number of units, volume and weight.</w:t>
      </w:r>
    </w:p>
    <w:p w:rsidR="00000000" w:rsidRPr="00A21838" w:rsidP="00A21838">
      <w:pPr>
        <w:pStyle w:val="BodyText"/>
      </w:pPr>
      <w:r w:rsidRPr="00A21838">
        <w:rPr>
          <w:rStyle w:val="SpecialBold"/>
        </w:rPr>
        <w:t>Performance of this unit</w:t>
      </w:r>
      <w:r w:rsidRPr="00A21838">
        <w:t xml:space="preserve"> is carried out in accordance with relevant requirements of the following:</w:t>
      </w:r>
    </w:p>
    <w:p w:rsidR="00000000" w:rsidRPr="00A21838" w:rsidP="00A21838">
      <w:pPr>
        <w:pStyle w:val="ListBullet"/>
      </w:pPr>
      <w:r w:rsidRPr="00A21838">
        <w:t>Australian Standards</w:t>
      </w:r>
    </w:p>
    <w:p w:rsidR="00000000" w:rsidRPr="00A21838" w:rsidP="00A21838">
      <w:pPr>
        <w:pStyle w:val="ListBullet"/>
      </w:pPr>
      <w:r w:rsidRPr="00A21838">
        <w:t>environmental regulations</w:t>
      </w:r>
    </w:p>
    <w:p w:rsidR="00000000" w:rsidRPr="00A21838" w:rsidP="00A21838">
      <w:pPr>
        <w:pStyle w:val="ListBullet"/>
      </w:pPr>
      <w:r w:rsidRPr="00A21838">
        <w:t>legislative requirements</w:t>
      </w:r>
    </w:p>
    <w:p w:rsidR="00000000" w:rsidRPr="00A21838" w:rsidP="00A21838">
      <w:pPr>
        <w:pStyle w:val="ListBullet"/>
      </w:pPr>
      <w:r w:rsidRPr="00A21838">
        <w:t>manufacturers' specifications</w:t>
      </w:r>
    </w:p>
    <w:p w:rsidR="00000000" w:rsidRPr="00A21838" w:rsidP="00A21838">
      <w:pPr>
        <w:pStyle w:val="ListBullet"/>
      </w:pPr>
      <w:r w:rsidRPr="00A21838">
        <w:t>OHS procedures</w:t>
      </w:r>
    </w:p>
    <w:p w:rsidR="00000000" w:rsidRPr="00A21838" w:rsidP="00A21838">
      <w:pPr>
        <w:pStyle w:val="ListBullet"/>
      </w:pPr>
      <w:r w:rsidRPr="00A21838">
        <w:t>organisational procedures</w:t>
      </w:r>
    </w:p>
    <w:p w:rsidR="00000000" w:rsidRPr="00A21838" w:rsidP="00A21838">
      <w:pPr>
        <w:pStyle w:val="ListBullet"/>
      </w:pPr>
      <w:r w:rsidRPr="00A21838">
        <w:t>relevant stat</w:t>
      </w:r>
      <w:r w:rsidRPr="00A21838">
        <w:t>e/territory regulations.</w:t>
      </w:r>
    </w:p>
    <w:p w:rsidR="00000000" w:rsidRPr="00A21838" w:rsidP="00A21838">
      <w:pPr>
        <w:pStyle w:val="BodyText"/>
      </w:pPr>
      <w:r w:rsidRPr="00A21838">
        <w:rPr>
          <w:rStyle w:val="SpecialBold"/>
        </w:rPr>
        <w:t>Personal protective equipment</w:t>
      </w:r>
      <w:r w:rsidRPr="00A21838">
        <w:t xml:space="preserve"> required will be cleaned, stored and worn/fitted in accordance with company </w:t>
      </w:r>
      <w:r w:rsidRPr="00A21838">
        <w:t>requirements, manufacturers' specifications, and occupational health and safety and other legislation.</w:t>
      </w:r>
    </w:p>
    <w:p w:rsidR="00000000" w:rsidRPr="00A21838" w:rsidP="00A21838">
      <w:pPr>
        <w:pStyle w:val="BodyText"/>
      </w:pPr>
      <w:r w:rsidRPr="00A21838">
        <w:rPr>
          <w:rStyle w:val="SpecialBold"/>
        </w:rPr>
        <w:t>Potential risks and ha</w:t>
      </w:r>
      <w:r w:rsidRPr="00A21838">
        <w:rPr>
          <w:rStyle w:val="SpecialBold"/>
        </w:rPr>
        <w:t>zards</w:t>
      </w:r>
      <w:r w:rsidRPr="00A21838">
        <w:t xml:space="preserve"> are those risks and hazards identified by the organisation that could lead to injury or illness of employees, contractors, visitors or the public; damage to plant, vehicles or property; or that could cause harm to the environment.</w:t>
      </w:r>
    </w:p>
    <w:p w:rsidR="00000000" w:rsidRPr="00A21838" w:rsidP="00A21838">
      <w:pPr>
        <w:pStyle w:val="BodyText"/>
      </w:pPr>
      <w:r w:rsidRPr="00A21838">
        <w:t>This relates to on-</w:t>
      </w:r>
      <w:r w:rsidRPr="00A21838">
        <w:t>site and off-site activities (whether company owned or occupied premises, customer/client premises or public property) over which it could be expected the organisation had control. Risks and hazards may include:</w:t>
      </w:r>
    </w:p>
    <w:p w:rsidR="00000000" w:rsidRPr="00A21838" w:rsidP="00A21838">
      <w:pPr>
        <w:pStyle w:val="ListBullet"/>
      </w:pPr>
      <w:r w:rsidRPr="00A21838">
        <w:t>broken glass/metal</w:t>
      </w:r>
    </w:p>
    <w:p w:rsidR="00000000" w:rsidRPr="00A21838" w:rsidP="00A21838">
      <w:pPr>
        <w:pStyle w:val="ListBullet"/>
      </w:pPr>
      <w:r w:rsidRPr="00A21838">
        <w:t>compaction equipment</w:t>
      </w:r>
    </w:p>
    <w:p w:rsidR="00000000" w:rsidRPr="00A21838" w:rsidP="00A21838">
      <w:pPr>
        <w:pStyle w:val="ListBullet"/>
      </w:pPr>
      <w:r w:rsidRPr="00A21838">
        <w:t>con</w:t>
      </w:r>
      <w:r w:rsidRPr="00A21838">
        <w:t>tamination</w:t>
      </w:r>
    </w:p>
    <w:p w:rsidR="00000000" w:rsidRPr="00A21838" w:rsidP="00A21838">
      <w:pPr>
        <w:pStyle w:val="ListBullet"/>
      </w:pPr>
      <w:r w:rsidRPr="00A21838">
        <w:t>dust</w:t>
      </w:r>
    </w:p>
    <w:p w:rsidR="00000000" w:rsidRPr="00A21838" w:rsidP="00A21838">
      <w:pPr>
        <w:pStyle w:val="ListBullet"/>
      </w:pPr>
      <w:r w:rsidRPr="00A21838">
        <w:t>fire</w:t>
      </w:r>
    </w:p>
    <w:p w:rsidR="00000000" w:rsidRPr="00A21838" w:rsidP="00A21838">
      <w:pPr>
        <w:pStyle w:val="ListBullet"/>
      </w:pPr>
      <w:r w:rsidRPr="00A21838">
        <w:t>gases and fumes</w:t>
      </w:r>
    </w:p>
    <w:p w:rsidR="00000000" w:rsidRPr="00A21838" w:rsidP="00A21838">
      <w:pPr>
        <w:pStyle w:val="ListBullet"/>
      </w:pPr>
      <w:r w:rsidRPr="00A21838">
        <w:t>hazardous waste (e.g. sharps)</w:t>
      </w:r>
    </w:p>
    <w:p w:rsidR="00000000" w:rsidRPr="00A21838" w:rsidP="00A21838">
      <w:pPr>
        <w:pStyle w:val="ListBullet"/>
      </w:pPr>
      <w:r w:rsidRPr="00A21838">
        <w:t>injuries resulting from manual handling and repetitive work</w:t>
      </w:r>
    </w:p>
    <w:p w:rsidR="00000000" w:rsidRPr="00A21838" w:rsidP="00A21838">
      <w:pPr>
        <w:pStyle w:val="ListBullet"/>
      </w:pPr>
      <w:r w:rsidRPr="00A21838">
        <w:t>motor oil</w:t>
      </w:r>
    </w:p>
    <w:p w:rsidR="00000000" w:rsidRPr="00A21838" w:rsidP="00A21838">
      <w:pPr>
        <w:pStyle w:val="ListBullet"/>
      </w:pPr>
      <w:r w:rsidRPr="00A21838">
        <w:t>narrow driveways</w:t>
      </w:r>
    </w:p>
    <w:p w:rsidR="00000000" w:rsidRPr="00A21838" w:rsidP="00A21838">
      <w:pPr>
        <w:pStyle w:val="ListBullet"/>
      </w:pPr>
      <w:r w:rsidRPr="00A21838">
        <w:t>other vehicles and equipment</w:t>
      </w:r>
    </w:p>
    <w:p w:rsidR="00000000" w:rsidRPr="00A21838" w:rsidP="00A21838">
      <w:pPr>
        <w:pStyle w:val="ListBullet"/>
      </w:pPr>
      <w:r w:rsidRPr="00A21838">
        <w:t>overhanging signs</w:t>
      </w:r>
    </w:p>
    <w:p w:rsidR="00000000" w:rsidRPr="00A21838" w:rsidP="00A21838">
      <w:pPr>
        <w:pStyle w:val="ListBullet"/>
      </w:pPr>
      <w:r w:rsidRPr="00A21838">
        <w:t>projectiles</w:t>
      </w:r>
    </w:p>
    <w:p w:rsidR="00000000" w:rsidRPr="00A21838" w:rsidP="00A21838">
      <w:pPr>
        <w:pStyle w:val="ListBullet"/>
      </w:pPr>
      <w:r w:rsidRPr="00A21838">
        <w:t>spark-producing equipment</w:t>
      </w:r>
    </w:p>
    <w:p w:rsidR="00000000" w:rsidRPr="00A21838" w:rsidP="00A21838">
      <w:pPr>
        <w:pStyle w:val="ListBullet"/>
      </w:pPr>
      <w:r w:rsidRPr="00A21838">
        <w:t>unguarded conveyor belt</w:t>
      </w:r>
    </w:p>
    <w:p w:rsidR="00000000" w:rsidRPr="00A21838" w:rsidP="00A21838">
      <w:pPr>
        <w:pStyle w:val="ListBullet"/>
      </w:pPr>
      <w:r w:rsidRPr="00A21838">
        <w:t>weather.</w:t>
      </w:r>
    </w:p>
    <w:p w:rsidR="00000000" w:rsidRPr="00A21838" w:rsidP="00A21838">
      <w:pPr>
        <w:pStyle w:val="BodyText"/>
      </w:pPr>
      <w:r w:rsidRPr="00A21838">
        <w:rPr>
          <w:rStyle w:val="SpecialBold"/>
        </w:rPr>
        <w:t>Recording</w:t>
      </w:r>
      <w:r w:rsidRPr="00A21838">
        <w:t xml:space="preserve"> may include:</w:t>
      </w:r>
    </w:p>
    <w:p w:rsidR="00000000" w:rsidRPr="00A21838" w:rsidP="00A21838">
      <w:pPr>
        <w:pStyle w:val="ListBullet"/>
      </w:pPr>
      <w:r w:rsidRPr="00A21838">
        <w:t>accident report</w:t>
      </w:r>
    </w:p>
    <w:p w:rsidR="00000000" w:rsidRPr="00A21838" w:rsidP="00A21838">
      <w:pPr>
        <w:pStyle w:val="ListBullet"/>
      </w:pPr>
      <w:r w:rsidRPr="00A21838">
        <w:t>checklists</w:t>
      </w:r>
    </w:p>
    <w:p w:rsidR="00000000" w:rsidRPr="00A21838" w:rsidP="00A21838">
      <w:pPr>
        <w:pStyle w:val="ListBullet"/>
      </w:pPr>
      <w:r w:rsidRPr="00A21838">
        <w:t>emergency report</w:t>
      </w:r>
    </w:p>
    <w:p w:rsidR="00000000" w:rsidRPr="00A21838" w:rsidP="00A21838">
      <w:pPr>
        <w:pStyle w:val="ListBullet"/>
      </w:pPr>
      <w:r w:rsidRPr="00A21838">
        <w:t>environmental protection authority waste transport certificate</w:t>
      </w:r>
    </w:p>
    <w:p w:rsidR="00000000" w:rsidRPr="00A21838" w:rsidP="00A21838">
      <w:pPr>
        <w:pStyle w:val="ListBullet"/>
      </w:pPr>
      <w:r w:rsidRPr="00A21838">
        <w:t>incident report</w:t>
      </w:r>
    </w:p>
    <w:p w:rsidR="00000000" w:rsidRPr="00A21838" w:rsidP="00A21838">
      <w:pPr>
        <w:pStyle w:val="ListBullet"/>
      </w:pPr>
      <w:r w:rsidRPr="00A21838">
        <w:t>maintenance requirements</w:t>
      </w:r>
    </w:p>
    <w:p w:rsidR="00000000" w:rsidRPr="00A21838" w:rsidP="00A21838">
      <w:pPr>
        <w:pStyle w:val="ListBullet"/>
      </w:pPr>
      <w:r w:rsidRPr="00A21838">
        <w:t>non-conformances</w:t>
      </w:r>
    </w:p>
    <w:p w:rsidR="00000000" w:rsidRPr="00A21838" w:rsidP="00A21838">
      <w:pPr>
        <w:pStyle w:val="ListBullet"/>
      </w:pPr>
      <w:r w:rsidRPr="00A21838">
        <w:t>weighbridge docket.</w:t>
      </w:r>
    </w:p>
    <w:p w:rsidR="00000000" w:rsidRPr="00A21838" w:rsidP="00A21838">
      <w:pPr>
        <w:pStyle w:val="BodyText"/>
      </w:pPr>
      <w:r w:rsidRPr="00A21838">
        <w:rPr>
          <w:rStyle w:val="SpecialBold"/>
        </w:rPr>
        <w:t>Relevant legis</w:t>
      </w:r>
      <w:r w:rsidRPr="00A21838">
        <w:rPr>
          <w:rStyle w:val="SpecialBold"/>
        </w:rPr>
        <w:t>lation and codes</w:t>
      </w:r>
      <w:r w:rsidRPr="00A21838">
        <w:t xml:space="preserve"> cover state and federal:</w:t>
      </w:r>
    </w:p>
    <w:p w:rsidR="00000000" w:rsidRPr="00A21838" w:rsidP="00A21838">
      <w:pPr>
        <w:pStyle w:val="ListBullet"/>
      </w:pPr>
      <w:r w:rsidRPr="00A21838">
        <w:t>anti-discrimination</w:t>
      </w:r>
    </w:p>
    <w:p w:rsidR="00000000" w:rsidRPr="00A21838" w:rsidP="00A21838">
      <w:pPr>
        <w:pStyle w:val="ListBullet"/>
      </w:pPr>
      <w:r w:rsidRPr="00A21838">
        <w:t>Australian Code for the Transport of Dangerous Goods by Road or Rail</w:t>
      </w:r>
    </w:p>
    <w:p w:rsidR="00000000" w:rsidRPr="00A21838" w:rsidP="00A21838">
      <w:pPr>
        <w:pStyle w:val="ListBullet"/>
      </w:pPr>
      <w:r w:rsidRPr="00A21838">
        <w:t>consumer protection</w:t>
      </w:r>
    </w:p>
    <w:p w:rsidR="00000000" w:rsidRPr="00A21838" w:rsidP="00A21838">
      <w:pPr>
        <w:pStyle w:val="ListBullet"/>
      </w:pPr>
      <w:r w:rsidRPr="00A21838">
        <w:t>duty of care</w:t>
      </w:r>
    </w:p>
    <w:p w:rsidR="00000000" w:rsidRPr="00A21838" w:rsidP="00A21838">
      <w:pPr>
        <w:pStyle w:val="ListBullet"/>
      </w:pPr>
      <w:r w:rsidRPr="00A21838">
        <w:t>equal opportunity</w:t>
      </w:r>
    </w:p>
    <w:p w:rsidR="00000000" w:rsidRPr="00A21838" w:rsidP="00A21838">
      <w:pPr>
        <w:pStyle w:val="ListBullet"/>
      </w:pPr>
      <w:r w:rsidRPr="00A21838">
        <w:t>freedom of information</w:t>
      </w:r>
    </w:p>
    <w:p w:rsidR="00000000" w:rsidRPr="00A21838" w:rsidP="00A21838">
      <w:pPr>
        <w:pStyle w:val="ListBullet"/>
      </w:pPr>
      <w:r w:rsidRPr="00A21838">
        <w:t>industrial</w:t>
      </w:r>
    </w:p>
    <w:p w:rsidR="00000000" w:rsidRPr="00A21838" w:rsidP="00A21838">
      <w:pPr>
        <w:pStyle w:val="ListBullet"/>
      </w:pPr>
      <w:r w:rsidRPr="00A21838">
        <w:t>industry codes of conduct</w:t>
      </w:r>
    </w:p>
    <w:p w:rsidR="00000000" w:rsidRPr="00A21838" w:rsidP="00A21838">
      <w:pPr>
        <w:pStyle w:val="ListBullet"/>
      </w:pPr>
      <w:r w:rsidRPr="00A21838">
        <w:t>occupational health and safety</w:t>
      </w:r>
    </w:p>
    <w:p w:rsidR="00000000" w:rsidRPr="00A21838" w:rsidP="00A21838">
      <w:pPr>
        <w:pStyle w:val="ListBullet"/>
      </w:pPr>
      <w:r w:rsidRPr="00A21838">
        <w:t>Australian Standards</w:t>
      </w:r>
    </w:p>
    <w:p w:rsidR="00000000" w:rsidRPr="00A21838" w:rsidP="00A21838">
      <w:pPr>
        <w:pStyle w:val="ListBullet"/>
      </w:pPr>
      <w:r w:rsidRPr="00A21838">
        <w:t>environmental protection legislation</w:t>
      </w:r>
    </w:p>
    <w:p w:rsidR="00000000" w:rsidRPr="00A21838" w:rsidP="00A21838">
      <w:pPr>
        <w:pStyle w:val="ListBullet"/>
      </w:pPr>
      <w:r w:rsidRPr="00A21838">
        <w:t>road laws</w:t>
      </w:r>
    </w:p>
    <w:p w:rsidR="00000000" w:rsidRPr="00A21838" w:rsidP="00A21838">
      <w:pPr>
        <w:pStyle w:val="ListBullet"/>
      </w:pPr>
      <w:r w:rsidRPr="00A21838">
        <w:t>trade practices.</w:t>
      </w:r>
    </w:p>
    <w:p w:rsidR="00000000" w:rsidRPr="00A21838" w:rsidP="00A21838">
      <w:pPr>
        <w:pStyle w:val="BodyText"/>
      </w:pPr>
      <w:r w:rsidRPr="00A21838">
        <w:rPr>
          <w:rStyle w:val="SpecialBold"/>
        </w:rPr>
        <w:t>Safe operating procedures</w:t>
      </w:r>
      <w:r w:rsidRPr="00A21838">
        <w:t xml:space="preserve"> include any activity or operation conducted on site to ensure health and safety of personnel/equipment in the area</w:t>
      </w:r>
      <w:r w:rsidRPr="00A21838">
        <w:t>.</w:t>
      </w:r>
    </w:p>
    <w:p w:rsidR="00000000" w:rsidRPr="00A21838" w:rsidP="00A21838">
      <w:pPr>
        <w:pStyle w:val="BodyText"/>
      </w:pPr>
      <w:r w:rsidRPr="00A21838">
        <w:rPr>
          <w:rStyle w:val="SpecialBold"/>
        </w:rPr>
        <w:t>Unloading requirements</w:t>
      </w:r>
      <w:r w:rsidRPr="00A21838">
        <w:t xml:space="preserve"> include access to site stable ground conditions, capacity of site, manoeuvrability of vehicles, and minimisation of risks and hazards.</w:t>
      </w:r>
    </w:p>
    <w:p w:rsidR="00000000" w:rsidRPr="00A21838" w:rsidP="00A21838">
      <w:pPr>
        <w:pStyle w:val="BodyText"/>
      </w:pPr>
      <w:r w:rsidRPr="00A21838">
        <w:rPr>
          <w:rStyle w:val="SpecialBold"/>
        </w:rPr>
        <w:t>Waste characteristics</w:t>
      </w:r>
      <w:r w:rsidRPr="00A21838">
        <w:t xml:space="preserve"> include but are not limited to:</w:t>
      </w:r>
    </w:p>
    <w:p w:rsidR="00000000" w:rsidRPr="00A21838" w:rsidP="00A21838">
      <w:pPr>
        <w:pStyle w:val="ListBullet"/>
      </w:pPr>
      <w:r w:rsidRPr="00A21838">
        <w:t>containment</w:t>
      </w:r>
    </w:p>
    <w:p w:rsidR="00000000" w:rsidRPr="00A21838" w:rsidP="00A21838">
      <w:pPr>
        <w:pStyle w:val="ListBullet"/>
      </w:pPr>
      <w:r w:rsidRPr="00A21838">
        <w:t>density</w:t>
      </w:r>
    </w:p>
    <w:p w:rsidR="00000000" w:rsidRPr="00A21838" w:rsidP="00A21838">
      <w:pPr>
        <w:pStyle w:val="ListBullet"/>
      </w:pPr>
      <w:r w:rsidRPr="00A21838">
        <w:t>hazard</w:t>
      </w:r>
    </w:p>
    <w:p w:rsidR="00000000" w:rsidRPr="00A21838" w:rsidP="00A21838">
      <w:pPr>
        <w:pStyle w:val="ListBullet"/>
      </w:pPr>
      <w:r w:rsidRPr="00A21838">
        <w:t>level of conta</w:t>
      </w:r>
      <w:r w:rsidRPr="00A21838">
        <w:t>mination</w:t>
      </w:r>
    </w:p>
    <w:p w:rsidR="00000000" w:rsidRPr="00A21838" w:rsidP="00A21838">
      <w:pPr>
        <w:pStyle w:val="ListBullet"/>
      </w:pPr>
      <w:r w:rsidRPr="00A21838">
        <w:t>quality</w:t>
      </w:r>
    </w:p>
    <w:p w:rsidR="00000000" w:rsidRPr="00A21838" w:rsidP="00A21838">
      <w:pPr>
        <w:pStyle w:val="ListBullet"/>
      </w:pPr>
      <w:r w:rsidRPr="00A21838">
        <w:t>shape</w:t>
      </w:r>
    </w:p>
    <w:p w:rsidR="00000000" w:rsidRPr="00A21838" w:rsidP="00A21838">
      <w:pPr>
        <w:pStyle w:val="ListBullet"/>
      </w:pPr>
      <w:r w:rsidRPr="00A21838">
        <w:t>size</w:t>
      </w:r>
    </w:p>
    <w:p w:rsidR="00000000" w:rsidRPr="00A21838" w:rsidP="00A21838">
      <w:pPr>
        <w:pStyle w:val="ListBullet"/>
      </w:pPr>
      <w:r w:rsidRPr="00A21838">
        <w:t>volume</w:t>
      </w:r>
    </w:p>
    <w:p w:rsidR="00000000" w:rsidRPr="00A21838" w:rsidP="00A21838">
      <w:pPr>
        <w:pStyle w:val="ListBullet"/>
      </w:pPr>
      <w:r w:rsidRPr="00A21838">
        <w:t>weight.</w:t>
      </w:r>
    </w:p>
    <w:p w:rsidR="00000000" w:rsidRPr="00A21838" w:rsidP="00A21838">
      <w:pPr>
        <w:pStyle w:val="BodyText"/>
      </w:pPr>
      <w:r w:rsidRPr="00A21838">
        <w:rPr>
          <w:rStyle w:val="SpecialBold"/>
        </w:rPr>
        <w:t>Waste non-conformances</w:t>
      </w:r>
      <w:r w:rsidRPr="00A21838">
        <w:t xml:space="preserve"> include contamination, inferior quality and unacceptable waste streams.</w:t>
      </w:r>
    </w:p>
    <w:p w:rsidR="00000000" w:rsidRPr="00A21838" w:rsidP="00A21838">
      <w:pPr>
        <w:pStyle w:val="BodyText"/>
      </w:pPr>
      <w:r w:rsidRPr="00A21838">
        <w:rPr>
          <w:rStyle w:val="SpecialBold"/>
        </w:rPr>
        <w:t>Waste receival schedule</w:t>
      </w:r>
      <w:r w:rsidRPr="00A21838">
        <w:t xml:space="preserve"> may include:</w:t>
      </w:r>
    </w:p>
    <w:p w:rsidR="00000000" w:rsidRPr="00A21838" w:rsidP="00A21838">
      <w:pPr>
        <w:pStyle w:val="ListBullet"/>
      </w:pPr>
      <w:r w:rsidRPr="00A21838">
        <w:t>characteristics</w:t>
      </w:r>
    </w:p>
    <w:p w:rsidR="00000000" w:rsidRPr="00A21838" w:rsidP="00A21838">
      <w:pPr>
        <w:pStyle w:val="ListBullet"/>
      </w:pPr>
      <w:r w:rsidRPr="00A21838">
        <w:t>classification</w:t>
      </w:r>
    </w:p>
    <w:p w:rsidR="00000000" w:rsidRPr="00A21838" w:rsidP="00A21838">
      <w:pPr>
        <w:pStyle w:val="ListBullet"/>
      </w:pPr>
      <w:r w:rsidRPr="00A21838">
        <w:t>client details and requirements</w:t>
      </w:r>
    </w:p>
    <w:p w:rsidR="00000000" w:rsidRPr="00A21838" w:rsidP="00A21838">
      <w:pPr>
        <w:pStyle w:val="ListBullet"/>
      </w:pPr>
      <w:r w:rsidRPr="00A21838">
        <w:t>emergency and personal protective equipment requirements</w:t>
      </w:r>
    </w:p>
    <w:p w:rsidR="00000000" w:rsidRPr="00A21838" w:rsidP="00A21838">
      <w:pPr>
        <w:pStyle w:val="ListBullet"/>
      </w:pPr>
      <w:r w:rsidRPr="00A21838">
        <w:t>job sequence and delivery times</w:t>
      </w:r>
    </w:p>
    <w:p w:rsidR="00000000" w:rsidRPr="00A21838" w:rsidP="00A21838">
      <w:pPr>
        <w:pStyle w:val="ListBullet"/>
      </w:pPr>
      <w:r w:rsidRPr="00A21838">
        <w:t>measurement and recording requirements</w:t>
      </w:r>
    </w:p>
    <w:p w:rsidR="00000000" w:rsidRPr="00A21838" w:rsidP="00A21838">
      <w:pPr>
        <w:pStyle w:val="ListBullet"/>
      </w:pPr>
      <w:r w:rsidRPr="00A21838">
        <w:t>personnel requirements</w:t>
      </w:r>
    </w:p>
    <w:p w:rsidR="00000000" w:rsidRPr="00A21838" w:rsidP="00A21838">
      <w:pPr>
        <w:pStyle w:val="ListBullet"/>
      </w:pPr>
      <w:r w:rsidRPr="00A21838">
        <w:t>sampling requirements</w:t>
      </w:r>
    </w:p>
    <w:p w:rsidR="00000000" w:rsidRPr="00A21838" w:rsidP="00A21838">
      <w:pPr>
        <w:pStyle w:val="ListBullet"/>
      </w:pPr>
      <w:r w:rsidRPr="00A21838">
        <w:t>site requirements</w:t>
      </w:r>
    </w:p>
    <w:p w:rsidR="00000000" w:rsidRPr="00A21838" w:rsidP="00A21838">
      <w:pPr>
        <w:pStyle w:val="ListBullet"/>
      </w:pPr>
      <w:r w:rsidRPr="00A21838">
        <w:t>unloading requirements</w:t>
      </w:r>
    </w:p>
    <w:p w:rsidR="00000000" w:rsidRPr="00A21838" w:rsidP="00A21838">
      <w:pPr>
        <w:pStyle w:val="ListBullet"/>
      </w:pPr>
      <w:r w:rsidRPr="00A21838">
        <w:t>vehicle and associated equipment requireme</w:t>
      </w:r>
      <w:r w:rsidRPr="00A21838">
        <w:t>nts</w:t>
      </w:r>
    </w:p>
    <w:p w:rsidR="00000000" w:rsidRPr="00A21838" w:rsidP="00A21838">
      <w:pPr>
        <w:pStyle w:val="ListBullet"/>
      </w:pPr>
      <w:r w:rsidRPr="00A21838">
        <w:t>waste type</w:t>
      </w:r>
    </w:p>
    <w:p w:rsidR="00000000" w:rsidRPr="00A21838" w:rsidP="00A21838">
      <w:pPr>
        <w:pStyle w:val="ListBullet"/>
      </w:pPr>
      <w:r w:rsidRPr="00A21838">
        <w:t>work schedule.</w:t>
      </w:r>
    </w:p>
    <w:p w:rsidR="00000000" w:rsidRPr="00A21838" w:rsidP="00A21838">
      <w:pPr>
        <w:pStyle w:val="BodyText"/>
      </w:pPr>
      <w:r w:rsidRPr="00A21838">
        <w:rPr>
          <w:rStyle w:val="SpecialBold"/>
        </w:rPr>
        <w:t>Waste receival sites</w:t>
      </w:r>
      <w:r w:rsidRPr="00A21838">
        <w:t xml:space="preserve"> include composting facility, landfill site, materials recovery facility, transfer station, treatment site, waste generator's site and waste processing plant.</w:t>
      </w:r>
    </w:p>
    <w:p w:rsidR="00000000" w:rsidRPr="00A21838" w:rsidP="00A21838">
      <w:pPr>
        <w:pStyle w:val="BodyText"/>
      </w:pPr>
      <w:r w:rsidRPr="00A21838">
        <w:rPr>
          <w:rStyle w:val="SpecialBold"/>
        </w:rPr>
        <w:t>Waste types</w:t>
      </w:r>
      <w:r w:rsidRPr="00A21838">
        <w:t xml:space="preserve"> include:</w:t>
      </w:r>
    </w:p>
    <w:p w:rsidR="00000000" w:rsidRPr="00A21838" w:rsidP="00A21838">
      <w:pPr>
        <w:pStyle w:val="ListBullet"/>
      </w:pPr>
      <w:r w:rsidRPr="00A21838">
        <w:t>solid (non-hazardous) e.g</w:t>
      </w:r>
      <w:r w:rsidRPr="00A21838">
        <w:t>. construction and demolition</w:t>
      </w:r>
    </w:p>
    <w:p w:rsidR="00000000" w:rsidRPr="00A21838" w:rsidP="00A21838">
      <w:pPr>
        <w:pStyle w:val="ListBullet"/>
      </w:pPr>
      <w:r w:rsidRPr="00A21838">
        <w:t>liquid (non-hazardous) e.g. chemical and aqueous</w:t>
      </w:r>
    </w:p>
    <w:p w:rsidR="00000000" w:rsidRPr="00A21838" w:rsidP="00A21838">
      <w:pPr>
        <w:pStyle w:val="ListBullet"/>
      </w:pPr>
      <w:r w:rsidRPr="00A21838">
        <w:t>hazardous - regulated, prescribed, quarantined, medical and clinical</w:t>
      </w:r>
    </w:p>
    <w:p w:rsidR="002513D6" w:rsidP="00A21838">
      <w:pPr>
        <w:pStyle w:val="ListBullet"/>
      </w:pPr>
      <w:r w:rsidRPr="00A21838">
        <w:t>recoverable resources e.g. recyclable and green waste.</w:t>
      </w:r>
    </w:p>
    <w:p w:rsidR="002513D6" w:rsidP="00A21838">
      <w:pPr>
        <w:pStyle w:val="ListBullet"/>
      </w:pPr>
    </w:p>
    <w:p w:rsidR="00000000" w:rsidRPr="00A21838" w:rsidP="00A21838">
      <w:pPr>
        <w:pStyle w:val="Heading1"/>
      </w:pPr>
      <w:bookmarkStart w:id="12" w:name="O_295515"/>
      <w:bookmarkEnd w:id="12"/>
      <w:r w:rsidRPr="00A21838">
        <w:t>Unit Sector(s)</w:t>
      </w:r>
    </w:p>
    <w:p w:rsidR="00000000" w:rsidRPr="00A21838" w:rsidP="00A21838">
      <w:pPr>
        <w:pStyle w:val="BodyText"/>
      </w:pPr>
      <w:r w:rsidRPr="00A21838">
        <w:t>Not Applicable</w:t>
      </w:r>
    </w:p>
    <w:p w:rsidR="00000000" w:rsidRPr="00A21838" w:rsidP="00A21838"/>
    <w:sectPr w:rsidSect="00A2183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8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513D6" w:rsidP="002513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8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3D6" w:rsidP="00A218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513D6" w:rsidP="00A2183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2513D6" w:rsidP="00A2183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8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513D6" w:rsidP="002513D6">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8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3D6" w:rsidP="00A21838">
    <w:pPr>
      <w:pStyle w:val="Header"/>
      <w:framePr w:wrap="around"/>
    </w:pPr>
    <w:r>
      <w:fldChar w:fldCharType="begin"/>
    </w:r>
    <w:r>
      <w:instrText xml:space="preserve"> TITLE   \* MERGEFORMAT </w:instrText>
    </w:r>
    <w:r>
      <w:fldChar w:fldCharType="separate"/>
    </w:r>
    <w:r>
      <w:t>PRMWM13B Receive waste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513D6" w:rsidP="00A2183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75079E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52C598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183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21838"/>
    <w:pPr>
      <w:spacing w:before="360" w:after="60"/>
      <w:outlineLvl w:val="0"/>
    </w:pPr>
    <w:rPr>
      <w:sz w:val="32"/>
    </w:rPr>
  </w:style>
  <w:style w:type="paragraph" w:styleId="Heading2">
    <w:name w:val="heading 2"/>
    <w:basedOn w:val="HeadingBase"/>
    <w:next w:val="BodyText"/>
    <w:link w:val="Heading2Char"/>
    <w:qFormat/>
    <w:rsid w:val="00A21838"/>
    <w:pPr>
      <w:keepLines/>
      <w:spacing w:before="240" w:after="120"/>
      <w:outlineLvl w:val="1"/>
    </w:pPr>
    <w:rPr>
      <w:sz w:val="28"/>
      <w:szCs w:val="40"/>
    </w:rPr>
  </w:style>
  <w:style w:type="paragraph" w:styleId="Heading3">
    <w:name w:val="heading 3"/>
    <w:basedOn w:val="HeadingBase"/>
    <w:next w:val="BodyText"/>
    <w:link w:val="Heading3Char"/>
    <w:qFormat/>
    <w:rsid w:val="00A21838"/>
    <w:pPr>
      <w:spacing w:before="180" w:after="120"/>
      <w:outlineLvl w:val="2"/>
    </w:pPr>
    <w:rPr>
      <w:spacing w:val="-10"/>
      <w:kern w:val="32"/>
    </w:rPr>
  </w:style>
  <w:style w:type="paragraph" w:styleId="Heading4">
    <w:name w:val="heading 4"/>
    <w:basedOn w:val="HeadingBase"/>
    <w:next w:val="BodyText"/>
    <w:link w:val="Heading4Char"/>
    <w:qFormat/>
    <w:rsid w:val="00A21838"/>
    <w:pPr>
      <w:spacing w:before="160" w:after="120"/>
      <w:outlineLvl w:val="3"/>
    </w:pPr>
    <w:rPr>
      <w:sz w:val="22"/>
    </w:rPr>
  </w:style>
  <w:style w:type="paragraph" w:styleId="Heading5">
    <w:name w:val="heading 5"/>
    <w:basedOn w:val="HeadingBase"/>
    <w:next w:val="Normal"/>
    <w:link w:val="Heading5Char"/>
    <w:qFormat/>
    <w:rsid w:val="00A21838"/>
    <w:pPr>
      <w:spacing w:before="80"/>
      <w:outlineLvl w:val="4"/>
    </w:pPr>
    <w:rPr>
      <w:color w:val="918585"/>
      <w:sz w:val="20"/>
    </w:rPr>
  </w:style>
  <w:style w:type="paragraph" w:styleId="Heading6">
    <w:name w:val="heading 6"/>
    <w:basedOn w:val="HeadingBase"/>
    <w:next w:val="Normal"/>
    <w:link w:val="Heading6Char"/>
    <w:qFormat/>
    <w:rsid w:val="00A21838"/>
    <w:pPr>
      <w:spacing w:before="60"/>
      <w:outlineLvl w:val="5"/>
    </w:pPr>
    <w:rPr>
      <w:color w:val="918585"/>
      <w:sz w:val="20"/>
    </w:rPr>
  </w:style>
  <w:style w:type="paragraph" w:styleId="Heading7">
    <w:name w:val="heading 7"/>
    <w:basedOn w:val="Normal"/>
    <w:next w:val="Normal"/>
    <w:link w:val="Heading7Char"/>
    <w:qFormat/>
    <w:rsid w:val="00A21838"/>
    <w:pPr>
      <w:ind w:left="720"/>
      <w:outlineLvl w:val="6"/>
    </w:pPr>
    <w:rPr>
      <w:i/>
    </w:rPr>
  </w:style>
  <w:style w:type="paragraph" w:styleId="Heading8">
    <w:name w:val="heading 8"/>
    <w:basedOn w:val="Normal"/>
    <w:next w:val="Normal"/>
    <w:link w:val="Heading8Char"/>
    <w:qFormat/>
    <w:rsid w:val="00A21838"/>
    <w:pPr>
      <w:ind w:left="720"/>
      <w:outlineLvl w:val="7"/>
    </w:pPr>
    <w:rPr>
      <w:i/>
    </w:rPr>
  </w:style>
  <w:style w:type="paragraph" w:styleId="Heading9">
    <w:name w:val="heading 9"/>
    <w:basedOn w:val="Normal"/>
    <w:next w:val="Normal"/>
    <w:link w:val="Heading9Char"/>
    <w:qFormat/>
    <w:rsid w:val="00A21838"/>
    <w:pPr>
      <w:ind w:left="720"/>
      <w:outlineLvl w:val="8"/>
    </w:pPr>
    <w:rPr>
      <w:i/>
    </w:rPr>
  </w:style>
  <w:style w:type="character" w:default="1" w:styleId="DefaultParagraphFont">
    <w:name w:val="Default Paragraph Font"/>
    <w:uiPriority w:val="1"/>
    <w:unhideWhenUsed/>
    <w:rsid w:val="00A218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1838"/>
  </w:style>
  <w:style w:type="character" w:customStyle="1" w:styleId="Heading1Char">
    <w:name w:val="Heading 1 Char"/>
    <w:basedOn w:val="DefaultParagraphFont"/>
    <w:link w:val="Heading1"/>
    <w:rsid w:val="00A21838"/>
    <w:rPr>
      <w:rFonts w:ascii="Times New Roman" w:eastAsia="Times New Roman" w:hAnsi="Times New Roman" w:cs="Times New Roman"/>
      <w:b/>
      <w:sz w:val="32"/>
      <w:szCs w:val="20"/>
      <w:lang w:eastAsia="en-US"/>
    </w:rPr>
  </w:style>
  <w:style w:type="paragraph" w:styleId="BodyText">
    <w:name w:val="Body Text"/>
    <w:basedOn w:val="Normal"/>
    <w:link w:val="BodyTextChar"/>
    <w:rsid w:val="00A2183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21838"/>
    <w:rPr>
      <w:rFonts w:ascii="Times New Roman" w:eastAsia="Times New Roman" w:hAnsi="Times New Roman" w:cs="Times New Roman"/>
      <w:sz w:val="24"/>
      <w:lang w:val="en-US" w:eastAsia="en-US"/>
    </w:rPr>
  </w:style>
  <w:style w:type="paragraph" w:styleId="Footer">
    <w:name w:val="footer"/>
    <w:basedOn w:val="Normal"/>
    <w:link w:val="FooterChar"/>
    <w:rsid w:val="00A218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1838"/>
    <w:rPr>
      <w:rFonts w:ascii="Times New Roman" w:eastAsia="Times New Roman" w:hAnsi="Times New Roman" w:cs="Times New Roman"/>
      <w:sz w:val="16"/>
      <w:lang w:val="en-US" w:eastAsia="en-US"/>
    </w:rPr>
  </w:style>
  <w:style w:type="paragraph" w:styleId="List">
    <w:name w:val="List"/>
    <w:basedOn w:val="BodyText"/>
    <w:next w:val="BodyText"/>
    <w:rsid w:val="00A21838"/>
    <w:pPr>
      <w:tabs>
        <w:tab w:val="left" w:pos="340"/>
      </w:tabs>
      <w:spacing w:before="60" w:after="60"/>
      <w:ind w:left="340" w:hanging="340"/>
    </w:pPr>
  </w:style>
  <w:style w:type="paragraph" w:styleId="ListBullet">
    <w:name w:val="List Bullet"/>
    <w:basedOn w:val="List"/>
    <w:rsid w:val="00A21838"/>
    <w:pPr>
      <w:numPr>
        <w:numId w:val="12"/>
      </w:numPr>
      <w:tabs>
        <w:tab w:val="clear" w:pos="340"/>
      </w:tabs>
      <w:spacing w:before="40" w:after="40"/>
    </w:pPr>
  </w:style>
  <w:style w:type="character" w:customStyle="1" w:styleId="SpecialBold">
    <w:name w:val="Special Bold"/>
    <w:basedOn w:val="DefaultParagraphFont"/>
    <w:rsid w:val="00A21838"/>
    <w:rPr>
      <w:b/>
      <w:spacing w:val="0"/>
    </w:rPr>
  </w:style>
  <w:style w:type="paragraph" w:styleId="Header">
    <w:name w:val="header"/>
    <w:basedOn w:val="Normal"/>
    <w:link w:val="HeaderChar"/>
    <w:rsid w:val="00A218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1838"/>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A21838"/>
    <w:rPr>
      <w:i/>
    </w:rPr>
  </w:style>
  <w:style w:type="paragraph" w:customStyle="1" w:styleId="SuperHeading">
    <w:name w:val="SuperHeading"/>
    <w:basedOn w:val="Normal"/>
    <w:rsid w:val="00A21838"/>
    <w:pPr>
      <w:spacing w:before="240" w:after="120"/>
      <w:outlineLvl w:val="0"/>
    </w:pPr>
    <w:rPr>
      <w:rFonts w:ascii="Times New Roman" w:hAnsi="Times New Roman"/>
      <w:b/>
      <w:sz w:val="28"/>
    </w:rPr>
  </w:style>
  <w:style w:type="paragraph" w:customStyle="1" w:styleId="AllowPageBreak">
    <w:name w:val="AllowPageBreak"/>
    <w:rsid w:val="00A2183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218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18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18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18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18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183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2183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21838"/>
    <w:rPr>
      <w:rFonts w:ascii="Courier New" w:eastAsia="Times New Roman" w:hAnsi="Courier New" w:cs="Times New Roman"/>
      <w:i/>
      <w:szCs w:val="20"/>
      <w:lang w:val="en-US" w:eastAsia="en-US"/>
    </w:rPr>
  </w:style>
  <w:style w:type="paragraph" w:customStyle="1" w:styleId="HeadingBase">
    <w:name w:val="Heading Base"/>
    <w:rsid w:val="00A218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1838"/>
    <w:pPr>
      <w:tabs>
        <w:tab w:val="right" w:leader="dot" w:pos="9072"/>
      </w:tabs>
      <w:ind w:left="567"/>
    </w:pPr>
    <w:rPr>
      <w:szCs w:val="22"/>
    </w:rPr>
  </w:style>
  <w:style w:type="paragraph" w:customStyle="1" w:styleId="TOCBase">
    <w:name w:val="TOC Base"/>
    <w:rsid w:val="00A218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1838"/>
    <w:pPr>
      <w:tabs>
        <w:tab w:val="right" w:leader="dot" w:pos="9072"/>
      </w:tabs>
      <w:spacing w:before="40" w:after="40"/>
      <w:ind w:left="284"/>
    </w:pPr>
    <w:rPr>
      <w:rFonts w:ascii="Times New Roman" w:hAnsi="Times New Roman"/>
    </w:rPr>
  </w:style>
  <w:style w:type="paragraph" w:styleId="TOC1">
    <w:name w:val="toc 1"/>
    <w:basedOn w:val="TOCBase"/>
    <w:next w:val="Normal"/>
    <w:rsid w:val="00A2183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21838"/>
    <w:pPr>
      <w:spacing w:before="5040"/>
      <w:jc w:val="center"/>
    </w:pPr>
    <w:rPr>
      <w:sz w:val="48"/>
      <w:szCs w:val="72"/>
      <w:lang w:val="en-US"/>
    </w:rPr>
  </w:style>
  <w:style w:type="character" w:customStyle="1" w:styleId="TitleChar">
    <w:name w:val="Title Char"/>
    <w:basedOn w:val="DefaultParagraphFont"/>
    <w:link w:val="Title"/>
    <w:rsid w:val="00A218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1838"/>
    <w:pPr>
      <w:tabs>
        <w:tab w:val="left" w:pos="3600"/>
        <w:tab w:val="left" w:pos="3958"/>
      </w:tabs>
    </w:pPr>
  </w:style>
  <w:style w:type="paragraph" w:customStyle="1" w:styleId="Note">
    <w:name w:val="Note"/>
    <w:basedOn w:val="BodyText"/>
    <w:rsid w:val="00A218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1838"/>
    <w:pPr>
      <w:framePr w:wrap="auto" w:hAnchor="text" w:y="6049"/>
    </w:pPr>
    <w:rPr>
      <w:color w:val="000000"/>
      <w:sz w:val="40"/>
    </w:rPr>
  </w:style>
  <w:style w:type="paragraph" w:customStyle="1" w:styleId="TOCTitle">
    <w:name w:val="TOCTitle"/>
    <w:basedOn w:val="Heading1"/>
    <w:rsid w:val="00A21838"/>
    <w:pPr>
      <w:spacing w:after="240"/>
      <w:jc w:val="center"/>
      <w:outlineLvl w:val="9"/>
    </w:pPr>
    <w:rPr>
      <w:caps/>
    </w:rPr>
  </w:style>
  <w:style w:type="paragraph" w:customStyle="1" w:styleId="Version">
    <w:name w:val="Version"/>
    <w:rsid w:val="00A2183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21838"/>
    <w:pPr>
      <w:numPr>
        <w:numId w:val="13"/>
      </w:numPr>
      <w:tabs>
        <w:tab w:val="clear" w:pos="680"/>
      </w:tabs>
    </w:pPr>
  </w:style>
  <w:style w:type="paragraph" w:styleId="Index1">
    <w:name w:val="index 1"/>
    <w:basedOn w:val="Normal"/>
    <w:next w:val="Normal"/>
    <w:semiHidden/>
    <w:rsid w:val="00A21838"/>
    <w:pPr>
      <w:keepNext w:val="0"/>
      <w:tabs>
        <w:tab w:val="right" w:pos="4176"/>
      </w:tabs>
      <w:ind w:left="198" w:hanging="198"/>
    </w:pPr>
    <w:rPr>
      <w:rFonts w:ascii="Garamond" w:hAnsi="Garamond"/>
    </w:rPr>
  </w:style>
  <w:style w:type="paragraph" w:styleId="IndexHeading">
    <w:name w:val="index heading"/>
    <w:basedOn w:val="Normal"/>
    <w:next w:val="Index1"/>
    <w:semiHidden/>
    <w:rsid w:val="00A21838"/>
    <w:pPr>
      <w:spacing w:before="120" w:after="120"/>
    </w:pPr>
    <w:rPr>
      <w:rFonts w:ascii="Arial" w:hAnsi="Arial"/>
      <w:b/>
      <w:color w:val="918585"/>
      <w:sz w:val="24"/>
    </w:rPr>
  </w:style>
  <w:style w:type="paragraph" w:customStyle="1" w:styleId="Chapter">
    <w:name w:val="Chapter"/>
    <w:basedOn w:val="Normal"/>
    <w:rsid w:val="00A21838"/>
    <w:pPr>
      <w:spacing w:before="240"/>
    </w:pPr>
    <w:rPr>
      <w:rFonts w:ascii="Times New Roman" w:hAnsi="Times New Roman"/>
      <w:smallCaps/>
      <w:spacing w:val="80"/>
      <w:sz w:val="28"/>
    </w:rPr>
  </w:style>
  <w:style w:type="paragraph" w:customStyle="1" w:styleId="InChapter">
    <w:name w:val="InChapter"/>
    <w:basedOn w:val="Heading3"/>
    <w:rsid w:val="00A21838"/>
    <w:pPr>
      <w:spacing w:after="240"/>
      <w:outlineLvl w:val="9"/>
    </w:pPr>
    <w:rPr>
      <w:noProof/>
    </w:rPr>
  </w:style>
  <w:style w:type="paragraph" w:styleId="Index2">
    <w:name w:val="index 2"/>
    <w:basedOn w:val="Normal"/>
    <w:next w:val="Normal"/>
    <w:semiHidden/>
    <w:rsid w:val="00A21838"/>
    <w:pPr>
      <w:tabs>
        <w:tab w:val="right" w:pos="4176"/>
      </w:tabs>
      <w:ind w:left="568" w:hanging="284"/>
    </w:pPr>
    <w:rPr>
      <w:rFonts w:ascii="Garamond" w:hAnsi="Garamond"/>
    </w:rPr>
  </w:style>
  <w:style w:type="paragraph" w:customStyle="1" w:styleId="Byline">
    <w:name w:val="Byline"/>
    <w:rsid w:val="00A218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1838"/>
    <w:pPr>
      <w:tabs>
        <w:tab w:val="clear" w:pos="3600"/>
        <w:tab w:val="clear" w:pos="3958"/>
      </w:tabs>
      <w:jc w:val="right"/>
    </w:pPr>
  </w:style>
  <w:style w:type="paragraph" w:styleId="Caption">
    <w:name w:val="caption"/>
    <w:basedOn w:val="BodyText"/>
    <w:next w:val="Normal"/>
    <w:qFormat/>
    <w:rsid w:val="00A21838"/>
    <w:pPr>
      <w:framePr w:w="2268" w:hSpace="181" w:vSpace="181" w:wrap="around" w:vAnchor="text" w:hAnchor="page" w:x="1135" w:y="285" w:anchorLock="1"/>
    </w:pPr>
    <w:rPr>
      <w:i/>
    </w:rPr>
  </w:style>
  <w:style w:type="paragraph" w:customStyle="1" w:styleId="MiniTOCTitle">
    <w:name w:val="MiniTOCTitle"/>
    <w:basedOn w:val="Heading4"/>
    <w:rsid w:val="00A21838"/>
    <w:pPr>
      <w:spacing w:before="240"/>
      <w:outlineLvl w:val="9"/>
    </w:pPr>
    <w:rPr>
      <w:noProof/>
      <w:sz w:val="24"/>
    </w:rPr>
  </w:style>
  <w:style w:type="paragraph" w:customStyle="1" w:styleId="MiniTOCItem">
    <w:name w:val="MiniTOCItem"/>
    <w:basedOn w:val="ListBullet"/>
    <w:rsid w:val="00A21838"/>
    <w:pPr>
      <w:numPr>
        <w:numId w:val="0"/>
      </w:numPr>
      <w:tabs>
        <w:tab w:val="right" w:leader="dot" w:pos="6521"/>
      </w:tabs>
      <w:spacing w:before="0" w:after="0"/>
    </w:pPr>
  </w:style>
  <w:style w:type="paragraph" w:customStyle="1" w:styleId="TOFTitle">
    <w:name w:val="TOFTitle"/>
    <w:basedOn w:val="TOCTitle"/>
    <w:rsid w:val="00A21838"/>
  </w:style>
  <w:style w:type="paragraph" w:styleId="TableofFigures">
    <w:name w:val="table of figures"/>
    <w:basedOn w:val="Normal"/>
    <w:next w:val="Normal"/>
    <w:semiHidden/>
    <w:rsid w:val="00A21838"/>
    <w:pPr>
      <w:tabs>
        <w:tab w:val="right" w:leader="dot" w:pos="9072"/>
      </w:tabs>
      <w:ind w:left="970" w:hanging="403"/>
    </w:pPr>
    <w:rPr>
      <w:rFonts w:ascii="Times New Roman" w:hAnsi="Times New Roman"/>
      <w:b/>
    </w:rPr>
  </w:style>
  <w:style w:type="paragraph" w:styleId="ListNumber">
    <w:name w:val="List Number"/>
    <w:basedOn w:val="List"/>
    <w:rsid w:val="00A21838"/>
    <w:pPr>
      <w:numPr>
        <w:numId w:val="10"/>
      </w:numPr>
    </w:pPr>
  </w:style>
  <w:style w:type="character" w:customStyle="1" w:styleId="WingdingSymbols">
    <w:name w:val="Wingding Symbols"/>
    <w:rsid w:val="00A21838"/>
    <w:rPr>
      <w:rFonts w:ascii="Wingdings" w:hAnsi="Wingdings"/>
    </w:rPr>
  </w:style>
  <w:style w:type="paragraph" w:customStyle="1" w:styleId="TableHeading">
    <w:name w:val="Table Heading"/>
    <w:basedOn w:val="HeadingBase"/>
    <w:rsid w:val="00A21838"/>
    <w:pPr>
      <w:keepLines/>
      <w:pBdr>
        <w:bottom w:val="single" w:sz="6" w:space="1" w:color="918585"/>
      </w:pBdr>
      <w:spacing w:before="240"/>
    </w:pPr>
  </w:style>
  <w:style w:type="character" w:customStyle="1" w:styleId="HotSpot">
    <w:name w:val="HotSpot"/>
    <w:rsid w:val="00A21838"/>
    <w:rPr>
      <w:color w:val="0033CC"/>
      <w:u w:val="none"/>
    </w:rPr>
  </w:style>
  <w:style w:type="paragraph" w:customStyle="1" w:styleId="BodyTextRight">
    <w:name w:val="Body Text Right"/>
    <w:basedOn w:val="BodyText"/>
    <w:rsid w:val="00A21838"/>
    <w:pPr>
      <w:spacing w:before="0" w:after="0"/>
      <w:jc w:val="right"/>
    </w:pPr>
  </w:style>
  <w:style w:type="paragraph" w:styleId="Index3">
    <w:name w:val="index 3"/>
    <w:basedOn w:val="ListNumber2"/>
    <w:next w:val="Normal"/>
    <w:semiHidden/>
    <w:rsid w:val="00A21838"/>
    <w:pPr>
      <w:numPr>
        <w:numId w:val="0"/>
      </w:numPr>
      <w:tabs>
        <w:tab w:val="right" w:leader="dot" w:pos="4176"/>
      </w:tabs>
    </w:pPr>
  </w:style>
  <w:style w:type="paragraph" w:styleId="ListNumber2">
    <w:name w:val="List Number 2"/>
    <w:basedOn w:val="List2"/>
    <w:rsid w:val="00A21838"/>
    <w:pPr>
      <w:numPr>
        <w:numId w:val="9"/>
      </w:numPr>
      <w:tabs>
        <w:tab w:val="clear" w:pos="1060"/>
      </w:tabs>
    </w:pPr>
  </w:style>
  <w:style w:type="paragraph" w:customStyle="1" w:styleId="MarginNote">
    <w:name w:val="Margin Note"/>
    <w:basedOn w:val="BodyText"/>
    <w:rsid w:val="00A218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18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183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21838"/>
    <w:rPr>
      <w:sz w:val="32"/>
    </w:rPr>
  </w:style>
  <w:style w:type="paragraph" w:customStyle="1" w:styleId="HeadingProcedure">
    <w:name w:val="Heading Procedure"/>
    <w:basedOn w:val="HeadingBase"/>
    <w:next w:val="Normal"/>
    <w:rsid w:val="00A21838"/>
    <w:pPr>
      <w:tabs>
        <w:tab w:val="left" w:pos="0"/>
      </w:tabs>
      <w:spacing w:before="120" w:after="60"/>
    </w:pPr>
    <w:rPr>
      <w:i/>
      <w:color w:val="918585"/>
      <w:sz w:val="22"/>
    </w:rPr>
  </w:style>
  <w:style w:type="paragraph" w:customStyle="1" w:styleId="TableBodyText">
    <w:name w:val="Table Body Text"/>
    <w:basedOn w:val="BodyText"/>
    <w:rsid w:val="00A21838"/>
    <w:pPr>
      <w:spacing w:before="60" w:after="60"/>
    </w:pPr>
  </w:style>
  <w:style w:type="paragraph" w:styleId="ListContinue">
    <w:name w:val="List Continue"/>
    <w:basedOn w:val="List"/>
    <w:rsid w:val="00A21838"/>
    <w:pPr>
      <w:ind w:firstLine="0"/>
    </w:pPr>
  </w:style>
  <w:style w:type="paragraph" w:customStyle="1" w:styleId="ListNote">
    <w:name w:val="List Note"/>
    <w:basedOn w:val="List"/>
    <w:rsid w:val="00A21838"/>
    <w:pPr>
      <w:pBdr>
        <w:top w:val="single" w:sz="6" w:space="2" w:color="918585"/>
        <w:bottom w:val="single" w:sz="6" w:space="2" w:color="918585"/>
      </w:pBdr>
      <w:tabs>
        <w:tab w:val="left" w:pos="1021"/>
      </w:tabs>
      <w:ind w:firstLine="0"/>
    </w:pPr>
  </w:style>
  <w:style w:type="paragraph" w:customStyle="1" w:styleId="Warning">
    <w:name w:val="Warning"/>
    <w:basedOn w:val="BodyText"/>
    <w:rsid w:val="00A21838"/>
    <w:pPr>
      <w:shd w:val="clear" w:color="auto" w:fill="D9D9D9"/>
      <w:tabs>
        <w:tab w:val="left" w:pos="992"/>
      </w:tabs>
      <w:ind w:left="119" w:right="119"/>
    </w:pPr>
    <w:rPr>
      <w:sz w:val="20"/>
    </w:rPr>
  </w:style>
  <w:style w:type="paragraph" w:customStyle="1" w:styleId="MarginIcons">
    <w:name w:val="Margin Icons"/>
    <w:basedOn w:val="BodyText"/>
    <w:rsid w:val="00A218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1838"/>
    <w:rPr>
      <w:rFonts w:ascii="Courier New" w:hAnsi="Courier New"/>
    </w:rPr>
  </w:style>
  <w:style w:type="paragraph" w:customStyle="1" w:styleId="NoteBullet">
    <w:name w:val="Note Bullet"/>
    <w:basedOn w:val="Note"/>
    <w:rsid w:val="00A21838"/>
    <w:pPr>
      <w:tabs>
        <w:tab w:val="clear" w:pos="680"/>
      </w:tabs>
      <w:spacing w:before="60" w:after="60"/>
    </w:pPr>
  </w:style>
  <w:style w:type="paragraph" w:customStyle="1" w:styleId="SubHeading2">
    <w:name w:val="SubHeading2"/>
    <w:basedOn w:val="HeadingBase"/>
    <w:rsid w:val="00A21838"/>
    <w:pPr>
      <w:spacing w:before="240" w:after="60"/>
    </w:pPr>
    <w:rPr>
      <w:sz w:val="20"/>
    </w:rPr>
  </w:style>
  <w:style w:type="paragraph" w:customStyle="1" w:styleId="SubHeading1">
    <w:name w:val="SubHeading1"/>
    <w:basedOn w:val="HeadingBase"/>
    <w:rsid w:val="00A21838"/>
    <w:pPr>
      <w:spacing w:before="240" w:after="60"/>
    </w:pPr>
    <w:rPr>
      <w:color w:val="918585"/>
      <w:sz w:val="22"/>
    </w:rPr>
  </w:style>
  <w:style w:type="paragraph" w:customStyle="1" w:styleId="SideHeading">
    <w:name w:val="Side Heading"/>
    <w:basedOn w:val="HeadingBase"/>
    <w:rsid w:val="00A218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1838"/>
    <w:pPr>
      <w:tabs>
        <w:tab w:val="num" w:pos="360"/>
      </w:tabs>
    </w:pPr>
  </w:style>
  <w:style w:type="paragraph" w:styleId="PlainText">
    <w:name w:val="Plain Text"/>
    <w:basedOn w:val="Normal"/>
    <w:link w:val="PlainTextChar"/>
    <w:rsid w:val="00A21838"/>
    <w:rPr>
      <w:sz w:val="20"/>
    </w:rPr>
  </w:style>
  <w:style w:type="character" w:customStyle="1" w:styleId="PlainTextChar">
    <w:name w:val="Plain Text Char"/>
    <w:basedOn w:val="DefaultParagraphFont"/>
    <w:link w:val="PlainText"/>
    <w:rsid w:val="00A2183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21838"/>
    <w:rPr>
      <w:b/>
      <w:smallCaps/>
    </w:rPr>
  </w:style>
  <w:style w:type="paragraph" w:customStyle="1" w:styleId="TableListNumber">
    <w:name w:val="Table List Number"/>
    <w:basedOn w:val="ListNumber"/>
    <w:rsid w:val="00A21838"/>
    <w:pPr>
      <w:numPr>
        <w:numId w:val="0"/>
      </w:numPr>
    </w:pPr>
  </w:style>
  <w:style w:type="paragraph" w:styleId="TOC4">
    <w:name w:val="toc 4"/>
    <w:basedOn w:val="TOCBase"/>
    <w:next w:val="Normal"/>
    <w:semiHidden/>
    <w:rsid w:val="00A21838"/>
    <w:pPr>
      <w:tabs>
        <w:tab w:val="right" w:leader="dot" w:pos="9071"/>
      </w:tabs>
      <w:ind w:left="1701"/>
    </w:pPr>
  </w:style>
  <w:style w:type="paragraph" w:customStyle="1" w:styleId="ListAlpha">
    <w:name w:val="List Alpha"/>
    <w:basedOn w:val="List"/>
    <w:rsid w:val="00A21838"/>
    <w:pPr>
      <w:numPr>
        <w:numId w:val="8"/>
      </w:numPr>
    </w:pPr>
  </w:style>
  <w:style w:type="paragraph" w:customStyle="1" w:styleId="ListAlpha2">
    <w:name w:val="List Alpha 2"/>
    <w:basedOn w:val="List2"/>
    <w:rsid w:val="00A21838"/>
    <w:pPr>
      <w:numPr>
        <w:numId w:val="7"/>
      </w:numPr>
    </w:pPr>
  </w:style>
  <w:style w:type="paragraph" w:styleId="List2">
    <w:name w:val="List 2"/>
    <w:basedOn w:val="BodyText"/>
    <w:rsid w:val="00A21838"/>
    <w:pPr>
      <w:tabs>
        <w:tab w:val="left" w:pos="680"/>
      </w:tabs>
      <w:spacing w:before="60" w:after="60"/>
      <w:ind w:left="680" w:hanging="340"/>
    </w:pPr>
  </w:style>
  <w:style w:type="paragraph" w:styleId="List3">
    <w:name w:val="List 3"/>
    <w:basedOn w:val="BodyText"/>
    <w:rsid w:val="00A21838"/>
    <w:pPr>
      <w:tabs>
        <w:tab w:val="left" w:pos="1021"/>
      </w:tabs>
      <w:spacing w:before="60" w:after="60"/>
      <w:ind w:left="1020" w:hanging="340"/>
    </w:pPr>
  </w:style>
  <w:style w:type="paragraph" w:styleId="List4">
    <w:name w:val="List 4"/>
    <w:basedOn w:val="BodyText"/>
    <w:rsid w:val="00A21838"/>
    <w:pPr>
      <w:tabs>
        <w:tab w:val="left" w:pos="1361"/>
      </w:tabs>
      <w:spacing w:before="60" w:after="60"/>
      <w:ind w:left="1361" w:hanging="340"/>
    </w:pPr>
  </w:style>
  <w:style w:type="paragraph" w:styleId="List5">
    <w:name w:val="List 5"/>
    <w:basedOn w:val="BodyText"/>
    <w:rsid w:val="00A21838"/>
    <w:pPr>
      <w:tabs>
        <w:tab w:val="left" w:pos="1701"/>
      </w:tabs>
      <w:spacing w:before="60" w:after="60"/>
      <w:ind w:left="1701" w:hanging="340"/>
    </w:pPr>
  </w:style>
  <w:style w:type="paragraph" w:styleId="ListBullet3">
    <w:name w:val="List Bullet 3"/>
    <w:basedOn w:val="List3"/>
    <w:rsid w:val="00A21838"/>
    <w:pPr>
      <w:numPr>
        <w:numId w:val="14"/>
      </w:numPr>
      <w:tabs>
        <w:tab w:val="clear" w:pos="1021"/>
      </w:tabs>
      <w:ind w:left="1037" w:hanging="357"/>
    </w:pPr>
  </w:style>
  <w:style w:type="paragraph" w:styleId="ListBullet4">
    <w:name w:val="List Bullet 4"/>
    <w:basedOn w:val="List4"/>
    <w:rsid w:val="00A21838"/>
    <w:pPr>
      <w:numPr>
        <w:numId w:val="2"/>
      </w:numPr>
    </w:pPr>
  </w:style>
  <w:style w:type="paragraph" w:styleId="ListBullet5">
    <w:name w:val="List Bullet 5"/>
    <w:basedOn w:val="List5"/>
    <w:rsid w:val="00A21838"/>
    <w:pPr>
      <w:numPr>
        <w:numId w:val="3"/>
      </w:numPr>
    </w:pPr>
  </w:style>
  <w:style w:type="paragraph" w:styleId="ListContinue2">
    <w:name w:val="List Continue 2"/>
    <w:basedOn w:val="List2"/>
    <w:rsid w:val="00A21838"/>
    <w:pPr>
      <w:ind w:firstLine="0"/>
    </w:pPr>
  </w:style>
  <w:style w:type="paragraph" w:styleId="ListContinue3">
    <w:name w:val="List Continue 3"/>
    <w:basedOn w:val="List3"/>
    <w:rsid w:val="00A21838"/>
    <w:pPr>
      <w:ind w:left="1021" w:firstLine="0"/>
    </w:pPr>
  </w:style>
  <w:style w:type="paragraph" w:styleId="ListContinue4">
    <w:name w:val="List Continue 4"/>
    <w:basedOn w:val="List4"/>
    <w:rsid w:val="00A21838"/>
    <w:pPr>
      <w:ind w:firstLine="0"/>
    </w:pPr>
  </w:style>
  <w:style w:type="paragraph" w:styleId="ListContinue5">
    <w:name w:val="List Continue 5"/>
    <w:basedOn w:val="List5"/>
    <w:rsid w:val="00A21838"/>
    <w:pPr>
      <w:ind w:firstLine="0"/>
    </w:pPr>
  </w:style>
  <w:style w:type="paragraph" w:styleId="ListNumber3">
    <w:name w:val="List Number 3"/>
    <w:basedOn w:val="List3"/>
    <w:rsid w:val="00A21838"/>
    <w:pPr>
      <w:numPr>
        <w:numId w:val="4"/>
      </w:numPr>
    </w:pPr>
  </w:style>
  <w:style w:type="paragraph" w:styleId="ListNumber4">
    <w:name w:val="List Number 4"/>
    <w:basedOn w:val="List4"/>
    <w:rsid w:val="00A21838"/>
    <w:pPr>
      <w:numPr>
        <w:numId w:val="5"/>
      </w:numPr>
    </w:pPr>
  </w:style>
  <w:style w:type="paragraph" w:styleId="ListNumber5">
    <w:name w:val="List Number 5"/>
    <w:basedOn w:val="List5"/>
    <w:rsid w:val="00A21838"/>
    <w:pPr>
      <w:numPr>
        <w:numId w:val="6"/>
      </w:numPr>
    </w:pPr>
  </w:style>
  <w:style w:type="paragraph" w:styleId="BlockText">
    <w:name w:val="Block Text"/>
    <w:basedOn w:val="Normal"/>
    <w:rsid w:val="00A21838"/>
    <w:pPr>
      <w:spacing w:after="120"/>
      <w:ind w:left="1440" w:right="1440"/>
    </w:pPr>
  </w:style>
  <w:style w:type="character" w:customStyle="1" w:styleId="Subscript">
    <w:name w:val="Subscript"/>
    <w:basedOn w:val="DefaultParagraphFont"/>
    <w:rsid w:val="00A21838"/>
    <w:rPr>
      <w:sz w:val="16"/>
      <w:vertAlign w:val="subscript"/>
    </w:rPr>
  </w:style>
  <w:style w:type="character" w:customStyle="1" w:styleId="Superscript">
    <w:name w:val="Superscript"/>
    <w:basedOn w:val="DefaultParagraphFont"/>
    <w:rsid w:val="00A21838"/>
    <w:rPr>
      <w:sz w:val="16"/>
      <w:vertAlign w:val="superscript"/>
    </w:rPr>
  </w:style>
  <w:style w:type="character" w:customStyle="1" w:styleId="Symbols">
    <w:name w:val="Symbols"/>
    <w:basedOn w:val="DefaultParagraphFont"/>
    <w:rsid w:val="00A21838"/>
    <w:rPr>
      <w:rFonts w:ascii="Symbol" w:hAnsi="Symbol"/>
    </w:rPr>
  </w:style>
  <w:style w:type="character" w:customStyle="1" w:styleId="MenuOptions">
    <w:name w:val="Menu Options"/>
    <w:basedOn w:val="DefaultParagraphFont"/>
    <w:rsid w:val="00A21838"/>
    <w:rPr>
      <w:rFonts w:ascii="Arial Narrow" w:hAnsi="Arial Narrow"/>
      <w:smallCaps/>
    </w:rPr>
  </w:style>
  <w:style w:type="character" w:customStyle="1" w:styleId="Buttons">
    <w:name w:val="Buttons"/>
    <w:basedOn w:val="DefaultParagraphFont"/>
    <w:rsid w:val="00A21838"/>
    <w:rPr>
      <w:b/>
    </w:rPr>
  </w:style>
  <w:style w:type="character" w:customStyle="1" w:styleId="Underlined">
    <w:name w:val="Underlined"/>
    <w:basedOn w:val="DefaultParagraphFont"/>
    <w:rsid w:val="00A21838"/>
    <w:rPr>
      <w:u w:val="single"/>
    </w:rPr>
  </w:style>
  <w:style w:type="paragraph" w:customStyle="1" w:styleId="TableBodyTextRight">
    <w:name w:val="Table Body Text Right"/>
    <w:basedOn w:val="TableBodyText"/>
    <w:rsid w:val="00A21838"/>
    <w:pPr>
      <w:widowControl w:val="0"/>
      <w:autoSpaceDE w:val="0"/>
      <w:autoSpaceDN w:val="0"/>
      <w:adjustRightInd w:val="0"/>
      <w:jc w:val="right"/>
    </w:pPr>
    <w:rPr>
      <w:rFonts w:cs="Arial"/>
      <w:szCs w:val="18"/>
    </w:rPr>
  </w:style>
  <w:style w:type="paragraph" w:customStyle="1" w:styleId="CopyrightText">
    <w:name w:val="Copyright Text"/>
    <w:basedOn w:val="BodyText"/>
    <w:rsid w:val="00A21838"/>
    <w:rPr>
      <w:sz w:val="18"/>
    </w:rPr>
  </w:style>
  <w:style w:type="paragraph" w:customStyle="1" w:styleId="BodySmallRight">
    <w:name w:val="Body Small Right"/>
    <w:basedOn w:val="BodyTextRight"/>
    <w:rsid w:val="00A21838"/>
    <w:rPr>
      <w:sz w:val="18"/>
      <w:szCs w:val="18"/>
    </w:rPr>
  </w:style>
  <w:style w:type="paragraph" w:customStyle="1" w:styleId="MarginEdition">
    <w:name w:val="Margin Edition"/>
    <w:basedOn w:val="MarginNote"/>
    <w:rsid w:val="00A21838"/>
    <w:pPr>
      <w:spacing w:before="0" w:after="0"/>
    </w:pPr>
    <w:rPr>
      <w:rFonts w:ascii="Times New Roman" w:hAnsi="Times New Roman"/>
      <w:color w:val="999999"/>
    </w:rPr>
  </w:style>
  <w:style w:type="paragraph" w:customStyle="1" w:styleId="Spacer">
    <w:name w:val="Spacer"/>
    <w:basedOn w:val="Normal"/>
    <w:rsid w:val="00A21838"/>
    <w:rPr>
      <w:sz w:val="2"/>
      <w:szCs w:val="2"/>
    </w:rPr>
  </w:style>
  <w:style w:type="character" w:customStyle="1" w:styleId="Small">
    <w:name w:val="Small"/>
    <w:basedOn w:val="DefaultParagraphFont"/>
    <w:rsid w:val="00A21838"/>
    <w:rPr>
      <w:sz w:val="16"/>
    </w:rPr>
  </w:style>
  <w:style w:type="paragraph" w:customStyle="1" w:styleId="WideTable">
    <w:name w:val="Wide Table"/>
    <w:basedOn w:val="Normal"/>
    <w:rsid w:val="00A21838"/>
    <w:pPr>
      <w:ind w:left="-1418"/>
    </w:pPr>
    <w:rPr>
      <w:sz w:val="2"/>
      <w:szCs w:val="2"/>
    </w:rPr>
  </w:style>
  <w:style w:type="character" w:styleId="PageNumber">
    <w:name w:val="page number"/>
    <w:basedOn w:val="DefaultParagraphFont"/>
    <w:rsid w:val="00A21838"/>
  </w:style>
  <w:style w:type="paragraph" w:styleId="Quote">
    <w:name w:val="Quote"/>
    <w:basedOn w:val="Heading1"/>
    <w:link w:val="QuoteChar"/>
    <w:qFormat/>
    <w:rsid w:val="00A21838"/>
    <w:rPr>
      <w:b w:val="0"/>
      <w:sz w:val="72"/>
      <w:szCs w:val="72"/>
      <w:lang w:val="en-NZ"/>
    </w:rPr>
  </w:style>
  <w:style w:type="character" w:customStyle="1" w:styleId="QuoteChar">
    <w:name w:val="Quote Char"/>
    <w:basedOn w:val="DefaultParagraphFont"/>
    <w:link w:val="Quote"/>
    <w:rsid w:val="00A218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1838"/>
    <w:pPr>
      <w:pageBreakBefore/>
    </w:pPr>
  </w:style>
  <w:style w:type="paragraph" w:customStyle="1" w:styleId="Border">
    <w:name w:val="Border"/>
    <w:basedOn w:val="Normal"/>
    <w:qFormat/>
    <w:rsid w:val="00A218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1838"/>
    <w:rPr>
      <w:b/>
      <w:bCs/>
      <w:i/>
      <w:iCs/>
      <w:color w:val="auto"/>
    </w:rPr>
  </w:style>
  <w:style w:type="paragraph" w:styleId="IntenseQuote">
    <w:name w:val="Intense Quote"/>
    <w:basedOn w:val="Normal"/>
    <w:next w:val="Normal"/>
    <w:link w:val="IntenseQuoteChar"/>
    <w:uiPriority w:val="30"/>
    <w:qFormat/>
    <w:rsid w:val="00A218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183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21838"/>
    <w:rPr>
      <w:smallCaps/>
      <w:color w:val="auto"/>
      <w:u w:val="single"/>
    </w:rPr>
  </w:style>
  <w:style w:type="character" w:styleId="IntenseReference">
    <w:name w:val="Intense Reference"/>
    <w:basedOn w:val="DefaultParagraphFont"/>
    <w:uiPriority w:val="32"/>
    <w:qFormat/>
    <w:rsid w:val="00A21838"/>
    <w:rPr>
      <w:b/>
      <w:bCs/>
      <w:smallCaps/>
      <w:color w:val="auto"/>
      <w:spacing w:val="5"/>
      <w:u w:val="single"/>
    </w:rPr>
  </w:style>
  <w:style w:type="paragraph" w:customStyle="1" w:styleId="2ColumnHeading">
    <w:name w:val="2Column Heading"/>
    <w:basedOn w:val="BodyText"/>
    <w:qFormat/>
    <w:rsid w:val="00A21838"/>
    <w:pPr>
      <w:spacing w:after="60"/>
      <w:ind w:left="-2268"/>
    </w:pPr>
    <w:rPr>
      <w:b/>
    </w:rPr>
  </w:style>
  <w:style w:type="paragraph" w:customStyle="1" w:styleId="Heading1TOC">
    <w:name w:val="Heading1 TOC"/>
    <w:basedOn w:val="Normal"/>
    <w:qFormat/>
    <w:rsid w:val="00A21838"/>
    <w:pPr>
      <w:spacing w:before="240" w:after="120"/>
    </w:pPr>
    <w:rPr>
      <w:rFonts w:ascii="Times New Roman" w:hAnsi="Times New Roman"/>
      <w:b/>
      <w:sz w:val="32"/>
    </w:rPr>
  </w:style>
  <w:style w:type="paragraph" w:customStyle="1" w:styleId="Heading2TOC">
    <w:name w:val="Heading2 TOC"/>
    <w:basedOn w:val="Normal"/>
    <w:qFormat/>
    <w:rsid w:val="00A21838"/>
    <w:pPr>
      <w:spacing w:before="240" w:after="60"/>
    </w:pPr>
    <w:rPr>
      <w:rFonts w:ascii="Times New Roman" w:hAnsi="Times New Roman"/>
      <w:b/>
      <w:sz w:val="28"/>
    </w:rPr>
  </w:style>
  <w:style w:type="character" w:customStyle="1" w:styleId="Underline">
    <w:name w:val="Underline"/>
    <w:basedOn w:val="DefaultParagraphFont"/>
    <w:qFormat/>
    <w:rsid w:val="00A21838"/>
    <w:rPr>
      <w:u w:val="single"/>
    </w:rPr>
  </w:style>
  <w:style w:type="character" w:customStyle="1" w:styleId="BoldandItalics">
    <w:name w:val="Bold and Italics"/>
    <w:qFormat/>
    <w:rsid w:val="00A21838"/>
    <w:rPr>
      <w:b/>
      <w:i/>
      <w:u w:val="none"/>
    </w:rPr>
  </w:style>
  <w:style w:type="paragraph" w:styleId="BalloonText">
    <w:name w:val="Balloon Text"/>
    <w:basedOn w:val="Normal"/>
    <w:link w:val="BalloonTextChar"/>
    <w:rsid w:val="00A21838"/>
    <w:rPr>
      <w:rFonts w:ascii="Tahoma" w:hAnsi="Tahoma" w:cs="Tahoma"/>
      <w:sz w:val="16"/>
      <w:szCs w:val="16"/>
    </w:rPr>
  </w:style>
  <w:style w:type="character" w:customStyle="1" w:styleId="BalloonTextChar">
    <w:name w:val="Balloon Text Char"/>
    <w:basedOn w:val="DefaultParagraphFont"/>
    <w:link w:val="BalloonText"/>
    <w:rsid w:val="00A2183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2183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2183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1830</Words>
  <Characters>12224</Characters>
  <Application>Microsoft Office Word</Application>
  <DocSecurity>0</DocSecurity>
  <Lines>388</Lines>
  <Paragraphs>267</Paragraphs>
  <ScaleCrop>false</ScaleCrop>
  <Company>Author-it Software Corporation Ltd.</Company>
  <LinksUpToDate>false</LinksUpToDate>
  <CharactersWithSpaces>13933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PRMWM13B Receive waste</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2012-05-27T07:01:00Z</dcterms:created>
  <dcterms:modified xsi:type="dcterms:W3CDTF">2012-05-27T07:01:00Z</dcterms:modified>
</cp:coreProperties>
</file>