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3247" w:rsidP="00D23247">
      <w:pPr>
        <w:pStyle w:val="Title"/>
      </w:pPr>
      <w:r>
        <w:fldChar w:fldCharType="begin"/>
      </w:r>
      <w:r>
        <w:instrText xml:space="preserve"> TITLE   \* MERGEFORMAT </w:instrText>
      </w:r>
      <w:r>
        <w:fldChar w:fldCharType="separate"/>
      </w:r>
      <w:r>
        <w:t>PRMPFES06C Prepare for installation and servicing operations</w:t>
      </w:r>
      <w:r>
        <w:fldChar w:fldCharType="end"/>
      </w:r>
    </w:p>
    <w:p w:rsidR="00D23247" w:rsidP="00D23247">
      <w:pPr>
        <w:pStyle w:val="Version"/>
        <w:sectPr w:rsidSect="009C6B5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C6B5B" w:rsidP="009C6B5B">
      <w:pPr>
        <w:pStyle w:val="SuperHeading"/>
      </w:pPr>
      <w:r w:rsidRPr="009C6B5B">
        <w:t>PRMPFES06C Prepare for installation and servicing operations</w:t>
      </w:r>
    </w:p>
    <w:p w:rsidR="00000000" w:rsidRPr="009C6B5B" w:rsidP="009C6B5B">
      <w:pPr>
        <w:pStyle w:val="Heading1"/>
      </w:pPr>
      <w:bookmarkStart w:id="1" w:name="O_272900"/>
      <w:bookmarkEnd w:id="1"/>
      <w:r w:rsidRPr="009C6B5B">
        <w:t>Modification History</w:t>
      </w:r>
    </w:p>
    <w:p w:rsidR="00000000" w:rsidRPr="009C6B5B" w:rsidP="009C6B5B">
      <w:pPr>
        <w:pStyle w:val="BodyText"/>
      </w:pPr>
      <w:r w:rsidRPr="009C6B5B">
        <w:t>Not Applicable</w:t>
      </w:r>
    </w:p>
    <w:p w:rsidR="00000000" w:rsidRPr="009C6B5B" w:rsidP="009C6B5B">
      <w:pPr>
        <w:pStyle w:val="AllowPageBreak"/>
      </w:pPr>
    </w:p>
    <w:p w:rsidR="00000000" w:rsidRPr="009C6B5B" w:rsidP="009C6B5B">
      <w:pPr>
        <w:pStyle w:val="Heading1"/>
      </w:pPr>
      <w:bookmarkStart w:id="2" w:name="O_216407"/>
      <w:bookmarkEnd w:id="2"/>
      <w:r w:rsidRPr="009C6B5B">
        <w:t>Unit Descriptor</w:t>
      </w:r>
    </w:p>
    <w:p w:rsidR="00000000" w:rsidRPr="009C6B5B" w:rsidP="009C6B5B">
      <w:pPr>
        <w:pStyle w:val="BodyText"/>
      </w:pPr>
      <w:r w:rsidRPr="009C6B5B">
        <w:rPr>
          <w:rStyle w:val="SpecialBold"/>
        </w:rPr>
        <w:t>Unit descriptor</w:t>
      </w:r>
    </w:p>
    <w:p w:rsidR="00D23247" w:rsidP="009C6B5B">
      <w:pPr>
        <w:pStyle w:val="BodyText"/>
      </w:pPr>
      <w:r w:rsidRPr="009C6B5B">
        <w:t>This unit of competency specifies the outcomes required for a service technic</w:t>
      </w:r>
      <w:r w:rsidRPr="009C6B5B">
        <w:t>ian in the field to select and use tools and equipment to install and service fire protection equipment, systems and products and to access information given in relevant Australian standards to carry out servicing procedures. Understanding and knowledge of</w:t>
      </w:r>
      <w:r w:rsidRPr="009C6B5B">
        <w:t xml:space="preserve"> the legal and regulatory framework relating to installation and servicing operations are required as all preparatory work must be completed in accordance with relevant legislative, industry and organisational requirements, including policies and procedure</w:t>
      </w:r>
      <w:r w:rsidRPr="009C6B5B">
        <w:t>s relating to occupational health and safety (OHS), ozone depleting substances (ODS) and synthetic greenhouse gases (SGG).</w:t>
      </w:r>
    </w:p>
    <w:p w:rsidR="00D23247" w:rsidP="009C6B5B">
      <w:pPr>
        <w:pStyle w:val="BodyText"/>
      </w:pPr>
    </w:p>
    <w:p w:rsidR="00000000" w:rsidRPr="009C6B5B" w:rsidP="009C6B5B">
      <w:pPr>
        <w:pStyle w:val="Heading1"/>
      </w:pPr>
      <w:bookmarkStart w:id="3" w:name="O_216408"/>
      <w:bookmarkEnd w:id="3"/>
      <w:r w:rsidRPr="009C6B5B">
        <w:t>Application of the Unit</w:t>
      </w:r>
    </w:p>
    <w:p w:rsidR="00000000" w:rsidRPr="009C6B5B" w:rsidP="009C6B5B">
      <w:pPr>
        <w:pStyle w:val="BodyText"/>
      </w:pPr>
      <w:r w:rsidRPr="009C6B5B">
        <w:rPr>
          <w:rStyle w:val="SpecialBold"/>
        </w:rPr>
        <w:t>Application of the unit</w:t>
      </w:r>
    </w:p>
    <w:p w:rsidR="00D23247" w:rsidP="009C6B5B">
      <w:pPr>
        <w:pStyle w:val="BodyText"/>
      </w:pPr>
      <w:r w:rsidRPr="009C6B5B">
        <w:t xml:space="preserve">This unit of competency supports one or more extinguishing agent handling licences prescribed under the </w:t>
      </w:r>
      <w:r w:rsidRPr="009C6B5B">
        <w:rPr>
          <w:rStyle w:val="Emphasis"/>
        </w:rPr>
        <w:t>Ozone Protection and Synthetic Greenhouse Gas Management Act 1989</w:t>
      </w:r>
      <w:r w:rsidRPr="009C6B5B">
        <w:t>.</w:t>
      </w:r>
    </w:p>
    <w:p w:rsidR="00D23247" w:rsidP="009C6B5B">
      <w:pPr>
        <w:pStyle w:val="BodyText"/>
      </w:pPr>
    </w:p>
    <w:p w:rsidR="00000000" w:rsidRPr="009C6B5B" w:rsidP="009C6B5B">
      <w:pPr>
        <w:pStyle w:val="Heading1"/>
      </w:pPr>
      <w:bookmarkStart w:id="4" w:name="O_281160"/>
      <w:bookmarkEnd w:id="4"/>
      <w:r w:rsidRPr="009C6B5B">
        <w:t>Licensing/Regulatory Information</w:t>
      </w:r>
    </w:p>
    <w:p w:rsidR="00000000" w:rsidRPr="009C6B5B" w:rsidP="009C6B5B">
      <w:pPr>
        <w:pStyle w:val="BodyText"/>
      </w:pPr>
      <w:r w:rsidRPr="009C6B5B">
        <w:t>Not Applicable</w:t>
      </w:r>
    </w:p>
    <w:p w:rsidR="00000000" w:rsidRPr="009C6B5B" w:rsidP="009C6B5B">
      <w:pPr>
        <w:pStyle w:val="AllowPageBreak"/>
      </w:pPr>
    </w:p>
    <w:p w:rsidR="00000000" w:rsidRPr="009C6B5B" w:rsidP="009C6B5B">
      <w:pPr>
        <w:pStyle w:val="Heading1"/>
      </w:pPr>
      <w:bookmarkStart w:id="5" w:name="O_284465"/>
      <w:bookmarkEnd w:id="5"/>
      <w:r w:rsidRPr="009C6B5B">
        <w:t>Pre-Requisites</w:t>
      </w:r>
    </w:p>
    <w:p w:rsidR="00000000" w:rsidRPr="009C6B5B" w:rsidP="009C6B5B">
      <w:pPr>
        <w:pStyle w:val="BodyText"/>
      </w:pPr>
      <w:r w:rsidRPr="009C6B5B">
        <w:t>Not Applicable</w:t>
      </w:r>
    </w:p>
    <w:p w:rsidR="00000000" w:rsidRPr="009C6B5B" w:rsidP="009C6B5B">
      <w:pPr>
        <w:pStyle w:val="AllowPageBreak"/>
      </w:pPr>
    </w:p>
    <w:p w:rsidR="00000000" w:rsidRPr="009C6B5B" w:rsidP="009C6B5B">
      <w:pPr>
        <w:pStyle w:val="Heading1"/>
      </w:pPr>
      <w:bookmarkStart w:id="6" w:name="O_285210"/>
      <w:bookmarkEnd w:id="6"/>
      <w:r w:rsidRPr="009C6B5B">
        <w:t>Employability Skills Information</w:t>
      </w:r>
    </w:p>
    <w:p w:rsidR="00000000" w:rsidRPr="009C6B5B" w:rsidP="009C6B5B">
      <w:pPr>
        <w:pStyle w:val="BodyText"/>
      </w:pPr>
      <w:r w:rsidRPr="009C6B5B">
        <w:t>Not Applicable</w:t>
      </w:r>
    </w:p>
    <w:p w:rsidR="00000000" w:rsidRPr="009C6B5B" w:rsidP="009C6B5B">
      <w:pPr>
        <w:pStyle w:val="AllowPageBreak"/>
      </w:pPr>
    </w:p>
    <w:p w:rsidR="00000000" w:rsidRPr="009C6B5B" w:rsidP="009C6B5B">
      <w:pPr>
        <w:pStyle w:val="Heading1"/>
      </w:pPr>
      <w:bookmarkStart w:id="7" w:name="O_290946"/>
      <w:bookmarkEnd w:id="7"/>
      <w:r w:rsidRPr="009C6B5B">
        <w:t>Elements and Performance Criteria Pre-Content</w:t>
      </w:r>
    </w:p>
    <w:tbl>
      <w:tblPr>
        <w:tblW w:w="0" w:type="auto"/>
        <w:tblLayout w:type="fixed"/>
        <w:tblCellMar>
          <w:left w:w="62" w:type="dxa"/>
          <w:right w:w="62" w:type="dxa"/>
        </w:tblCellMar>
        <w:tblLook w:val="0000"/>
      </w:tblPr>
      <w:tblGrid>
        <w:gridCol w:w="3617"/>
        <w:gridCol w:w="4866"/>
      </w:tblGrid>
      <w:tr w:rsidTr="00D23247">
        <w:tblPrEx>
          <w:tblW w:w="0" w:type="auto"/>
          <w:tblLayout w:type="fixed"/>
          <w:tblCellMar>
            <w:left w:w="62" w:type="dxa"/>
            <w:right w:w="62" w:type="dxa"/>
          </w:tblCellMar>
          <w:tblLook w:val="0000"/>
        </w:tblPrEx>
        <w:tc>
          <w:tcPr>
            <w:tcW w:w="3617" w:type="dxa"/>
            <w:tcBorders>
              <w:top w:val="nil"/>
              <w:left w:val="nil"/>
              <w:bottom w:val="nil"/>
              <w:right w:val="nil"/>
            </w:tcBorders>
            <w:tcMar>
              <w:top w:w="0" w:type="dxa"/>
              <w:left w:w="62" w:type="dxa"/>
              <w:bottom w:w="0" w:type="dxa"/>
              <w:right w:w="62" w:type="dxa"/>
            </w:tcMar>
          </w:tcPr>
          <w:p w:rsidR="00000000" w:rsidP="009C6B5B">
            <w:pPr>
              <w:pStyle w:val="BodyText"/>
              <w:rPr>
                <w:lang w:val="en-NZ"/>
              </w:rPr>
            </w:pPr>
            <w:r w:rsidRPr="009C6B5B">
              <w:t>Elements describe the essential outcomes of a unit of competency.</w:t>
            </w:r>
          </w:p>
        </w:tc>
        <w:tc>
          <w:tcPr>
            <w:tcW w:w="4866" w:type="dxa"/>
            <w:tcBorders>
              <w:top w:val="nil"/>
              <w:left w:val="nil"/>
              <w:bottom w:val="nil"/>
              <w:right w:val="nil"/>
            </w:tcBorders>
            <w:tcMar>
              <w:top w:w="0" w:type="dxa"/>
              <w:left w:w="62" w:type="dxa"/>
              <w:bottom w:w="0" w:type="dxa"/>
              <w:right w:w="62" w:type="dxa"/>
            </w:tcMar>
          </w:tcPr>
          <w:p w:rsidR="00000000" w:rsidRPr="009C6B5B" w:rsidP="009C6B5B">
            <w:pPr>
              <w:pStyle w:val="BodyText"/>
            </w:pPr>
            <w:r w:rsidRPr="009C6B5B">
              <w:t>Performance criteria describe th</w:t>
            </w:r>
            <w:r w:rsidRPr="009C6B5B">
              <w:t xml:space="preserve">e required performance needed to demonstrate achievement of the element. Where </w:t>
            </w:r>
            <w:r w:rsidRPr="009C6B5B">
              <w:rPr>
                <w:rStyle w:val="BoldandItalics"/>
              </w:rPr>
              <w:t>bold italicised</w:t>
            </w:r>
            <w:r w:rsidRPr="009C6B5B">
              <w:t xml:space="preserve"> text is used, further information is detailed in the range statement. Assessment of performance is to be consistent with the evidence guide.</w:t>
            </w:r>
          </w:p>
        </w:tc>
      </w:tr>
    </w:tbl>
    <w:p w:rsidR="00000000" w:rsidRPr="009C6B5B" w:rsidP="009C6B5B">
      <w:pPr>
        <w:pStyle w:val="BodyText"/>
      </w:pPr>
    </w:p>
    <w:p w:rsidR="00000000" w:rsidRPr="009C6B5B" w:rsidP="009C6B5B">
      <w:pPr>
        <w:pStyle w:val="AllowPageBreak"/>
      </w:pPr>
    </w:p>
    <w:p w:rsidR="00000000" w:rsidRPr="009C6B5B" w:rsidP="009C6B5B">
      <w:pPr>
        <w:pStyle w:val="Heading1"/>
      </w:pPr>
      <w:bookmarkStart w:id="8" w:name="O_237614"/>
      <w:bookmarkEnd w:id="8"/>
      <w:r w:rsidRPr="009C6B5B">
        <w:t>E</w:t>
      </w:r>
      <w:r w:rsidRPr="009C6B5B">
        <w:t>lements and Performance Criteria</w:t>
      </w:r>
    </w:p>
    <w:tbl>
      <w:tblPr>
        <w:tblW w:w="0" w:type="auto"/>
        <w:tblLayout w:type="fixed"/>
        <w:tblCellMar>
          <w:left w:w="62" w:type="dxa"/>
          <w:right w:w="62" w:type="dxa"/>
        </w:tblCellMar>
        <w:tblLook w:val="0000"/>
      </w:tblPr>
      <w:tblGrid>
        <w:gridCol w:w="3617"/>
        <w:gridCol w:w="4866"/>
      </w:tblGrid>
      <w:tr w:rsidTr="00D23247">
        <w:tblPrEx>
          <w:tblW w:w="0" w:type="auto"/>
          <w:tblLayout w:type="fixed"/>
          <w:tblCellMar>
            <w:left w:w="62" w:type="dxa"/>
            <w:right w:w="62" w:type="dxa"/>
          </w:tblCellMar>
          <w:tblLook w:val="0000"/>
        </w:tblPrEx>
        <w:trPr>
          <w:tblHeader/>
        </w:trPr>
        <w:tc>
          <w:tcPr>
            <w:tcW w:w="3617" w:type="dxa"/>
            <w:tcBorders>
              <w:top w:val="nil"/>
              <w:left w:val="nil"/>
              <w:bottom w:val="nil"/>
              <w:right w:val="nil"/>
            </w:tcBorders>
            <w:tcMar>
              <w:top w:w="0" w:type="dxa"/>
              <w:left w:w="62" w:type="dxa"/>
              <w:bottom w:w="0" w:type="dxa"/>
              <w:right w:w="62" w:type="dxa"/>
            </w:tcMar>
          </w:tcPr>
          <w:p w:rsidR="00000000" w:rsidRPr="009C6B5B" w:rsidP="009C6B5B">
            <w:pPr>
              <w:pStyle w:val="List"/>
            </w:pPr>
            <w:r w:rsidRPr="009C6B5B">
              <w:rPr>
                <w:rStyle w:val="SpecialBold"/>
              </w:rPr>
              <w:t>ELEMENT</w:t>
            </w:r>
          </w:p>
        </w:tc>
        <w:tc>
          <w:tcPr>
            <w:tcW w:w="4866" w:type="dxa"/>
            <w:tcBorders>
              <w:top w:val="nil"/>
              <w:left w:val="nil"/>
              <w:bottom w:val="nil"/>
              <w:right w:val="nil"/>
            </w:tcBorders>
            <w:tcMar>
              <w:top w:w="0" w:type="dxa"/>
              <w:left w:w="62" w:type="dxa"/>
              <w:bottom w:w="0" w:type="dxa"/>
              <w:right w:w="62" w:type="dxa"/>
            </w:tcMar>
          </w:tcPr>
          <w:p w:rsidR="00000000" w:rsidP="009C6B5B">
            <w:pPr>
              <w:pStyle w:val="List"/>
              <w:rPr>
                <w:lang w:val="en-NZ"/>
              </w:rPr>
            </w:pPr>
            <w:r w:rsidRPr="009C6B5B">
              <w:rPr>
                <w:rStyle w:val="SpecialBold"/>
              </w:rPr>
              <w:t>PERFORMANCE CRITERIA</w:t>
            </w:r>
          </w:p>
        </w:tc>
      </w:tr>
      <w:tr w:rsidTr="00D23247">
        <w:tblPrEx>
          <w:tblW w:w="0" w:type="auto"/>
          <w:tblLayout w:type="fixed"/>
          <w:tblCellMar>
            <w:left w:w="62" w:type="dxa"/>
            <w:right w:w="62" w:type="dxa"/>
          </w:tblCellMar>
          <w:tblLook w:val="0000"/>
        </w:tblPrEx>
        <w:tc>
          <w:tcPr>
            <w:tcW w:w="3617" w:type="dxa"/>
            <w:tcBorders>
              <w:top w:val="nil"/>
              <w:left w:val="nil"/>
              <w:bottom w:val="nil"/>
              <w:right w:val="nil"/>
            </w:tcBorders>
            <w:tcMar>
              <w:top w:w="0" w:type="dxa"/>
              <w:left w:w="62" w:type="dxa"/>
              <w:bottom w:w="0" w:type="dxa"/>
              <w:right w:w="62" w:type="dxa"/>
            </w:tcMar>
          </w:tcPr>
          <w:p w:rsidR="00000000" w:rsidP="009C6B5B">
            <w:pPr>
              <w:pStyle w:val="List"/>
              <w:rPr>
                <w:lang w:val="en-NZ"/>
              </w:rPr>
            </w:pPr>
            <w:r w:rsidRPr="009C6B5B">
              <w:t>1</w:t>
            </w:r>
            <w:r w:rsidRPr="009C6B5B">
              <w:tab/>
              <w:t>Interpret and comply with legal and industry requirements relating to service operations.</w:t>
            </w:r>
          </w:p>
        </w:tc>
        <w:tc>
          <w:tcPr>
            <w:tcW w:w="4866" w:type="dxa"/>
            <w:tcBorders>
              <w:top w:val="nil"/>
              <w:left w:val="nil"/>
              <w:bottom w:val="nil"/>
              <w:right w:val="nil"/>
            </w:tcBorders>
            <w:tcMar>
              <w:top w:w="0" w:type="dxa"/>
              <w:left w:w="62" w:type="dxa"/>
              <w:bottom w:w="0" w:type="dxa"/>
              <w:right w:w="62" w:type="dxa"/>
            </w:tcMar>
          </w:tcPr>
          <w:p w:rsidR="00000000" w:rsidRPr="009C6B5B" w:rsidP="009C6B5B">
            <w:pPr>
              <w:pStyle w:val="List"/>
            </w:pPr>
            <w:r w:rsidRPr="009C6B5B">
              <w:t>1.1</w:t>
            </w:r>
            <w:r w:rsidRPr="009C6B5B">
              <w:tab/>
              <w:t xml:space="preserve">Apply knowledge and understanding of </w:t>
            </w:r>
            <w:r w:rsidRPr="009C6B5B">
              <w:rPr>
                <w:rStyle w:val="BoldandItalics"/>
              </w:rPr>
              <w:t>legislative and industry requirements</w:t>
            </w:r>
            <w:r w:rsidRPr="009C6B5B">
              <w:t xml:space="preserve">, including relevant state and territory building codes, to </w:t>
            </w:r>
            <w:r w:rsidRPr="009C6B5B">
              <w:rPr>
                <w:rStyle w:val="BoldandItalics"/>
              </w:rPr>
              <w:t>work procedures</w:t>
            </w:r>
            <w:r w:rsidRPr="009C6B5B">
              <w:t xml:space="preserve"> and clarify where necessary with </w:t>
            </w:r>
            <w:r w:rsidRPr="009C6B5B">
              <w:rPr>
                <w:rStyle w:val="BoldandItalics"/>
              </w:rPr>
              <w:t>relevant persons</w:t>
            </w:r>
            <w:r w:rsidRPr="009C6B5B">
              <w:t>.</w:t>
            </w:r>
          </w:p>
          <w:p w:rsidR="00000000" w:rsidRPr="009C6B5B" w:rsidP="009C6B5B">
            <w:pPr>
              <w:pStyle w:val="List"/>
            </w:pPr>
            <w:r w:rsidRPr="009C6B5B">
              <w:t>1.2</w:t>
            </w:r>
            <w:r w:rsidRPr="009C6B5B">
              <w:tab/>
              <w:t xml:space="preserve">Apply knowledge and understanding of </w:t>
            </w:r>
            <w:r w:rsidRPr="009C6B5B">
              <w:rPr>
                <w:rStyle w:val="BoldandItalics"/>
              </w:rPr>
              <w:t>ODS and SGG</w:t>
            </w:r>
            <w:r w:rsidRPr="009C6B5B">
              <w:t xml:space="preserve"> emission legislative and industry requirements in the preparation for instal</w:t>
            </w:r>
            <w:r w:rsidRPr="009C6B5B">
              <w:t>lation and servicing operations.</w:t>
            </w:r>
          </w:p>
          <w:p w:rsidR="00000000" w:rsidP="009C6B5B">
            <w:pPr>
              <w:pStyle w:val="List"/>
              <w:rPr>
                <w:lang w:val="en-NZ"/>
              </w:rPr>
            </w:pPr>
            <w:r w:rsidRPr="009C6B5B">
              <w:t>1.3</w:t>
            </w:r>
            <w:r w:rsidRPr="009C6B5B">
              <w:tab/>
              <w:t xml:space="preserve">Identify </w:t>
            </w:r>
            <w:r w:rsidRPr="009C6B5B">
              <w:rPr>
                <w:rStyle w:val="BoldandItalics"/>
              </w:rPr>
              <w:t>potential and actual breaches</w:t>
            </w:r>
            <w:r w:rsidRPr="009C6B5B">
              <w:t xml:space="preserve"> of </w:t>
            </w:r>
            <w:r w:rsidRPr="009C6B5B">
              <w:rPr>
                <w:rStyle w:val="BoldandItalics"/>
              </w:rPr>
              <w:t>legislative and industry requirements</w:t>
            </w:r>
            <w:r w:rsidRPr="009C6B5B">
              <w:t xml:space="preserve"> and take action according to </w:t>
            </w:r>
            <w:r w:rsidRPr="009C6B5B">
              <w:rPr>
                <w:rStyle w:val="BoldandItalics"/>
              </w:rPr>
              <w:t>organisational requirements</w:t>
            </w:r>
            <w:r w:rsidRPr="009C6B5B">
              <w:t xml:space="preserve">, and ODS, SGG and </w:t>
            </w:r>
            <w:r w:rsidRPr="009C6B5B">
              <w:rPr>
                <w:rStyle w:val="BoldandItalics"/>
              </w:rPr>
              <w:t>OHS policies and procedures</w:t>
            </w:r>
            <w:r w:rsidRPr="009C6B5B">
              <w:t>.</w:t>
            </w:r>
          </w:p>
        </w:tc>
      </w:tr>
      <w:tr w:rsidTr="00D23247">
        <w:tblPrEx>
          <w:tblW w:w="0" w:type="auto"/>
          <w:tblLayout w:type="fixed"/>
          <w:tblCellMar>
            <w:left w:w="62" w:type="dxa"/>
            <w:right w:w="62" w:type="dxa"/>
          </w:tblCellMar>
          <w:tblLook w:val="0000"/>
        </w:tblPrEx>
        <w:tc>
          <w:tcPr>
            <w:tcW w:w="3617" w:type="dxa"/>
            <w:tcBorders>
              <w:top w:val="nil"/>
              <w:left w:val="nil"/>
              <w:bottom w:val="nil"/>
              <w:right w:val="nil"/>
            </w:tcBorders>
            <w:tcMar>
              <w:top w:w="0" w:type="dxa"/>
              <w:left w:w="62" w:type="dxa"/>
              <w:bottom w:w="0" w:type="dxa"/>
              <w:right w:w="62" w:type="dxa"/>
            </w:tcMar>
          </w:tcPr>
          <w:p w:rsidR="00000000" w:rsidP="009C6B5B">
            <w:pPr>
              <w:pStyle w:val="List"/>
              <w:rPr>
                <w:lang w:val="en-NZ"/>
              </w:rPr>
            </w:pPr>
            <w:r w:rsidRPr="009C6B5B">
              <w:t>2</w:t>
            </w:r>
            <w:r w:rsidRPr="009C6B5B">
              <w:tab/>
              <w:t>Use Australian standards to acce</w:t>
            </w:r>
            <w:r w:rsidRPr="009C6B5B">
              <w:t>ss information in relation to installation and servicing procedures for fire protection equipment.</w:t>
            </w:r>
          </w:p>
        </w:tc>
        <w:tc>
          <w:tcPr>
            <w:tcW w:w="4866" w:type="dxa"/>
            <w:tcBorders>
              <w:top w:val="nil"/>
              <w:left w:val="nil"/>
              <w:bottom w:val="nil"/>
              <w:right w:val="nil"/>
            </w:tcBorders>
            <w:tcMar>
              <w:top w:w="0" w:type="dxa"/>
              <w:left w:w="62" w:type="dxa"/>
              <w:bottom w:w="0" w:type="dxa"/>
              <w:right w:w="62" w:type="dxa"/>
            </w:tcMar>
          </w:tcPr>
          <w:p w:rsidR="00000000" w:rsidRPr="009C6B5B" w:rsidP="009C6B5B">
            <w:pPr>
              <w:pStyle w:val="List"/>
            </w:pPr>
            <w:r w:rsidRPr="009C6B5B">
              <w:t>2.1</w:t>
            </w:r>
            <w:r w:rsidRPr="009C6B5B">
              <w:tab/>
              <w:t xml:space="preserve">Identify current </w:t>
            </w:r>
            <w:r w:rsidRPr="009C6B5B">
              <w:rPr>
                <w:rStyle w:val="BoldandItalics"/>
              </w:rPr>
              <w:t>Australian standards</w:t>
            </w:r>
            <w:r w:rsidRPr="009C6B5B">
              <w:t xml:space="preserve"> according to </w:t>
            </w:r>
            <w:r w:rsidRPr="009C6B5B">
              <w:rPr>
                <w:rStyle w:val="BoldandItalics"/>
              </w:rPr>
              <w:t>fire protection equipment</w:t>
            </w:r>
            <w:r w:rsidRPr="009C6B5B">
              <w:t xml:space="preserve"> installation and servicing procedures.</w:t>
            </w:r>
          </w:p>
          <w:p w:rsidR="00000000" w:rsidRPr="009C6B5B" w:rsidP="009C6B5B">
            <w:pPr>
              <w:pStyle w:val="List"/>
            </w:pPr>
            <w:r w:rsidRPr="009C6B5B">
              <w:t>2.2</w:t>
            </w:r>
            <w:r w:rsidRPr="009C6B5B">
              <w:tab/>
              <w:t>Access information according to r</w:t>
            </w:r>
            <w:r w:rsidRPr="009C6B5B">
              <w:t xml:space="preserve">equired </w:t>
            </w:r>
            <w:r w:rsidRPr="009C6B5B">
              <w:rPr>
                <w:rStyle w:val="BoldandItalics"/>
              </w:rPr>
              <w:t>work procedures</w:t>
            </w:r>
            <w:r w:rsidRPr="009C6B5B">
              <w:t>.</w:t>
            </w:r>
          </w:p>
          <w:p w:rsidR="00000000" w:rsidP="009C6B5B">
            <w:pPr>
              <w:pStyle w:val="List"/>
              <w:rPr>
                <w:lang w:val="en-NZ"/>
              </w:rPr>
            </w:pPr>
            <w:r w:rsidRPr="009C6B5B">
              <w:t>2.3</w:t>
            </w:r>
            <w:r w:rsidRPr="009C6B5B">
              <w:tab/>
              <w:t xml:space="preserve">Interpret key principles from Australian standards relating to </w:t>
            </w:r>
            <w:r w:rsidRPr="009C6B5B">
              <w:rPr>
                <w:rStyle w:val="BoldandItalics"/>
              </w:rPr>
              <w:t>work procedures</w:t>
            </w:r>
            <w:r w:rsidRPr="009C6B5B">
              <w:t xml:space="preserve"> and comply with legislative and </w:t>
            </w:r>
            <w:r w:rsidRPr="009C6B5B">
              <w:rPr>
                <w:rStyle w:val="BoldandItalics"/>
              </w:rPr>
              <w:t>organisational requirements</w:t>
            </w:r>
            <w:r w:rsidRPr="009C6B5B">
              <w:t xml:space="preserve"> and </w:t>
            </w:r>
            <w:r w:rsidRPr="009C6B5B">
              <w:rPr>
                <w:rStyle w:val="BoldandItalics"/>
              </w:rPr>
              <w:t>customer requirements</w:t>
            </w:r>
            <w:r w:rsidRPr="009C6B5B">
              <w:t>.</w:t>
            </w:r>
          </w:p>
        </w:tc>
      </w:tr>
      <w:tr w:rsidTr="00D23247">
        <w:tblPrEx>
          <w:tblW w:w="0" w:type="auto"/>
          <w:tblLayout w:type="fixed"/>
          <w:tblCellMar>
            <w:left w:w="62" w:type="dxa"/>
            <w:right w:w="62" w:type="dxa"/>
          </w:tblCellMar>
          <w:tblLook w:val="0000"/>
        </w:tblPrEx>
        <w:tc>
          <w:tcPr>
            <w:tcW w:w="3617" w:type="dxa"/>
            <w:tcBorders>
              <w:top w:val="nil"/>
              <w:left w:val="nil"/>
              <w:bottom w:val="nil"/>
              <w:right w:val="nil"/>
            </w:tcBorders>
            <w:tcMar>
              <w:top w:w="0" w:type="dxa"/>
              <w:left w:w="62" w:type="dxa"/>
              <w:bottom w:w="0" w:type="dxa"/>
              <w:right w:w="62" w:type="dxa"/>
            </w:tcMar>
          </w:tcPr>
          <w:p w:rsidR="00000000" w:rsidP="009C6B5B">
            <w:pPr>
              <w:pStyle w:val="List"/>
              <w:rPr>
                <w:lang w:val="en-NZ"/>
              </w:rPr>
            </w:pPr>
            <w:r w:rsidRPr="009C6B5B">
              <w:t>3</w:t>
            </w:r>
            <w:r w:rsidRPr="009C6B5B">
              <w:tab/>
              <w:t>Prepare work area for installation or servicing procedure.</w:t>
            </w:r>
          </w:p>
        </w:tc>
        <w:tc>
          <w:tcPr>
            <w:tcW w:w="4866" w:type="dxa"/>
            <w:tcBorders>
              <w:top w:val="nil"/>
              <w:left w:val="nil"/>
              <w:bottom w:val="nil"/>
              <w:right w:val="nil"/>
            </w:tcBorders>
            <w:tcMar>
              <w:top w:w="0" w:type="dxa"/>
              <w:left w:w="62" w:type="dxa"/>
              <w:bottom w:w="0" w:type="dxa"/>
              <w:right w:w="62" w:type="dxa"/>
            </w:tcMar>
          </w:tcPr>
          <w:p w:rsidR="00000000" w:rsidRPr="009C6B5B" w:rsidP="009C6B5B">
            <w:pPr>
              <w:pStyle w:val="List"/>
            </w:pPr>
            <w:r w:rsidRPr="009C6B5B">
              <w:t>3.1</w:t>
            </w:r>
            <w:r w:rsidRPr="009C6B5B">
              <w:tab/>
              <w:t xml:space="preserve">Assess surface and surrounding work area for </w:t>
            </w:r>
            <w:r w:rsidRPr="009C6B5B">
              <w:rPr>
                <w:rStyle w:val="BoldandItalics"/>
              </w:rPr>
              <w:t>hazards</w:t>
            </w:r>
            <w:r w:rsidRPr="009C6B5B">
              <w:t>.</w:t>
            </w:r>
          </w:p>
          <w:p w:rsidR="00000000" w:rsidP="009C6B5B">
            <w:pPr>
              <w:pStyle w:val="List"/>
              <w:rPr>
                <w:lang w:val="en-NZ"/>
              </w:rPr>
            </w:pPr>
            <w:r w:rsidRPr="009C6B5B">
              <w:t>3.2</w:t>
            </w:r>
            <w:r w:rsidRPr="009C6B5B">
              <w:tab/>
              <w:t xml:space="preserve">Prepare intended work area for installation or servicing procedure according to </w:t>
            </w:r>
            <w:r w:rsidRPr="009C6B5B">
              <w:rPr>
                <w:rStyle w:val="BoldandItalics"/>
              </w:rPr>
              <w:t>organisational requirements</w:t>
            </w:r>
            <w:r w:rsidRPr="009C6B5B">
              <w:t xml:space="preserve"> and </w:t>
            </w:r>
            <w:r w:rsidRPr="009C6B5B">
              <w:rPr>
                <w:rStyle w:val="BoldandItalics"/>
              </w:rPr>
              <w:t>OHS policies and procedures</w:t>
            </w:r>
            <w:r w:rsidRPr="009C6B5B">
              <w:t>.</w:t>
            </w:r>
          </w:p>
        </w:tc>
      </w:tr>
      <w:tr w:rsidTr="00D23247">
        <w:tblPrEx>
          <w:tblW w:w="0" w:type="auto"/>
          <w:tblLayout w:type="fixed"/>
          <w:tblCellMar>
            <w:left w:w="62" w:type="dxa"/>
            <w:right w:w="62" w:type="dxa"/>
          </w:tblCellMar>
          <w:tblLook w:val="0000"/>
        </w:tblPrEx>
        <w:tc>
          <w:tcPr>
            <w:tcW w:w="3617" w:type="dxa"/>
            <w:tcBorders>
              <w:top w:val="nil"/>
              <w:left w:val="nil"/>
              <w:bottom w:val="nil"/>
              <w:right w:val="nil"/>
            </w:tcBorders>
            <w:tcMar>
              <w:top w:w="0" w:type="dxa"/>
              <w:left w:w="62" w:type="dxa"/>
              <w:bottom w:w="0" w:type="dxa"/>
              <w:right w:w="62" w:type="dxa"/>
            </w:tcMar>
          </w:tcPr>
          <w:p w:rsidR="00000000" w:rsidP="009C6B5B">
            <w:pPr>
              <w:pStyle w:val="List"/>
              <w:rPr>
                <w:lang w:val="en-NZ"/>
              </w:rPr>
            </w:pPr>
            <w:r w:rsidRPr="009C6B5B">
              <w:t>4</w:t>
            </w:r>
            <w:r w:rsidRPr="009C6B5B">
              <w:tab/>
            </w:r>
            <w:r w:rsidRPr="009C6B5B">
              <w:t>Identify, select and use tools and equipment effectively to perform installation and servicing procedures on fire protection equipment.</w:t>
            </w:r>
          </w:p>
        </w:tc>
        <w:tc>
          <w:tcPr>
            <w:tcW w:w="4866" w:type="dxa"/>
            <w:tcBorders>
              <w:top w:val="nil"/>
              <w:left w:val="nil"/>
              <w:bottom w:val="nil"/>
              <w:right w:val="nil"/>
            </w:tcBorders>
            <w:tcMar>
              <w:top w:w="0" w:type="dxa"/>
              <w:left w:w="62" w:type="dxa"/>
              <w:bottom w:w="0" w:type="dxa"/>
              <w:right w:w="62" w:type="dxa"/>
            </w:tcMar>
          </w:tcPr>
          <w:p w:rsidR="00000000" w:rsidRPr="009C6B5B" w:rsidP="009C6B5B">
            <w:pPr>
              <w:pStyle w:val="List"/>
            </w:pPr>
            <w:r w:rsidRPr="009C6B5B">
              <w:t>4.1</w:t>
            </w:r>
            <w:r w:rsidRPr="009C6B5B">
              <w:tab/>
              <w:t xml:space="preserve">Identify relevant </w:t>
            </w:r>
            <w:r w:rsidRPr="009C6B5B">
              <w:rPr>
                <w:rStyle w:val="BoldandItalics"/>
              </w:rPr>
              <w:t>tools and equipment</w:t>
            </w:r>
            <w:r w:rsidRPr="009C6B5B">
              <w:t xml:space="preserve"> to suit the required installation or servicing procedure.</w:t>
            </w:r>
          </w:p>
          <w:p w:rsidR="00000000" w:rsidRPr="009C6B5B" w:rsidP="009C6B5B">
            <w:pPr>
              <w:pStyle w:val="List"/>
            </w:pPr>
            <w:r w:rsidRPr="009C6B5B">
              <w:t>4.2</w:t>
            </w:r>
            <w:r w:rsidRPr="009C6B5B">
              <w:tab/>
              <w:t>Identify appropr</w:t>
            </w:r>
            <w:r w:rsidRPr="009C6B5B">
              <w:t xml:space="preserve">iate </w:t>
            </w:r>
            <w:r w:rsidRPr="009C6B5B">
              <w:rPr>
                <w:rStyle w:val="BoldandItalics"/>
              </w:rPr>
              <w:t>hardware</w:t>
            </w:r>
            <w:r w:rsidRPr="009C6B5B">
              <w:t xml:space="preserve"> required for product installation or servicing procedure.</w:t>
            </w:r>
          </w:p>
          <w:p w:rsidR="00000000" w:rsidRPr="009C6B5B" w:rsidP="009C6B5B">
            <w:pPr>
              <w:pStyle w:val="List"/>
            </w:pPr>
            <w:r w:rsidRPr="009C6B5B">
              <w:t>4.3</w:t>
            </w:r>
            <w:r w:rsidRPr="009C6B5B">
              <w:tab/>
              <w:t xml:space="preserve">Use relevant </w:t>
            </w:r>
            <w:r w:rsidRPr="009C6B5B">
              <w:rPr>
                <w:rStyle w:val="BoldandItalics"/>
              </w:rPr>
              <w:t>tools and equipment</w:t>
            </w:r>
            <w:r w:rsidRPr="009C6B5B">
              <w:t xml:space="preserve"> for installation or servicing procedure according to </w:t>
            </w:r>
            <w:r w:rsidRPr="009C6B5B">
              <w:rPr>
                <w:rStyle w:val="BoldandItalics"/>
              </w:rPr>
              <w:t>organisational requirements</w:t>
            </w:r>
            <w:r w:rsidRPr="009C6B5B">
              <w:t xml:space="preserve">, and ODS, SGG and </w:t>
            </w:r>
            <w:r w:rsidRPr="009C6B5B">
              <w:rPr>
                <w:rStyle w:val="BoldandItalics"/>
              </w:rPr>
              <w:t>OHS policies and procedures</w:t>
            </w:r>
            <w:r w:rsidRPr="009C6B5B">
              <w:t>.</w:t>
            </w:r>
          </w:p>
        </w:tc>
      </w:tr>
    </w:tbl>
    <w:p w:rsidR="00D23247" w:rsidP="009C6B5B">
      <w:pPr>
        <w:pStyle w:val="BodyText"/>
      </w:pPr>
    </w:p>
    <w:p w:rsidR="00D23247" w:rsidP="009C6B5B">
      <w:pPr>
        <w:pStyle w:val="BodyText"/>
      </w:pPr>
    </w:p>
    <w:p w:rsidR="00000000" w:rsidRPr="009C6B5B" w:rsidP="009C6B5B">
      <w:pPr>
        <w:pStyle w:val="Heading1"/>
      </w:pPr>
      <w:bookmarkStart w:id="9" w:name="O_261501"/>
      <w:bookmarkEnd w:id="9"/>
      <w:r w:rsidRPr="009C6B5B">
        <w:t>Required Skills and Knowledge</w:t>
      </w:r>
    </w:p>
    <w:p w:rsidR="00000000" w:rsidRPr="009C6B5B" w:rsidP="009C6B5B">
      <w:pPr>
        <w:pStyle w:val="BodyText"/>
      </w:pPr>
      <w:r w:rsidRPr="009C6B5B">
        <w:rPr>
          <w:rStyle w:val="SpecialBold"/>
        </w:rPr>
        <w:t>REQUIRED SKILLS AND KNOWLEDGE</w:t>
      </w:r>
    </w:p>
    <w:p w:rsidR="00000000" w:rsidRPr="009C6B5B" w:rsidP="009C6B5B">
      <w:pPr>
        <w:pStyle w:val="BodyText"/>
      </w:pPr>
      <w:r w:rsidRPr="009C6B5B">
        <w:t>This section describes the essential skills and knowledge and their level, required for this unit.</w:t>
      </w:r>
    </w:p>
    <w:p w:rsidR="00000000" w:rsidRPr="009C6B5B" w:rsidP="009C6B5B">
      <w:pPr>
        <w:pStyle w:val="BodyText"/>
      </w:pPr>
      <w:r w:rsidRPr="009C6B5B">
        <w:rPr>
          <w:rStyle w:val="SpecialBold"/>
        </w:rPr>
        <w:t>Required skills</w:t>
      </w:r>
      <w:r w:rsidRPr="009C6B5B">
        <w:t>:</w:t>
      </w:r>
    </w:p>
    <w:p w:rsidR="00000000" w:rsidRPr="009C6B5B" w:rsidP="009C6B5B">
      <w:pPr>
        <w:pStyle w:val="ListBullet"/>
      </w:pPr>
      <w:r w:rsidRPr="009C6B5B">
        <w:t>identify hazards in the work area in preparation for service operation</w:t>
      </w:r>
    </w:p>
    <w:p w:rsidR="00000000" w:rsidRPr="009C6B5B" w:rsidP="009C6B5B">
      <w:pPr>
        <w:pStyle w:val="ListBullet"/>
      </w:pPr>
      <w:r w:rsidRPr="009C6B5B">
        <w:t>select and use equipment appropriately for the task at hand</w:t>
      </w:r>
    </w:p>
    <w:p w:rsidR="00000000" w:rsidRPr="009C6B5B" w:rsidP="009C6B5B">
      <w:pPr>
        <w:pStyle w:val="ListBullet"/>
      </w:pPr>
      <w:r w:rsidRPr="009C6B5B">
        <w:t>use tools and equipment safely</w:t>
      </w:r>
    </w:p>
    <w:p w:rsidR="00000000" w:rsidRPr="009C6B5B" w:rsidP="009C6B5B">
      <w:pPr>
        <w:pStyle w:val="ListBullet"/>
      </w:pPr>
      <w:r w:rsidRPr="009C6B5B">
        <w:t>access and use information</w:t>
      </w:r>
    </w:p>
    <w:p w:rsidR="00000000" w:rsidRPr="009C6B5B" w:rsidP="009C6B5B">
      <w:pPr>
        <w:pStyle w:val="ListBullet"/>
      </w:pPr>
      <w:r w:rsidRPr="009C6B5B">
        <w:t>plan and organise work in order to estimate time to complete activities and prioritise tasks</w:t>
      </w:r>
    </w:p>
    <w:p w:rsidR="00000000" w:rsidRPr="009C6B5B" w:rsidP="009C6B5B">
      <w:pPr>
        <w:pStyle w:val="ListBullet"/>
      </w:pPr>
      <w:r w:rsidRPr="009C6B5B">
        <w:t xml:space="preserve">remove any debris in the work area caused by </w:t>
      </w:r>
      <w:r w:rsidRPr="009C6B5B">
        <w:t>installation or servicing operation.</w:t>
      </w:r>
    </w:p>
    <w:p w:rsidR="00000000" w:rsidRPr="009C6B5B" w:rsidP="009C6B5B">
      <w:pPr>
        <w:pStyle w:val="BodyText"/>
      </w:pPr>
      <w:r w:rsidRPr="009C6B5B">
        <w:rPr>
          <w:rStyle w:val="SpecialBold"/>
        </w:rPr>
        <w:t>Required knowledge</w:t>
      </w:r>
      <w:r w:rsidRPr="009C6B5B">
        <w:t>:</w:t>
      </w:r>
    </w:p>
    <w:p w:rsidR="00000000" w:rsidRPr="009C6B5B" w:rsidP="009C6B5B">
      <w:pPr>
        <w:pStyle w:val="ListBullet"/>
      </w:pPr>
      <w:r w:rsidRPr="009C6B5B">
        <w:t>key features of legislation, regulations and codes applicable to fire protection equipment installation and servicing procedures</w:t>
      </w:r>
    </w:p>
    <w:p w:rsidR="00000000" w:rsidRPr="009C6B5B" w:rsidP="009C6B5B">
      <w:pPr>
        <w:pStyle w:val="ListBullet"/>
      </w:pPr>
      <w:r w:rsidRPr="009C6B5B">
        <w:t>purpose of the Building Code of Australia (BCA), occupancy permits an</w:t>
      </w:r>
      <w:r w:rsidRPr="009C6B5B">
        <w:t>d service bulletins from manufacturers</w:t>
      </w:r>
    </w:p>
    <w:p w:rsidR="00000000" w:rsidRPr="009C6B5B" w:rsidP="009C6B5B">
      <w:pPr>
        <w:pStyle w:val="ListBullet"/>
      </w:pPr>
      <w:r w:rsidRPr="009C6B5B">
        <w:t>implications of not applying legislative requirements to job functions</w:t>
      </w:r>
    </w:p>
    <w:p w:rsidR="00000000" w:rsidRPr="009C6B5B" w:rsidP="009C6B5B">
      <w:pPr>
        <w:pStyle w:val="ListBullet"/>
      </w:pPr>
      <w:r w:rsidRPr="009C6B5B">
        <w:t>reasons for preventing ODS and SGG emissions</w:t>
      </w:r>
    </w:p>
    <w:p w:rsidR="00000000" w:rsidRPr="009C6B5B" w:rsidP="009C6B5B">
      <w:pPr>
        <w:pStyle w:val="ListBullet"/>
      </w:pPr>
      <w:r w:rsidRPr="009C6B5B">
        <w:t>methods used to prevent ODS and SGG emissions</w:t>
      </w:r>
    </w:p>
    <w:p w:rsidR="00000000" w:rsidRPr="009C6B5B" w:rsidP="009C6B5B">
      <w:pPr>
        <w:pStyle w:val="ListBullet"/>
      </w:pPr>
      <w:r w:rsidRPr="009C6B5B">
        <w:t>action to take when a breach of health, safety and othe</w:t>
      </w:r>
      <w:r w:rsidRPr="009C6B5B">
        <w:t>r policies occurs</w:t>
      </w:r>
    </w:p>
    <w:p w:rsidR="00000000" w:rsidRPr="009C6B5B" w:rsidP="009C6B5B">
      <w:pPr>
        <w:pStyle w:val="ListBullet"/>
      </w:pPr>
      <w:r w:rsidRPr="009C6B5B">
        <w:t>purpose, function and structure of Australian standards</w:t>
      </w:r>
    </w:p>
    <w:p w:rsidR="00000000" w:rsidRPr="009C6B5B" w:rsidP="009C6B5B">
      <w:pPr>
        <w:pStyle w:val="ListBullet"/>
      </w:pPr>
      <w:r w:rsidRPr="009C6B5B">
        <w:t>awareness of on-site work permit requirements</w:t>
      </w:r>
    </w:p>
    <w:p w:rsidR="00000000" w:rsidRPr="009C6B5B" w:rsidP="009C6B5B">
      <w:pPr>
        <w:pStyle w:val="ListBullet"/>
      </w:pPr>
      <w:r w:rsidRPr="009C6B5B">
        <w:t>selection of appropriate tools and equipment for fire protection equipment installation and servicing operations</w:t>
      </w:r>
    </w:p>
    <w:p w:rsidR="00000000" w:rsidRPr="009C6B5B" w:rsidP="009C6B5B">
      <w:pPr>
        <w:pStyle w:val="ListBullet"/>
      </w:pPr>
      <w:r w:rsidRPr="009C6B5B">
        <w:t>types and purposes of r</w:t>
      </w:r>
      <w:r w:rsidRPr="009C6B5B">
        <w:t>elevant hardware items</w:t>
      </w:r>
    </w:p>
    <w:p w:rsidR="00000000" w:rsidRPr="009C6B5B" w:rsidP="009C6B5B">
      <w:pPr>
        <w:pStyle w:val="ListBullet"/>
      </w:pPr>
      <w:r w:rsidRPr="009C6B5B">
        <w:t>methods of using liquid adhesives for attaching location signs</w:t>
      </w:r>
    </w:p>
    <w:p w:rsidR="00000000" w:rsidRPr="009C6B5B" w:rsidP="009C6B5B">
      <w:pPr>
        <w:pStyle w:val="ListBullet"/>
      </w:pPr>
      <w:r w:rsidRPr="009C6B5B">
        <w:t>types of electrical safeguards used to protect persons and property</w:t>
      </w:r>
    </w:p>
    <w:p w:rsidR="00000000" w:rsidRPr="009C6B5B" w:rsidP="009C6B5B">
      <w:pPr>
        <w:pStyle w:val="ListBullet"/>
      </w:pPr>
      <w:r w:rsidRPr="009C6B5B">
        <w:t>maintenance requirements for relevant hand and power tools</w:t>
      </w:r>
    </w:p>
    <w:p w:rsidR="00000000" w:rsidRPr="009C6B5B" w:rsidP="009C6B5B">
      <w:pPr>
        <w:pStyle w:val="ListBullet"/>
      </w:pPr>
      <w:r w:rsidRPr="009C6B5B">
        <w:t>safety requirements for using tools and equ</w:t>
      </w:r>
      <w:r w:rsidRPr="009C6B5B">
        <w:t>ipment</w:t>
      </w:r>
    </w:p>
    <w:p w:rsidR="00000000" w:rsidRPr="009C6B5B" w:rsidP="009C6B5B">
      <w:pPr>
        <w:pStyle w:val="ListBullet"/>
      </w:pPr>
      <w:r w:rsidRPr="009C6B5B">
        <w:t>methods of holding work when using power tools</w:t>
      </w:r>
    </w:p>
    <w:p w:rsidR="00000000" w:rsidRPr="009C6B5B" w:rsidP="009C6B5B">
      <w:pPr>
        <w:pStyle w:val="ListBullet"/>
      </w:pPr>
      <w:r w:rsidRPr="009C6B5B">
        <w:t>methods of using detection equipment for finding hidden utilities</w:t>
      </w:r>
    </w:p>
    <w:p w:rsidR="00000000" w:rsidRPr="009C6B5B" w:rsidP="009C6B5B">
      <w:pPr>
        <w:pStyle w:val="ListBullet"/>
      </w:pPr>
      <w:r w:rsidRPr="009C6B5B">
        <w:t>methods of converting basic units of measurement and pressure</w:t>
      </w:r>
    </w:p>
    <w:p w:rsidR="00000000" w:rsidRPr="009C6B5B" w:rsidP="009C6B5B">
      <w:pPr>
        <w:pStyle w:val="ListBullet"/>
      </w:pPr>
      <w:r w:rsidRPr="009C6B5B">
        <w:t>relevant federal, state or territory legislation that affects organisational operations, including:</w:t>
      </w:r>
    </w:p>
    <w:p w:rsidR="00000000" w:rsidRPr="009C6B5B" w:rsidP="009C6B5B">
      <w:pPr>
        <w:pStyle w:val="ListBullet2"/>
      </w:pPr>
      <w:r w:rsidRPr="009C6B5B">
        <w:t>anti-discrimination and diversity</w:t>
      </w:r>
    </w:p>
    <w:p w:rsidR="00000000" w:rsidRPr="009C6B5B" w:rsidP="009C6B5B">
      <w:pPr>
        <w:pStyle w:val="ListBullet2"/>
      </w:pPr>
      <w:r w:rsidRPr="009C6B5B">
        <w:t>equal employment opportunity</w:t>
      </w:r>
    </w:p>
    <w:p w:rsidR="00000000" w:rsidRPr="009C6B5B" w:rsidP="009C6B5B">
      <w:pPr>
        <w:pStyle w:val="ListBullet2"/>
      </w:pPr>
      <w:r w:rsidRPr="009C6B5B">
        <w:t>industrial relations.</w:t>
      </w:r>
    </w:p>
    <w:p w:rsidR="00000000" w:rsidRPr="009C6B5B" w:rsidP="009C6B5B">
      <w:pPr>
        <w:pStyle w:val="BodyText"/>
      </w:pPr>
      <w:r w:rsidRPr="009C6B5B">
        <w:rPr>
          <w:rStyle w:val="SpecialBold"/>
        </w:rPr>
        <w:t>KEY COMPETENCIES</w:t>
      </w:r>
    </w:p>
    <w:p w:rsidR="00000000" w:rsidRPr="009C6B5B" w:rsidP="009C6B5B">
      <w:pPr>
        <w:pStyle w:val="BodyText"/>
      </w:pPr>
      <w:r w:rsidRPr="009C6B5B">
        <w:t>The seven key competencies represent generic skills c</w:t>
      </w:r>
      <w:r w:rsidRPr="009C6B5B">
        <w:t>onsidered necessary for effective participation by an individual in the workplace.</w:t>
      </w:r>
    </w:p>
    <w:p w:rsidR="00000000" w:rsidRPr="009C6B5B" w:rsidP="009C6B5B">
      <w:pPr>
        <w:pStyle w:val="BodyText"/>
      </w:pPr>
      <w:r w:rsidRPr="009C6B5B">
        <w:t>Performance level 1 - at this level the candidate is required to undertake tasks effectively.</w:t>
      </w:r>
      <w:r w:rsidRPr="009C6B5B">
        <w:br/>
        <w:t>Performance level 2 - at this level the candidate is required to manage tasks.</w:t>
      </w:r>
      <w:r w:rsidRPr="009C6B5B">
        <w:br/>
      </w:r>
      <w:r w:rsidRPr="009C6B5B">
        <w:t>Performance level 3 - at this level the candidate is required to use concepts for evaluating and reshaping tasks.</w:t>
      </w:r>
    </w:p>
    <w:tbl>
      <w:tblPr>
        <w:tblW w:w="0" w:type="auto"/>
        <w:tblLayout w:type="fixed"/>
        <w:tblCellMar>
          <w:left w:w="62" w:type="dxa"/>
          <w:right w:w="62" w:type="dxa"/>
        </w:tblCellMar>
        <w:tblLook w:val="0000"/>
      </w:tblPr>
      <w:tblGrid>
        <w:gridCol w:w="2772"/>
        <w:gridCol w:w="4157"/>
        <w:gridCol w:w="1568"/>
      </w:tblGrid>
      <w:tr w:rsidTr="00D23247">
        <w:tblPrEx>
          <w:tblW w:w="0" w:type="auto"/>
          <w:tblLayout w:type="fixed"/>
          <w:tblCellMar>
            <w:left w:w="62" w:type="dxa"/>
            <w:right w:w="62" w:type="dxa"/>
          </w:tblCellMar>
          <w:tblLook w:val="0000"/>
        </w:tblPrEx>
        <w:trPr>
          <w:tblHeader/>
        </w:trPr>
        <w:tc>
          <w:tcPr>
            <w:tcW w:w="2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6B5B" w:rsidP="009C6B5B">
            <w:pPr>
              <w:pStyle w:val="BodyText"/>
            </w:pPr>
            <w:r w:rsidRPr="009C6B5B">
              <w:rPr>
                <w:rStyle w:val="SpecialBold"/>
              </w:rPr>
              <w:t>Key competency</w:t>
            </w:r>
          </w:p>
        </w:tc>
        <w:tc>
          <w:tcPr>
            <w:tcW w:w="41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6B5B" w:rsidP="009C6B5B">
            <w:pPr>
              <w:pStyle w:val="BodyText"/>
            </w:pPr>
            <w:r w:rsidRPr="009C6B5B">
              <w:rPr>
                <w:rStyle w:val="SpecialBold"/>
              </w:rPr>
              <w:t>Example of application</w:t>
            </w:r>
          </w:p>
        </w:tc>
        <w:tc>
          <w:tcPr>
            <w:tcW w:w="1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6B5B">
            <w:pPr>
              <w:pStyle w:val="BodyText"/>
              <w:rPr>
                <w:lang w:val="en-NZ"/>
              </w:rPr>
            </w:pPr>
            <w:r w:rsidRPr="009C6B5B">
              <w:rPr>
                <w:rStyle w:val="SpecialBold"/>
              </w:rPr>
              <w:t>Performance level</w:t>
            </w:r>
          </w:p>
        </w:tc>
      </w:tr>
      <w:tr w:rsidTr="00D23247">
        <w:tblPrEx>
          <w:tblW w:w="0" w:type="auto"/>
          <w:tblLayout w:type="fixed"/>
          <w:tblCellMar>
            <w:left w:w="62" w:type="dxa"/>
            <w:right w:w="62" w:type="dxa"/>
          </w:tblCellMar>
          <w:tblLook w:val="0000"/>
        </w:tblPrEx>
        <w:tc>
          <w:tcPr>
            <w:tcW w:w="2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6B5B">
            <w:pPr>
              <w:pStyle w:val="BodyText"/>
              <w:rPr>
                <w:lang w:val="en-NZ"/>
              </w:rPr>
            </w:pPr>
            <w:r w:rsidRPr="009C6B5B">
              <w:t>How are ideas and information communicated?</w:t>
            </w:r>
          </w:p>
        </w:tc>
        <w:tc>
          <w:tcPr>
            <w:tcW w:w="41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6B5B">
            <w:pPr>
              <w:pStyle w:val="BodyText"/>
              <w:rPr>
                <w:lang w:val="en-NZ"/>
              </w:rPr>
            </w:pPr>
            <w:r w:rsidRPr="009C6B5B">
              <w:t>Discuss own role and responsibilities and confirm with work group compliance requirements of Australian standards and the organisation.</w:t>
            </w:r>
          </w:p>
        </w:tc>
        <w:tc>
          <w:tcPr>
            <w:tcW w:w="1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6B5B">
            <w:pPr>
              <w:pStyle w:val="BodyText"/>
              <w:rPr>
                <w:lang w:val="en-NZ"/>
              </w:rPr>
            </w:pPr>
            <w:r w:rsidRPr="009C6B5B">
              <w:t>1</w:t>
            </w:r>
          </w:p>
        </w:tc>
      </w:tr>
      <w:tr w:rsidTr="00D23247">
        <w:tblPrEx>
          <w:tblW w:w="0" w:type="auto"/>
          <w:tblLayout w:type="fixed"/>
          <w:tblCellMar>
            <w:left w:w="62" w:type="dxa"/>
            <w:right w:w="62" w:type="dxa"/>
          </w:tblCellMar>
          <w:tblLook w:val="0000"/>
        </w:tblPrEx>
        <w:tc>
          <w:tcPr>
            <w:tcW w:w="2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6B5B">
            <w:pPr>
              <w:pStyle w:val="BodyText"/>
              <w:rPr>
                <w:lang w:val="en-NZ"/>
              </w:rPr>
            </w:pPr>
            <w:r w:rsidRPr="009C6B5B">
              <w:t>How can information be collected, analysed and organised?</w:t>
            </w:r>
          </w:p>
        </w:tc>
        <w:tc>
          <w:tcPr>
            <w:tcW w:w="41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6B5B">
            <w:pPr>
              <w:pStyle w:val="BodyText"/>
              <w:rPr>
                <w:lang w:val="en-NZ"/>
              </w:rPr>
            </w:pPr>
            <w:r w:rsidRPr="009C6B5B">
              <w:t>Gather information from a number of sources, including Aust</w:t>
            </w:r>
            <w:r w:rsidRPr="009C6B5B">
              <w:t>ralian standards, relating to portable firefighting equipment so that accurate preparations occur.</w:t>
            </w:r>
          </w:p>
        </w:tc>
        <w:tc>
          <w:tcPr>
            <w:tcW w:w="1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6B5B">
            <w:pPr>
              <w:pStyle w:val="BodyText"/>
              <w:rPr>
                <w:lang w:val="en-NZ"/>
              </w:rPr>
            </w:pPr>
            <w:r w:rsidRPr="009C6B5B">
              <w:t>2</w:t>
            </w:r>
          </w:p>
        </w:tc>
      </w:tr>
      <w:tr w:rsidTr="00D23247">
        <w:tblPrEx>
          <w:tblW w:w="0" w:type="auto"/>
          <w:tblLayout w:type="fixed"/>
          <w:tblCellMar>
            <w:left w:w="62" w:type="dxa"/>
            <w:right w:w="62" w:type="dxa"/>
          </w:tblCellMar>
          <w:tblLook w:val="0000"/>
        </w:tblPrEx>
        <w:tc>
          <w:tcPr>
            <w:tcW w:w="2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6B5B">
            <w:pPr>
              <w:pStyle w:val="BodyText"/>
              <w:rPr>
                <w:lang w:val="en-NZ"/>
              </w:rPr>
            </w:pPr>
            <w:r w:rsidRPr="009C6B5B">
              <w:t>How are activities planned and organised?</w:t>
            </w:r>
          </w:p>
        </w:tc>
        <w:tc>
          <w:tcPr>
            <w:tcW w:w="41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6B5B">
            <w:pPr>
              <w:pStyle w:val="BodyText"/>
              <w:rPr>
                <w:lang w:val="en-NZ"/>
              </w:rPr>
            </w:pPr>
            <w:r w:rsidRPr="009C6B5B">
              <w:t>Prepare for maintenance activities especially with regard to assembling appropriate tools and hardware.</w:t>
            </w:r>
          </w:p>
        </w:tc>
        <w:tc>
          <w:tcPr>
            <w:tcW w:w="1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6B5B">
            <w:pPr>
              <w:pStyle w:val="BodyText"/>
              <w:rPr>
                <w:lang w:val="en-NZ"/>
              </w:rPr>
            </w:pPr>
            <w:r w:rsidRPr="009C6B5B">
              <w:t>2</w:t>
            </w:r>
          </w:p>
        </w:tc>
      </w:tr>
      <w:tr w:rsidTr="00D23247">
        <w:tblPrEx>
          <w:tblW w:w="0" w:type="auto"/>
          <w:tblLayout w:type="fixed"/>
          <w:tblCellMar>
            <w:left w:w="62" w:type="dxa"/>
            <w:right w:w="62" w:type="dxa"/>
          </w:tblCellMar>
          <w:tblLook w:val="0000"/>
        </w:tblPrEx>
        <w:tc>
          <w:tcPr>
            <w:tcW w:w="2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6B5B">
            <w:pPr>
              <w:pStyle w:val="BodyText"/>
              <w:rPr>
                <w:lang w:val="en-NZ"/>
              </w:rPr>
            </w:pPr>
            <w:r w:rsidRPr="009C6B5B">
              <w:t>How i</w:t>
            </w:r>
            <w:r w:rsidRPr="009C6B5B">
              <w:t>s teamwork used?</w:t>
            </w:r>
          </w:p>
        </w:tc>
        <w:tc>
          <w:tcPr>
            <w:tcW w:w="41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6B5B">
            <w:pPr>
              <w:pStyle w:val="BodyText"/>
              <w:rPr>
                <w:lang w:val="en-NZ"/>
              </w:rPr>
            </w:pPr>
            <w:r w:rsidRPr="009C6B5B">
              <w:t>Provide support and assistance within work groups.</w:t>
            </w:r>
          </w:p>
        </w:tc>
        <w:tc>
          <w:tcPr>
            <w:tcW w:w="1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6B5B">
            <w:pPr>
              <w:pStyle w:val="BodyText"/>
              <w:rPr>
                <w:lang w:val="en-NZ"/>
              </w:rPr>
            </w:pPr>
            <w:r w:rsidRPr="009C6B5B">
              <w:t>1</w:t>
            </w:r>
          </w:p>
        </w:tc>
      </w:tr>
      <w:tr w:rsidTr="00D23247">
        <w:tblPrEx>
          <w:tblW w:w="0" w:type="auto"/>
          <w:tblLayout w:type="fixed"/>
          <w:tblCellMar>
            <w:left w:w="62" w:type="dxa"/>
            <w:right w:w="62" w:type="dxa"/>
          </w:tblCellMar>
          <w:tblLook w:val="0000"/>
        </w:tblPrEx>
        <w:tc>
          <w:tcPr>
            <w:tcW w:w="2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6B5B">
            <w:pPr>
              <w:pStyle w:val="BodyText"/>
              <w:rPr>
                <w:lang w:val="en-NZ"/>
              </w:rPr>
            </w:pPr>
            <w:r w:rsidRPr="009C6B5B">
              <w:t>How are mathematical ideas and techniques used?</w:t>
            </w:r>
          </w:p>
        </w:tc>
        <w:tc>
          <w:tcPr>
            <w:tcW w:w="41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6B5B">
            <w:pPr>
              <w:pStyle w:val="BodyText"/>
              <w:rPr>
                <w:lang w:val="en-NZ"/>
              </w:rPr>
            </w:pPr>
            <w:r w:rsidRPr="009C6B5B">
              <w:t>Discuss basic mathematical techniques, including measuring pressure and adhering to designated timelines.</w:t>
            </w:r>
          </w:p>
        </w:tc>
        <w:tc>
          <w:tcPr>
            <w:tcW w:w="1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6B5B">
            <w:pPr>
              <w:pStyle w:val="BodyText"/>
              <w:rPr>
                <w:lang w:val="en-NZ"/>
              </w:rPr>
            </w:pPr>
            <w:r w:rsidRPr="009C6B5B">
              <w:t>1</w:t>
            </w:r>
          </w:p>
        </w:tc>
      </w:tr>
      <w:tr w:rsidTr="00D23247">
        <w:tblPrEx>
          <w:tblW w:w="0" w:type="auto"/>
          <w:tblLayout w:type="fixed"/>
          <w:tblCellMar>
            <w:left w:w="62" w:type="dxa"/>
            <w:right w:w="62" w:type="dxa"/>
          </w:tblCellMar>
          <w:tblLook w:val="0000"/>
        </w:tblPrEx>
        <w:tc>
          <w:tcPr>
            <w:tcW w:w="2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6B5B">
            <w:pPr>
              <w:pStyle w:val="BodyText"/>
              <w:rPr>
                <w:lang w:val="en-NZ"/>
              </w:rPr>
            </w:pPr>
            <w:r w:rsidRPr="009C6B5B">
              <w:t>How are problem-solving skills applied?</w:t>
            </w:r>
          </w:p>
        </w:tc>
        <w:tc>
          <w:tcPr>
            <w:tcW w:w="41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6B5B">
            <w:pPr>
              <w:pStyle w:val="BodyText"/>
              <w:rPr>
                <w:lang w:val="en-NZ"/>
              </w:rPr>
            </w:pPr>
            <w:r w:rsidRPr="009C6B5B">
              <w:t>Prepare activities identifying problem-solving techniques to ensure safeguards for persons and property.</w:t>
            </w:r>
          </w:p>
        </w:tc>
        <w:tc>
          <w:tcPr>
            <w:tcW w:w="1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6B5B">
            <w:pPr>
              <w:pStyle w:val="BodyText"/>
              <w:rPr>
                <w:lang w:val="en-NZ"/>
              </w:rPr>
            </w:pPr>
            <w:r w:rsidRPr="009C6B5B">
              <w:t>2</w:t>
            </w:r>
          </w:p>
        </w:tc>
      </w:tr>
      <w:tr w:rsidTr="00D23247">
        <w:tblPrEx>
          <w:tblW w:w="0" w:type="auto"/>
          <w:tblLayout w:type="fixed"/>
          <w:tblCellMar>
            <w:left w:w="62" w:type="dxa"/>
            <w:right w:w="62" w:type="dxa"/>
          </w:tblCellMar>
          <w:tblLook w:val="0000"/>
        </w:tblPrEx>
        <w:tc>
          <w:tcPr>
            <w:tcW w:w="2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6B5B">
            <w:pPr>
              <w:pStyle w:val="BodyText"/>
              <w:rPr>
                <w:lang w:val="en-NZ"/>
              </w:rPr>
            </w:pPr>
            <w:r w:rsidRPr="009C6B5B">
              <w:t>How is the use of technology applied?</w:t>
            </w:r>
          </w:p>
        </w:tc>
        <w:tc>
          <w:tcPr>
            <w:tcW w:w="41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6B5B">
            <w:pPr>
              <w:pStyle w:val="BodyText"/>
              <w:rPr>
                <w:lang w:val="en-NZ"/>
              </w:rPr>
            </w:pPr>
            <w:r w:rsidRPr="009C6B5B">
              <w:t>Discuss and apply technological principles to the preparation process.</w:t>
            </w:r>
          </w:p>
        </w:tc>
        <w:tc>
          <w:tcPr>
            <w:tcW w:w="1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6B5B" w:rsidP="009C6B5B">
            <w:pPr>
              <w:pStyle w:val="BodyText"/>
            </w:pPr>
            <w:r w:rsidRPr="009C6B5B">
              <w:t>2</w:t>
            </w:r>
          </w:p>
        </w:tc>
      </w:tr>
    </w:tbl>
    <w:p w:rsidR="00D23247" w:rsidP="009C6B5B">
      <w:pPr>
        <w:pStyle w:val="BodyText"/>
      </w:pPr>
    </w:p>
    <w:p w:rsidR="00D23247" w:rsidP="009C6B5B">
      <w:pPr>
        <w:pStyle w:val="BodyText"/>
      </w:pPr>
    </w:p>
    <w:p w:rsidR="00000000" w:rsidRPr="009C6B5B" w:rsidP="009C6B5B">
      <w:pPr>
        <w:pStyle w:val="Heading1"/>
      </w:pPr>
      <w:bookmarkStart w:id="10" w:name="O_245598"/>
      <w:bookmarkEnd w:id="10"/>
      <w:r w:rsidRPr="009C6B5B">
        <w:t>Evidence Guide</w:t>
      </w:r>
    </w:p>
    <w:p w:rsidR="00000000" w:rsidRPr="009C6B5B" w:rsidP="009C6B5B">
      <w:pPr>
        <w:pStyle w:val="BodyText"/>
      </w:pPr>
      <w:r w:rsidRPr="009C6B5B">
        <w:rPr>
          <w:rStyle w:val="SpecialBold"/>
        </w:rPr>
        <w:t>EVIDENCE GUIDE</w:t>
      </w:r>
    </w:p>
    <w:p w:rsidR="00000000" w:rsidRPr="009C6B5B" w:rsidP="009C6B5B">
      <w:pPr>
        <w:pStyle w:val="BodyText"/>
      </w:pPr>
      <w:r w:rsidRPr="009C6B5B">
        <w:t>The evidence guide provides advice on assessment and must be read in conjunction with the performance criteria, required skills and knowledge, the range statement and the Assessment Guidelines for this T</w:t>
      </w:r>
      <w:r w:rsidRPr="009C6B5B">
        <w:t>raining Package.</w:t>
      </w:r>
    </w:p>
    <w:tbl>
      <w:tblPr>
        <w:tblW w:w="0" w:type="auto"/>
        <w:tblLayout w:type="fixed"/>
        <w:tblCellMar>
          <w:left w:w="62" w:type="dxa"/>
          <w:right w:w="62" w:type="dxa"/>
        </w:tblCellMar>
        <w:tblLook w:val="0000"/>
      </w:tblPr>
      <w:tblGrid>
        <w:gridCol w:w="3389"/>
        <w:gridCol w:w="5094"/>
      </w:tblGrid>
      <w:tr w:rsidTr="00D23247">
        <w:tblPrEx>
          <w:tblW w:w="0" w:type="auto"/>
          <w:tblLayout w:type="fixed"/>
          <w:tblCellMar>
            <w:left w:w="62" w:type="dxa"/>
            <w:right w:w="62" w:type="dxa"/>
          </w:tblCellMar>
          <w:tblLook w:val="0000"/>
        </w:tblPrEx>
        <w:tc>
          <w:tcPr>
            <w:tcW w:w="3389" w:type="dxa"/>
            <w:tcBorders>
              <w:top w:val="nil"/>
              <w:left w:val="nil"/>
              <w:bottom w:val="nil"/>
              <w:right w:val="nil"/>
            </w:tcBorders>
            <w:tcMar>
              <w:top w:w="0" w:type="dxa"/>
              <w:left w:w="62" w:type="dxa"/>
              <w:bottom w:w="0" w:type="dxa"/>
              <w:right w:w="62" w:type="dxa"/>
            </w:tcMar>
          </w:tcPr>
          <w:p w:rsidR="00000000" w:rsidP="009C6B5B">
            <w:pPr>
              <w:pStyle w:val="BodyText"/>
              <w:rPr>
                <w:lang w:val="en-NZ"/>
              </w:rPr>
            </w:pPr>
            <w:r w:rsidRPr="009C6B5B">
              <w:rPr>
                <w:rStyle w:val="SpecialBold"/>
              </w:rPr>
              <w:t>Overview of assessment</w:t>
            </w:r>
          </w:p>
        </w:tc>
        <w:tc>
          <w:tcPr>
            <w:tcW w:w="5094" w:type="dxa"/>
            <w:tcBorders>
              <w:top w:val="nil"/>
              <w:left w:val="nil"/>
              <w:bottom w:val="nil"/>
              <w:right w:val="nil"/>
            </w:tcBorders>
            <w:tcMar>
              <w:top w:w="0" w:type="dxa"/>
              <w:left w:w="62" w:type="dxa"/>
              <w:bottom w:w="0" w:type="dxa"/>
              <w:right w:w="62" w:type="dxa"/>
            </w:tcMar>
          </w:tcPr>
          <w:p w:rsidR="00000000" w:rsidRPr="009C6B5B" w:rsidP="009C6B5B">
            <w:pPr>
              <w:pStyle w:val="ListBullet"/>
            </w:pPr>
            <w:r w:rsidRPr="009C6B5B">
              <w:t>This unit could be assessed on its own or in combination with other units of competency relevant to the job function, for example:</w:t>
            </w:r>
          </w:p>
          <w:p w:rsidR="00000000" w:rsidRPr="009C6B5B" w:rsidP="009C6B5B">
            <w:pPr>
              <w:pStyle w:val="ListBullet2"/>
            </w:pPr>
            <w:r w:rsidRPr="009C6B5B">
              <w:t xml:space="preserve">PRMPFES04B </w:t>
            </w:r>
            <w:r w:rsidRPr="009C6B5B">
              <w:rPr>
                <w:rStyle w:val="Emphasis"/>
              </w:rPr>
              <w:t>Identify fire protection equipment</w:t>
            </w:r>
          </w:p>
          <w:p w:rsidR="00000000" w:rsidP="009C6B5B">
            <w:pPr>
              <w:pStyle w:val="ListBullet2"/>
              <w:rPr>
                <w:lang w:val="en-NZ"/>
              </w:rPr>
            </w:pPr>
            <w:r w:rsidRPr="009C6B5B">
              <w:t xml:space="preserve">PRMPFES05B </w:t>
            </w:r>
            <w:r w:rsidRPr="009C6B5B">
              <w:rPr>
                <w:rStyle w:val="Emphasis"/>
              </w:rPr>
              <w:t>Use portable firefighting equipment</w:t>
            </w:r>
            <w:r w:rsidRPr="009C6B5B">
              <w:t>.</w:t>
            </w:r>
          </w:p>
        </w:tc>
      </w:tr>
      <w:tr w:rsidTr="00D23247">
        <w:tblPrEx>
          <w:tblW w:w="0" w:type="auto"/>
          <w:tblLayout w:type="fixed"/>
          <w:tblCellMar>
            <w:left w:w="62" w:type="dxa"/>
            <w:right w:w="62" w:type="dxa"/>
          </w:tblCellMar>
          <w:tblLook w:val="0000"/>
        </w:tblPrEx>
        <w:tc>
          <w:tcPr>
            <w:tcW w:w="3389" w:type="dxa"/>
            <w:tcBorders>
              <w:top w:val="nil"/>
              <w:left w:val="nil"/>
              <w:bottom w:val="nil"/>
              <w:right w:val="nil"/>
            </w:tcBorders>
            <w:tcMar>
              <w:top w:w="0" w:type="dxa"/>
              <w:left w:w="62" w:type="dxa"/>
              <w:bottom w:w="0" w:type="dxa"/>
              <w:right w:w="62" w:type="dxa"/>
            </w:tcMar>
          </w:tcPr>
          <w:p w:rsidR="00000000" w:rsidP="009C6B5B">
            <w:pPr>
              <w:pStyle w:val="BodyText"/>
              <w:rPr>
                <w:lang w:val="en-NZ"/>
              </w:rPr>
            </w:pPr>
            <w:r w:rsidRPr="009C6B5B">
              <w:rPr>
                <w:rStyle w:val="SpecialBold"/>
              </w:rPr>
              <w:t>Critical aspects for assessment and evidence required to demonstrate competency in this unit</w:t>
            </w:r>
          </w:p>
        </w:tc>
        <w:tc>
          <w:tcPr>
            <w:tcW w:w="5094" w:type="dxa"/>
            <w:tcBorders>
              <w:top w:val="nil"/>
              <w:left w:val="nil"/>
              <w:bottom w:val="nil"/>
              <w:right w:val="nil"/>
            </w:tcBorders>
            <w:tcMar>
              <w:top w:w="0" w:type="dxa"/>
              <w:left w:w="62" w:type="dxa"/>
              <w:bottom w:w="0" w:type="dxa"/>
              <w:right w:w="62" w:type="dxa"/>
            </w:tcMar>
          </w:tcPr>
          <w:p w:rsidR="00000000" w:rsidRPr="009C6B5B" w:rsidP="009C6B5B">
            <w:pPr>
              <w:pStyle w:val="ListBullet"/>
            </w:pPr>
            <w:r w:rsidRPr="009C6B5B">
              <w:t>A person who demonstrates competency in this unit must be able to provide evidence of:</w:t>
            </w:r>
          </w:p>
          <w:p w:rsidR="00000000" w:rsidRPr="009C6B5B" w:rsidP="009C6B5B">
            <w:pPr>
              <w:pStyle w:val="ListBullet2"/>
            </w:pPr>
            <w:r w:rsidRPr="009C6B5B">
              <w:t xml:space="preserve">locating, interpreting and applying </w:t>
            </w:r>
            <w:r w:rsidRPr="009C6B5B">
              <w:t>relevant information, standards and specifications</w:t>
            </w:r>
          </w:p>
          <w:p w:rsidR="00000000" w:rsidRPr="009C6B5B" w:rsidP="009C6B5B">
            <w:pPr>
              <w:pStyle w:val="ListBullet2"/>
            </w:pPr>
            <w:r w:rsidRPr="009C6B5B">
              <w:t>complying with site safety plan, OHS regulations and ODS and SGG regulations (where required) and state and territory legislation applicable to workplace operations</w:t>
            </w:r>
          </w:p>
          <w:p w:rsidR="00000000" w:rsidRPr="009C6B5B" w:rsidP="009C6B5B">
            <w:pPr>
              <w:pStyle w:val="ListBullet2"/>
            </w:pPr>
            <w:r w:rsidRPr="009C6B5B">
              <w:t>complying with organisational policies and procedures, including quality requirements</w:t>
            </w:r>
          </w:p>
          <w:p w:rsidR="00000000" w:rsidRPr="009C6B5B" w:rsidP="009C6B5B">
            <w:pPr>
              <w:pStyle w:val="ListBullet2"/>
            </w:pPr>
            <w:r w:rsidRPr="009C6B5B">
              <w:t>communicating and working effectively and safely with others</w:t>
            </w:r>
          </w:p>
          <w:p w:rsidR="00000000" w:rsidRPr="009C6B5B" w:rsidP="009C6B5B">
            <w:pPr>
              <w:pStyle w:val="ListBullet2"/>
            </w:pPr>
            <w:r w:rsidRPr="009C6B5B">
              <w:t>in a minimum of two different settings:</w:t>
            </w:r>
          </w:p>
          <w:p w:rsidR="00000000" w:rsidRPr="009C6B5B" w:rsidP="009C6B5B">
            <w:pPr>
              <w:pStyle w:val="ListBullet2"/>
            </w:pPr>
            <w:r w:rsidRPr="009C6B5B">
              <w:t>identifying and interpreting Australian standards relevant to install</w:t>
            </w:r>
            <w:r w:rsidRPr="009C6B5B">
              <w:t>ation and servicing operations</w:t>
            </w:r>
          </w:p>
          <w:p w:rsidR="00000000" w:rsidRPr="009C6B5B" w:rsidP="009C6B5B">
            <w:pPr>
              <w:pStyle w:val="ListBullet2"/>
            </w:pPr>
            <w:r w:rsidRPr="009C6B5B">
              <w:t>demonstrating knowledge of the Building Code of Australia (BCA), occupancy permits and service bulletins from manufacturers</w:t>
            </w:r>
          </w:p>
          <w:p w:rsidR="00000000" w:rsidRPr="009C6B5B" w:rsidP="009C6B5B">
            <w:pPr>
              <w:pStyle w:val="ListBullet2"/>
            </w:pPr>
            <w:r w:rsidRPr="009C6B5B">
              <w:t>identifying risk reduction measures</w:t>
            </w:r>
          </w:p>
          <w:p w:rsidR="00000000" w:rsidRPr="009C6B5B" w:rsidP="009C6B5B">
            <w:pPr>
              <w:pStyle w:val="ListBullet2"/>
            </w:pPr>
            <w:r w:rsidRPr="009C6B5B">
              <w:t>preparing work area for installation and servicing operations</w:t>
            </w:r>
          </w:p>
          <w:p w:rsidR="00000000" w:rsidRPr="009C6B5B" w:rsidP="009C6B5B">
            <w:pPr>
              <w:pStyle w:val="ListBullet2"/>
            </w:pPr>
            <w:r w:rsidRPr="009C6B5B">
              <w:t>ide</w:t>
            </w:r>
            <w:r w:rsidRPr="009C6B5B">
              <w:t>ntifying, selecting and assembling hardware</w:t>
            </w:r>
          </w:p>
          <w:p w:rsidR="00000000" w:rsidRPr="009C6B5B" w:rsidP="009C6B5B">
            <w:pPr>
              <w:pStyle w:val="ListBullet2"/>
            </w:pPr>
            <w:r w:rsidRPr="009C6B5B">
              <w:t>identifying and selecting tools, equipment and hardware required to perform installation or servicing operations</w:t>
            </w:r>
          </w:p>
          <w:p w:rsidR="00000000" w:rsidRPr="009C6B5B" w:rsidP="009C6B5B">
            <w:pPr>
              <w:pStyle w:val="ListBullet2"/>
            </w:pPr>
            <w:r w:rsidRPr="009C6B5B">
              <w:t>using tools, equipment and hardware effectively to perform installation and servicing operations</w:t>
            </w:r>
          </w:p>
          <w:p w:rsidR="00000000" w:rsidRPr="009C6B5B" w:rsidP="009C6B5B">
            <w:pPr>
              <w:pStyle w:val="ListBullet2"/>
            </w:pPr>
            <w:r w:rsidRPr="009C6B5B">
              <w:t>ad</w:t>
            </w:r>
            <w:r w:rsidRPr="009C6B5B">
              <w:t>hering to safety procedures during preparation procedures</w:t>
            </w:r>
          </w:p>
          <w:p w:rsidR="00000000" w:rsidRPr="009C6B5B" w:rsidP="009C6B5B">
            <w:pPr>
              <w:pStyle w:val="ListBullet2"/>
            </w:pPr>
            <w:r w:rsidRPr="009C6B5B">
              <w:t>completing workplace housekeeping requirements</w:t>
            </w:r>
          </w:p>
          <w:p w:rsidR="00000000" w:rsidP="009C6B5B">
            <w:pPr>
              <w:pStyle w:val="ListBullet2"/>
              <w:rPr>
                <w:lang w:val="en-NZ"/>
              </w:rPr>
            </w:pPr>
            <w:r w:rsidRPr="009C6B5B">
              <w:t>creating appropriate records and documentation.</w:t>
            </w:r>
          </w:p>
        </w:tc>
      </w:tr>
      <w:tr w:rsidTr="00D23247">
        <w:tblPrEx>
          <w:tblW w:w="0" w:type="auto"/>
          <w:tblLayout w:type="fixed"/>
          <w:tblCellMar>
            <w:left w:w="62" w:type="dxa"/>
            <w:right w:w="62" w:type="dxa"/>
          </w:tblCellMar>
          <w:tblLook w:val="0000"/>
        </w:tblPrEx>
        <w:tc>
          <w:tcPr>
            <w:tcW w:w="3389" w:type="dxa"/>
            <w:tcBorders>
              <w:top w:val="nil"/>
              <w:left w:val="nil"/>
              <w:bottom w:val="nil"/>
              <w:right w:val="nil"/>
            </w:tcBorders>
            <w:tcMar>
              <w:top w:w="0" w:type="dxa"/>
              <w:left w:w="62" w:type="dxa"/>
              <w:bottom w:w="0" w:type="dxa"/>
              <w:right w:w="62" w:type="dxa"/>
            </w:tcMar>
          </w:tcPr>
          <w:p w:rsidR="00000000" w:rsidP="009C6B5B">
            <w:pPr>
              <w:pStyle w:val="BodyText"/>
              <w:rPr>
                <w:lang w:val="en-NZ"/>
              </w:rPr>
            </w:pPr>
            <w:r w:rsidRPr="009C6B5B">
              <w:rPr>
                <w:rStyle w:val="SpecialBold"/>
              </w:rPr>
              <w:t>Specific resources for assessment</w:t>
            </w:r>
          </w:p>
        </w:tc>
        <w:tc>
          <w:tcPr>
            <w:tcW w:w="5094" w:type="dxa"/>
            <w:tcBorders>
              <w:top w:val="nil"/>
              <w:left w:val="nil"/>
              <w:bottom w:val="nil"/>
              <w:right w:val="nil"/>
            </w:tcBorders>
            <w:tcMar>
              <w:top w:w="0" w:type="dxa"/>
              <w:left w:w="62" w:type="dxa"/>
              <w:bottom w:w="0" w:type="dxa"/>
              <w:right w:w="62" w:type="dxa"/>
            </w:tcMar>
          </w:tcPr>
          <w:p w:rsidR="00000000" w:rsidRPr="009C6B5B" w:rsidP="009C6B5B">
            <w:pPr>
              <w:pStyle w:val="ListBullet"/>
            </w:pPr>
            <w:r w:rsidRPr="009C6B5B">
              <w:t>The candidate and the assessor should have access to the appropr</w:t>
            </w:r>
            <w:r w:rsidRPr="009C6B5B">
              <w:t>iate documentation and resources normally used in the workplace. This includes access to:</w:t>
            </w:r>
          </w:p>
          <w:p w:rsidR="00000000" w:rsidRPr="009C6B5B" w:rsidP="009C6B5B">
            <w:pPr>
              <w:pStyle w:val="ListBullet2"/>
            </w:pPr>
            <w:r w:rsidRPr="009C6B5B">
              <w:t>actual or simulated work environment</w:t>
            </w:r>
          </w:p>
          <w:p w:rsidR="00000000" w:rsidRPr="009C6B5B" w:rsidP="009C6B5B">
            <w:pPr>
              <w:pStyle w:val="ListBullet2"/>
            </w:pPr>
            <w:r w:rsidRPr="009C6B5B">
              <w:t>all necessary tools, specialist equipment, manuals, spare parts and relevant documentation, including Australian standards</w:t>
            </w:r>
          </w:p>
          <w:p w:rsidR="00000000" w:rsidRPr="009C6B5B" w:rsidP="009C6B5B">
            <w:pPr>
              <w:pStyle w:val="ListBullet2"/>
            </w:pPr>
            <w:r w:rsidRPr="009C6B5B">
              <w:t>asses</w:t>
            </w:r>
            <w:r w:rsidRPr="009C6B5B">
              <w:t>sment documentation</w:t>
            </w:r>
          </w:p>
          <w:p w:rsidR="00000000" w:rsidRPr="009C6B5B" w:rsidP="009C6B5B">
            <w:pPr>
              <w:pStyle w:val="ListBullet2"/>
            </w:pPr>
            <w:r w:rsidRPr="009C6B5B">
              <w:t>training and assessment record books.</w:t>
            </w:r>
          </w:p>
          <w:p w:rsidR="00000000" w:rsidRPr="009C6B5B" w:rsidP="009C6B5B">
            <w:pPr>
              <w:pStyle w:val="ListBullet"/>
            </w:pPr>
            <w:r w:rsidRPr="009C6B5B">
              <w:t>Where applicable, physical resources should include equipment modified for people with disabilities.</w:t>
            </w:r>
          </w:p>
          <w:p w:rsidR="00000000" w:rsidRPr="009C6B5B" w:rsidP="009C6B5B">
            <w:pPr>
              <w:pStyle w:val="ListBullet"/>
            </w:pPr>
            <w:r w:rsidRPr="009C6B5B">
              <w:t>Access must be provided to appropriate learning and/or assessment support when required.</w:t>
            </w:r>
          </w:p>
          <w:p w:rsidR="00000000" w:rsidP="009C6B5B">
            <w:pPr>
              <w:pStyle w:val="ListBullet"/>
              <w:rPr>
                <w:lang w:val="en-NZ"/>
              </w:rPr>
            </w:pPr>
            <w:r w:rsidRPr="009C6B5B">
              <w:t>Assessment processes and techniques must be culturally appropriate, and appropriate to the oracy, language and literacy capacity of the candidate and the work being performed.</w:t>
            </w:r>
          </w:p>
        </w:tc>
      </w:tr>
      <w:tr w:rsidTr="00D23247">
        <w:tblPrEx>
          <w:tblW w:w="0" w:type="auto"/>
          <w:tblLayout w:type="fixed"/>
          <w:tblCellMar>
            <w:left w:w="62" w:type="dxa"/>
            <w:right w:w="62" w:type="dxa"/>
          </w:tblCellMar>
          <w:tblLook w:val="0000"/>
        </w:tblPrEx>
        <w:tc>
          <w:tcPr>
            <w:tcW w:w="3389" w:type="dxa"/>
            <w:tcBorders>
              <w:top w:val="nil"/>
              <w:left w:val="nil"/>
              <w:bottom w:val="nil"/>
              <w:right w:val="nil"/>
            </w:tcBorders>
            <w:tcMar>
              <w:top w:w="0" w:type="dxa"/>
              <w:left w:w="62" w:type="dxa"/>
              <w:bottom w:w="0" w:type="dxa"/>
              <w:right w:w="62" w:type="dxa"/>
            </w:tcMar>
          </w:tcPr>
          <w:p w:rsidR="00000000" w:rsidP="009C6B5B">
            <w:pPr>
              <w:pStyle w:val="BodyText"/>
              <w:rPr>
                <w:lang w:val="en-NZ"/>
              </w:rPr>
            </w:pPr>
            <w:r w:rsidRPr="009C6B5B">
              <w:rPr>
                <w:rStyle w:val="SpecialBold"/>
              </w:rPr>
              <w:t>Context of assessment</w:t>
            </w:r>
          </w:p>
        </w:tc>
        <w:tc>
          <w:tcPr>
            <w:tcW w:w="5094" w:type="dxa"/>
            <w:tcBorders>
              <w:top w:val="nil"/>
              <w:left w:val="nil"/>
              <w:bottom w:val="nil"/>
              <w:right w:val="nil"/>
            </w:tcBorders>
            <w:tcMar>
              <w:top w:w="0" w:type="dxa"/>
              <w:left w:w="62" w:type="dxa"/>
              <w:bottom w:w="0" w:type="dxa"/>
              <w:right w:w="62" w:type="dxa"/>
            </w:tcMar>
          </w:tcPr>
          <w:p w:rsidR="00000000" w:rsidRPr="009C6B5B" w:rsidP="009C6B5B">
            <w:pPr>
              <w:pStyle w:val="ListBullet"/>
            </w:pPr>
            <w:r w:rsidRPr="009C6B5B">
              <w:t>For valid and reliable assessment of this unit, competency should be demonstrated over a period of time and be observed by the assessor (or assessment team working together to conduct the assessment).</w:t>
            </w:r>
          </w:p>
          <w:p w:rsidR="00000000" w:rsidRPr="009C6B5B" w:rsidP="009C6B5B">
            <w:pPr>
              <w:pStyle w:val="ListBullet"/>
            </w:pPr>
            <w:r w:rsidRPr="009C6B5B">
              <w:t>Competency is to be demonstrated in a range of situations, reflecting the practical requirements of the workplace which may include customer and workplace interruptions and involvement in related activities normally experienced in the workplace.</w:t>
            </w:r>
          </w:p>
          <w:p w:rsidR="00000000" w:rsidP="009C6B5B">
            <w:pPr>
              <w:pStyle w:val="ListBullet"/>
              <w:rPr>
                <w:lang w:val="en-NZ"/>
              </w:rPr>
            </w:pPr>
            <w:r w:rsidRPr="009C6B5B">
              <w:t>Assessment</w:t>
            </w:r>
            <w:r w:rsidRPr="009C6B5B">
              <w:t xml:space="preserve"> of competency may be made through practical demonstrations in the work environment or in a simulated work environment.</w:t>
            </w:r>
          </w:p>
        </w:tc>
      </w:tr>
      <w:tr w:rsidTr="00D23247">
        <w:tblPrEx>
          <w:tblW w:w="0" w:type="auto"/>
          <w:tblLayout w:type="fixed"/>
          <w:tblCellMar>
            <w:left w:w="62" w:type="dxa"/>
            <w:right w:w="62" w:type="dxa"/>
          </w:tblCellMar>
          <w:tblLook w:val="0000"/>
        </w:tblPrEx>
        <w:tc>
          <w:tcPr>
            <w:tcW w:w="3389" w:type="dxa"/>
            <w:tcBorders>
              <w:top w:val="nil"/>
              <w:left w:val="nil"/>
              <w:bottom w:val="nil"/>
              <w:right w:val="nil"/>
            </w:tcBorders>
            <w:tcMar>
              <w:top w:w="0" w:type="dxa"/>
              <w:left w:w="62" w:type="dxa"/>
              <w:bottom w:w="0" w:type="dxa"/>
              <w:right w:w="62" w:type="dxa"/>
            </w:tcMar>
          </w:tcPr>
          <w:p w:rsidR="00000000" w:rsidP="009C6B5B">
            <w:pPr>
              <w:pStyle w:val="BodyText"/>
              <w:rPr>
                <w:lang w:val="en-NZ"/>
              </w:rPr>
            </w:pPr>
          </w:p>
        </w:tc>
        <w:tc>
          <w:tcPr>
            <w:tcW w:w="5094" w:type="dxa"/>
            <w:tcBorders>
              <w:top w:val="nil"/>
              <w:left w:val="nil"/>
              <w:bottom w:val="nil"/>
              <w:right w:val="nil"/>
            </w:tcBorders>
            <w:tcMar>
              <w:top w:w="0" w:type="dxa"/>
              <w:left w:w="62" w:type="dxa"/>
              <w:bottom w:w="0" w:type="dxa"/>
              <w:right w:w="62" w:type="dxa"/>
            </w:tcMar>
          </w:tcPr>
          <w:p w:rsidR="00000000" w:rsidRPr="009C6B5B" w:rsidP="009C6B5B">
            <w:pPr>
              <w:pStyle w:val="ListBullet"/>
            </w:pPr>
            <w:r w:rsidRPr="009C6B5B">
              <w:t>Oral or written questioning methods may be used to assess understanding of underpinning knowledge areas. (In assessment situations wh</w:t>
            </w:r>
            <w:r w:rsidRPr="009C6B5B">
              <w:t>ere the candidate is offered a preference between oral questioning and written assessment, questions are to be identical.) Evidence of competency is best obtained by observing various activities involving preparations for installation and servicing operati</w:t>
            </w:r>
            <w:r w:rsidRPr="009C6B5B">
              <w:t>ons.</w:t>
            </w:r>
          </w:p>
          <w:p w:rsidR="00000000" w:rsidRPr="009C6B5B" w:rsidP="009C6B5B">
            <w:pPr>
              <w:pStyle w:val="ListBullet"/>
            </w:pPr>
            <w:r w:rsidRPr="009C6B5B">
              <w:t>Supplementary evidence may be obtained by relevant authenticated written correspondence from supervisors, team leaders or management staff.</w:t>
            </w:r>
          </w:p>
          <w:p w:rsidR="00000000" w:rsidRPr="009C6B5B" w:rsidP="009C6B5B">
            <w:pPr>
              <w:pStyle w:val="ListBullet"/>
            </w:pPr>
            <w:r w:rsidRPr="009C6B5B">
              <w:t>Information derived from enterprise policies and practices must be treated as commercial-in-confidence.</w:t>
            </w:r>
          </w:p>
          <w:p w:rsidR="00000000" w:rsidRPr="009C6B5B" w:rsidP="009C6B5B">
            <w:pPr>
              <w:pStyle w:val="ListBullet"/>
            </w:pPr>
            <w:r w:rsidRPr="009C6B5B">
              <w:t xml:space="preserve">In all </w:t>
            </w:r>
            <w:r w:rsidRPr="009C6B5B">
              <w:t>cases where practical assessment is used it will be combined with targeted questioning to assess the underpinning knowledge.</w:t>
            </w:r>
          </w:p>
          <w:p w:rsidR="00000000" w:rsidRPr="009C6B5B" w:rsidP="009C6B5B">
            <w:pPr>
              <w:pStyle w:val="ListBullet"/>
            </w:pPr>
            <w:r w:rsidRPr="009C6B5B">
              <w:t>Questioning will be undertaken in such a manner as is appropriate to the oracy, language and literacy levels of the candidate and a</w:t>
            </w:r>
            <w:r w:rsidRPr="009C6B5B">
              <w:t>ny cultural issues that may affect responses to the questions. It will reflect requirements of the unit of competency and the work being performed.</w:t>
            </w:r>
          </w:p>
          <w:p w:rsidR="00000000" w:rsidRPr="009C6B5B" w:rsidP="009C6B5B">
            <w:pPr>
              <w:pStyle w:val="ListBullet"/>
            </w:pPr>
            <w:r w:rsidRPr="009C6B5B">
              <w:t>Where assessment is for the purpose of recognition (RCC or RPL), the evidence provided will need to be authe</w:t>
            </w:r>
            <w:r w:rsidRPr="009C6B5B">
              <w:t>nticated and show that it represents current competency demonstrated over a period of time.</w:t>
            </w:r>
          </w:p>
          <w:p w:rsidR="00000000" w:rsidRPr="009C6B5B" w:rsidP="009C6B5B">
            <w:pPr>
              <w:pStyle w:val="ListBullet"/>
            </w:pPr>
            <w:r w:rsidRPr="009C6B5B">
              <w:t>Performance and assessment of this unit must be carried out within the relevant requirements of the following legislative and industry framework:</w:t>
            </w:r>
          </w:p>
          <w:p w:rsidR="00000000" w:rsidRPr="009C6B5B" w:rsidP="009C6B5B">
            <w:pPr>
              <w:pStyle w:val="ListBullet2"/>
            </w:pPr>
            <w:r w:rsidRPr="009C6B5B">
              <w:t>building Acts, re</w:t>
            </w:r>
            <w:r w:rsidRPr="009C6B5B">
              <w:t>gulations and codes</w:t>
            </w:r>
          </w:p>
          <w:p w:rsidR="00000000" w:rsidRPr="009C6B5B" w:rsidP="009C6B5B">
            <w:pPr>
              <w:pStyle w:val="ListBullet2"/>
            </w:pPr>
            <w:r w:rsidRPr="009C6B5B">
              <w:t>Australian and international standards identified as relevant to preparations for installation and servicing operations</w:t>
            </w:r>
          </w:p>
          <w:p w:rsidR="00000000" w:rsidRPr="009C6B5B" w:rsidP="009C6B5B">
            <w:pPr>
              <w:pStyle w:val="ListBullet2"/>
            </w:pPr>
            <w:r w:rsidRPr="009C6B5B">
              <w:t>environmental regulations</w:t>
            </w:r>
          </w:p>
          <w:p w:rsidR="00000000" w:rsidRPr="009C6B5B" w:rsidP="009C6B5B">
            <w:pPr>
              <w:pStyle w:val="ListBullet2"/>
            </w:pPr>
            <w:r w:rsidRPr="009C6B5B">
              <w:t>manufacturer specifications</w:t>
            </w:r>
          </w:p>
          <w:p w:rsidR="00000000" w:rsidRPr="009C6B5B" w:rsidP="009C6B5B">
            <w:pPr>
              <w:pStyle w:val="ListBullet2"/>
            </w:pPr>
            <w:r w:rsidRPr="009C6B5B">
              <w:t>organisational requirements, including policies and procedures relating to ODS, SGG and OHS</w:t>
            </w:r>
          </w:p>
          <w:p w:rsidR="00000000" w:rsidRPr="009C6B5B" w:rsidP="009C6B5B">
            <w:pPr>
              <w:pStyle w:val="ListBullet2"/>
            </w:pPr>
            <w:r w:rsidRPr="009C6B5B">
              <w:t>OHS legislation, codes and regulations.</w:t>
            </w:r>
          </w:p>
        </w:tc>
      </w:tr>
    </w:tbl>
    <w:p w:rsidR="00D23247" w:rsidP="009C6B5B">
      <w:pPr>
        <w:pStyle w:val="BodyText"/>
      </w:pPr>
    </w:p>
    <w:p w:rsidR="00D23247" w:rsidP="009C6B5B">
      <w:pPr>
        <w:pStyle w:val="BodyText"/>
      </w:pPr>
    </w:p>
    <w:p w:rsidR="00000000" w:rsidRPr="009C6B5B" w:rsidP="009C6B5B">
      <w:pPr>
        <w:pStyle w:val="Heading1"/>
      </w:pPr>
      <w:bookmarkStart w:id="11" w:name="O_253581"/>
      <w:bookmarkEnd w:id="11"/>
      <w:r w:rsidRPr="009C6B5B">
        <w:t>Range Statement</w:t>
      </w:r>
    </w:p>
    <w:p w:rsidR="00000000" w:rsidRPr="009C6B5B" w:rsidP="009C6B5B">
      <w:pPr>
        <w:pStyle w:val="BodyText"/>
      </w:pPr>
      <w:r w:rsidRPr="009C6B5B">
        <w:rPr>
          <w:rStyle w:val="SpecialBold"/>
        </w:rPr>
        <w:t>RANGE STATEMENT</w:t>
      </w:r>
    </w:p>
    <w:p w:rsidR="00000000" w:rsidRPr="009C6B5B" w:rsidP="009C6B5B">
      <w:pPr>
        <w:pStyle w:val="BodyText"/>
      </w:pPr>
      <w:r w:rsidRPr="009C6B5B">
        <w:t>The range statement relates to the unit of competency as a whole. It a</w:t>
      </w:r>
      <w:r w:rsidRPr="009C6B5B">
        <w:t xml:space="preserve">llows for different work environments and situations that may affect performance. </w:t>
      </w:r>
      <w:r w:rsidRPr="009C6B5B">
        <w:rPr>
          <w:rStyle w:val="BoldandItalics"/>
        </w:rPr>
        <w:t>Bold italicised</w:t>
      </w:r>
      <w:r w:rsidRPr="009C6B5B">
        <w:t xml:space="preserve"> wording in the performance criteria is detailed below. Add any essential operating conditions that may be present with training and assessment depending on th</w:t>
      </w:r>
      <w:r w:rsidRPr="009C6B5B">
        <w:t>e work situation, needs of the candidate, accessibility of the item, and local industry and regional contexts.</w:t>
      </w:r>
    </w:p>
    <w:tbl>
      <w:tblPr>
        <w:tblW w:w="0" w:type="auto"/>
        <w:tblLayout w:type="fixed"/>
        <w:tblCellMar>
          <w:left w:w="62" w:type="dxa"/>
          <w:right w:w="62" w:type="dxa"/>
        </w:tblCellMar>
        <w:tblLook w:val="0000"/>
      </w:tblPr>
      <w:tblGrid>
        <w:gridCol w:w="3080"/>
        <w:gridCol w:w="5403"/>
      </w:tblGrid>
      <w:tr w:rsidTr="00D23247">
        <w:tblPrEx>
          <w:tblW w:w="0" w:type="auto"/>
          <w:tblLayout w:type="fixed"/>
          <w:tblCellMar>
            <w:left w:w="62" w:type="dxa"/>
            <w:right w:w="62" w:type="dxa"/>
          </w:tblCellMar>
          <w:tblLook w:val="0000"/>
        </w:tblPrEx>
        <w:tc>
          <w:tcPr>
            <w:tcW w:w="3080" w:type="dxa"/>
            <w:tcBorders>
              <w:top w:val="nil"/>
              <w:left w:val="nil"/>
              <w:bottom w:val="nil"/>
              <w:right w:val="nil"/>
            </w:tcBorders>
            <w:tcMar>
              <w:top w:w="0" w:type="dxa"/>
              <w:left w:w="62" w:type="dxa"/>
              <w:bottom w:w="0" w:type="dxa"/>
              <w:right w:w="62" w:type="dxa"/>
            </w:tcMar>
          </w:tcPr>
          <w:p w:rsidR="00000000" w:rsidP="009C6B5B">
            <w:pPr>
              <w:pStyle w:val="BodyText"/>
              <w:rPr>
                <w:lang w:val="en-NZ"/>
              </w:rPr>
            </w:pPr>
            <w:r w:rsidRPr="009C6B5B">
              <w:rPr>
                <w:rStyle w:val="BoldandItalics"/>
              </w:rPr>
              <w:t>Legislative and industry requirements</w:t>
            </w:r>
            <w:r w:rsidRPr="009C6B5B">
              <w:t xml:space="preserve"> may include:</w:t>
            </w:r>
          </w:p>
        </w:tc>
        <w:tc>
          <w:tcPr>
            <w:tcW w:w="5403" w:type="dxa"/>
            <w:tcBorders>
              <w:top w:val="nil"/>
              <w:left w:val="nil"/>
              <w:bottom w:val="nil"/>
              <w:right w:val="nil"/>
            </w:tcBorders>
            <w:tcMar>
              <w:top w:w="0" w:type="dxa"/>
              <w:left w:w="62" w:type="dxa"/>
              <w:bottom w:w="0" w:type="dxa"/>
              <w:right w:w="62" w:type="dxa"/>
            </w:tcMar>
          </w:tcPr>
          <w:p w:rsidR="00000000" w:rsidRPr="009C6B5B" w:rsidP="009C6B5B">
            <w:pPr>
              <w:pStyle w:val="ListBullet"/>
            </w:pPr>
            <w:r w:rsidRPr="009C6B5B">
              <w:t>relevant federal, state and territory building Acts, regulations and codes</w:t>
            </w:r>
          </w:p>
          <w:p w:rsidR="00000000" w:rsidRPr="009C6B5B" w:rsidP="009C6B5B">
            <w:pPr>
              <w:pStyle w:val="ListBullet"/>
            </w:pPr>
            <w:r w:rsidRPr="009C6B5B">
              <w:t xml:space="preserve">ODS and SGG legislation, codes and regulations such as </w:t>
            </w:r>
            <w:r w:rsidRPr="009C6B5B">
              <w:rPr>
                <w:rStyle w:val="Emphasis"/>
              </w:rPr>
              <w:t>Ozone Protection and Synthetic Greenhouse Gas Management Amendment Regulations</w:t>
            </w:r>
            <w:r w:rsidRPr="009C6B5B">
              <w:t xml:space="preserve">, </w:t>
            </w:r>
            <w:r w:rsidRPr="009C6B5B">
              <w:rPr>
                <w:rStyle w:val="Emphasis"/>
              </w:rPr>
              <w:t>1995</w:t>
            </w:r>
          </w:p>
          <w:p w:rsidR="00000000" w:rsidRPr="009C6B5B" w:rsidP="009C6B5B">
            <w:pPr>
              <w:pStyle w:val="ListBullet"/>
            </w:pPr>
            <w:r w:rsidRPr="009C6B5B">
              <w:t>fire protection industry codes of practice</w:t>
            </w:r>
          </w:p>
          <w:p w:rsidR="00000000" w:rsidRPr="009C6B5B" w:rsidP="009C6B5B">
            <w:pPr>
              <w:pStyle w:val="ListBullet"/>
            </w:pPr>
            <w:r w:rsidRPr="009C6B5B">
              <w:t>OHS legislation, codes and regulations</w:t>
            </w:r>
          </w:p>
          <w:p w:rsidR="00000000" w:rsidRPr="009C6B5B" w:rsidP="009C6B5B">
            <w:pPr>
              <w:pStyle w:val="ListBullet"/>
            </w:pPr>
            <w:r w:rsidRPr="009C6B5B">
              <w:t>relevant current Australian standa</w:t>
            </w:r>
            <w:r w:rsidRPr="009C6B5B">
              <w:t>rds, such as AS 1851 and AS 2444</w:t>
            </w:r>
          </w:p>
          <w:p w:rsidR="00000000" w:rsidRPr="009C6B5B" w:rsidP="009C6B5B">
            <w:pPr>
              <w:pStyle w:val="ListBullet"/>
            </w:pPr>
            <w:r w:rsidRPr="009C6B5B">
              <w:t>Building Code of Australia (BCA)</w:t>
            </w:r>
          </w:p>
          <w:p w:rsidR="00000000" w:rsidRPr="009C6B5B" w:rsidP="009C6B5B">
            <w:pPr>
              <w:pStyle w:val="ListBullet"/>
            </w:pPr>
            <w:r w:rsidRPr="009C6B5B">
              <w:t>dangerous goods regulations</w:t>
            </w:r>
          </w:p>
          <w:p w:rsidR="00000000" w:rsidRPr="009C6B5B" w:rsidP="009C6B5B">
            <w:pPr>
              <w:pStyle w:val="ListBullet"/>
            </w:pPr>
            <w:r w:rsidRPr="009C6B5B">
              <w:t>licensing arrangements, such as extinguishing agent handling licence</w:t>
            </w:r>
          </w:p>
          <w:p w:rsidR="00000000" w:rsidRPr="009C6B5B" w:rsidP="009C6B5B">
            <w:pPr>
              <w:pStyle w:val="ListBullet"/>
            </w:pPr>
            <w:r w:rsidRPr="009C6B5B">
              <w:t>environmental regulations</w:t>
            </w:r>
          </w:p>
          <w:p w:rsidR="00000000" w:rsidRPr="009C6B5B" w:rsidP="009C6B5B">
            <w:pPr>
              <w:pStyle w:val="ListBullet"/>
            </w:pPr>
            <w:r w:rsidRPr="009C6B5B">
              <w:t>building surveyor requirements, such as occupancy permit</w:t>
            </w:r>
          </w:p>
          <w:p w:rsidR="00000000" w:rsidRPr="009C6B5B" w:rsidP="009C6B5B">
            <w:pPr>
              <w:pStyle w:val="ListBullet"/>
            </w:pPr>
            <w:r w:rsidRPr="009C6B5B">
              <w:t>other rele</w:t>
            </w:r>
            <w:r w:rsidRPr="009C6B5B">
              <w:t>vant legislation relating to fire protection equipment, including international, shipping and marine codes</w:t>
            </w:r>
          </w:p>
          <w:p w:rsidR="00000000" w:rsidP="009C6B5B">
            <w:pPr>
              <w:pStyle w:val="ListBullet"/>
              <w:rPr>
                <w:lang w:val="en-NZ"/>
              </w:rPr>
            </w:pPr>
            <w:r w:rsidRPr="009C6B5B">
              <w:t>Australian petroleum industry requirements.</w:t>
            </w:r>
          </w:p>
        </w:tc>
      </w:tr>
      <w:tr w:rsidTr="00D23247">
        <w:tblPrEx>
          <w:tblW w:w="0" w:type="auto"/>
          <w:tblLayout w:type="fixed"/>
          <w:tblCellMar>
            <w:left w:w="62" w:type="dxa"/>
            <w:right w:w="62" w:type="dxa"/>
          </w:tblCellMar>
          <w:tblLook w:val="0000"/>
        </w:tblPrEx>
        <w:tc>
          <w:tcPr>
            <w:tcW w:w="3080" w:type="dxa"/>
            <w:tcBorders>
              <w:top w:val="nil"/>
              <w:left w:val="nil"/>
              <w:bottom w:val="nil"/>
              <w:right w:val="nil"/>
            </w:tcBorders>
            <w:tcMar>
              <w:top w:w="0" w:type="dxa"/>
              <w:left w:w="62" w:type="dxa"/>
              <w:bottom w:w="0" w:type="dxa"/>
              <w:right w:w="62" w:type="dxa"/>
            </w:tcMar>
          </w:tcPr>
          <w:p w:rsidR="00000000" w:rsidP="009C6B5B">
            <w:pPr>
              <w:pStyle w:val="BodyText"/>
              <w:rPr>
                <w:lang w:val="en-NZ"/>
              </w:rPr>
            </w:pPr>
            <w:r w:rsidRPr="009C6B5B">
              <w:rPr>
                <w:rStyle w:val="BoldandItalics"/>
              </w:rPr>
              <w:t>Workplace procedures</w:t>
            </w:r>
            <w:r w:rsidRPr="009C6B5B">
              <w:t xml:space="preserve"> may include:</w:t>
            </w:r>
          </w:p>
        </w:tc>
        <w:tc>
          <w:tcPr>
            <w:tcW w:w="5403" w:type="dxa"/>
            <w:tcBorders>
              <w:top w:val="nil"/>
              <w:left w:val="nil"/>
              <w:bottom w:val="nil"/>
              <w:right w:val="nil"/>
            </w:tcBorders>
            <w:tcMar>
              <w:top w:w="0" w:type="dxa"/>
              <w:left w:w="62" w:type="dxa"/>
              <w:bottom w:w="0" w:type="dxa"/>
              <w:right w:w="62" w:type="dxa"/>
            </w:tcMar>
          </w:tcPr>
          <w:p w:rsidR="00000000" w:rsidRPr="009C6B5B" w:rsidP="009C6B5B">
            <w:pPr>
              <w:pStyle w:val="ListBullet"/>
            </w:pPr>
            <w:r w:rsidRPr="009C6B5B">
              <w:t>instructions from colleagues, supervisors and managers</w:t>
            </w:r>
          </w:p>
          <w:p w:rsidR="00000000" w:rsidRPr="009C6B5B" w:rsidP="009C6B5B">
            <w:pPr>
              <w:pStyle w:val="ListBullet"/>
            </w:pPr>
            <w:r w:rsidRPr="009C6B5B">
              <w:t>specific customer requirements</w:t>
            </w:r>
          </w:p>
          <w:p w:rsidR="00000000" w:rsidRPr="009C6B5B" w:rsidP="009C6B5B">
            <w:pPr>
              <w:pStyle w:val="ListBullet"/>
            </w:pPr>
            <w:r w:rsidRPr="009C6B5B">
              <w:t>assignment instructions</w:t>
            </w:r>
          </w:p>
          <w:p w:rsidR="00000000" w:rsidRPr="009C6B5B" w:rsidP="009C6B5B">
            <w:pPr>
              <w:pStyle w:val="ListBullet"/>
            </w:pPr>
            <w:r w:rsidRPr="009C6B5B">
              <w:t>equipment manufacturer requirements</w:t>
            </w:r>
          </w:p>
          <w:p w:rsidR="00000000" w:rsidRPr="009C6B5B" w:rsidP="009C6B5B">
            <w:pPr>
              <w:pStyle w:val="ListBullet"/>
            </w:pPr>
            <w:r w:rsidRPr="009C6B5B">
              <w:t>reporting and documentation requirements</w:t>
            </w:r>
          </w:p>
          <w:p w:rsidR="00000000" w:rsidRPr="009C6B5B" w:rsidP="009C6B5B">
            <w:pPr>
              <w:pStyle w:val="ListBullet"/>
            </w:pPr>
            <w:r w:rsidRPr="009C6B5B">
              <w:t>personal protective equipment (PPE) requirements</w:t>
            </w:r>
          </w:p>
          <w:p w:rsidR="00000000" w:rsidP="009C6B5B">
            <w:pPr>
              <w:pStyle w:val="ListBullet"/>
              <w:rPr>
                <w:lang w:val="en-NZ"/>
              </w:rPr>
            </w:pPr>
            <w:r w:rsidRPr="009C6B5B">
              <w:t>work instructions to prevent the emission of ODS and SGG in the workplace.</w:t>
            </w:r>
          </w:p>
        </w:tc>
      </w:tr>
      <w:tr w:rsidTr="00D23247">
        <w:tblPrEx>
          <w:tblW w:w="0" w:type="auto"/>
          <w:tblLayout w:type="fixed"/>
          <w:tblCellMar>
            <w:left w:w="62" w:type="dxa"/>
            <w:right w:w="62" w:type="dxa"/>
          </w:tblCellMar>
          <w:tblLook w:val="0000"/>
        </w:tblPrEx>
        <w:tc>
          <w:tcPr>
            <w:tcW w:w="3080" w:type="dxa"/>
            <w:tcBorders>
              <w:top w:val="nil"/>
              <w:left w:val="nil"/>
              <w:bottom w:val="nil"/>
              <w:right w:val="nil"/>
            </w:tcBorders>
            <w:tcMar>
              <w:top w:w="0" w:type="dxa"/>
              <w:left w:w="62" w:type="dxa"/>
              <w:bottom w:w="0" w:type="dxa"/>
              <w:right w:w="62" w:type="dxa"/>
            </w:tcMar>
          </w:tcPr>
          <w:p w:rsidR="00000000" w:rsidP="009C6B5B">
            <w:pPr>
              <w:pStyle w:val="BodyText"/>
              <w:rPr>
                <w:lang w:val="en-NZ"/>
              </w:rPr>
            </w:pPr>
            <w:r w:rsidRPr="009C6B5B">
              <w:rPr>
                <w:rStyle w:val="BoldandItalics"/>
              </w:rPr>
              <w:t>Relevant persons</w:t>
            </w:r>
            <w:r w:rsidRPr="009C6B5B">
              <w:t xml:space="preserve"> may include:</w:t>
            </w:r>
          </w:p>
        </w:tc>
        <w:tc>
          <w:tcPr>
            <w:tcW w:w="5403" w:type="dxa"/>
            <w:tcBorders>
              <w:top w:val="nil"/>
              <w:left w:val="nil"/>
              <w:bottom w:val="nil"/>
              <w:right w:val="nil"/>
            </w:tcBorders>
            <w:tcMar>
              <w:top w:w="0" w:type="dxa"/>
              <w:left w:w="62" w:type="dxa"/>
              <w:bottom w:w="0" w:type="dxa"/>
              <w:right w:w="62" w:type="dxa"/>
            </w:tcMar>
          </w:tcPr>
          <w:p w:rsidR="00000000" w:rsidRPr="009C6B5B" w:rsidP="009C6B5B">
            <w:pPr>
              <w:pStyle w:val="ListBullet"/>
            </w:pPr>
            <w:r w:rsidRPr="009C6B5B">
              <w:t>team leaders</w:t>
            </w:r>
          </w:p>
          <w:p w:rsidR="00000000" w:rsidRPr="009C6B5B" w:rsidP="009C6B5B">
            <w:pPr>
              <w:pStyle w:val="ListBullet"/>
            </w:pPr>
            <w:r w:rsidRPr="009C6B5B">
              <w:t>supervisors</w:t>
            </w:r>
          </w:p>
          <w:p w:rsidR="00000000" w:rsidRPr="009C6B5B" w:rsidP="009C6B5B">
            <w:pPr>
              <w:pStyle w:val="ListBullet"/>
            </w:pPr>
            <w:r w:rsidRPr="009C6B5B">
              <w:t>managers</w:t>
            </w:r>
          </w:p>
          <w:p w:rsidR="00000000" w:rsidRPr="009C6B5B" w:rsidP="009C6B5B">
            <w:pPr>
              <w:pStyle w:val="ListBullet"/>
            </w:pPr>
            <w:r w:rsidRPr="009C6B5B">
              <w:t>colleagues</w:t>
            </w:r>
          </w:p>
          <w:p w:rsidR="00000000" w:rsidP="009C6B5B">
            <w:pPr>
              <w:pStyle w:val="ListBullet"/>
              <w:rPr>
                <w:lang w:val="en-NZ"/>
              </w:rPr>
            </w:pPr>
            <w:r w:rsidRPr="009C6B5B">
              <w:t>customers.</w:t>
            </w:r>
          </w:p>
        </w:tc>
      </w:tr>
      <w:tr w:rsidTr="00D23247">
        <w:tblPrEx>
          <w:tblW w:w="0" w:type="auto"/>
          <w:tblLayout w:type="fixed"/>
          <w:tblCellMar>
            <w:left w:w="62" w:type="dxa"/>
            <w:right w:w="62" w:type="dxa"/>
          </w:tblCellMar>
          <w:tblLook w:val="0000"/>
        </w:tblPrEx>
        <w:tc>
          <w:tcPr>
            <w:tcW w:w="3080" w:type="dxa"/>
            <w:tcBorders>
              <w:top w:val="nil"/>
              <w:left w:val="nil"/>
              <w:bottom w:val="nil"/>
              <w:right w:val="nil"/>
            </w:tcBorders>
            <w:tcMar>
              <w:top w:w="0" w:type="dxa"/>
              <w:left w:w="62" w:type="dxa"/>
              <w:bottom w:w="0" w:type="dxa"/>
              <w:right w:w="62" w:type="dxa"/>
            </w:tcMar>
          </w:tcPr>
          <w:p w:rsidR="00000000" w:rsidRPr="009C6B5B" w:rsidP="009C6B5B">
            <w:pPr>
              <w:pStyle w:val="BodyText"/>
            </w:pPr>
            <w:r w:rsidRPr="009C6B5B">
              <w:rPr>
                <w:rStyle w:val="Emphasis"/>
              </w:rPr>
              <w:t>ODS and SGG materials</w:t>
            </w:r>
            <w:r w:rsidRPr="009C6B5B">
              <w:t xml:space="preserve"> are listed using the format: Product name (other names); use. Check the latest amendments to the </w:t>
            </w:r>
            <w:r w:rsidRPr="009C6B5B">
              <w:rPr>
                <w:rStyle w:val="Emphasis"/>
              </w:rPr>
              <w:t>Ozone Protection and Synthetic Greenhouse Gas Management Act</w:t>
            </w:r>
            <w:r w:rsidRPr="009C6B5B">
              <w:t xml:space="preserve"> for the current list of ODS and SGG extinguishing agents which may include:</w:t>
            </w:r>
          </w:p>
        </w:tc>
        <w:tc>
          <w:tcPr>
            <w:tcW w:w="5403" w:type="dxa"/>
            <w:tcBorders>
              <w:top w:val="nil"/>
              <w:left w:val="nil"/>
              <w:bottom w:val="nil"/>
              <w:right w:val="nil"/>
            </w:tcBorders>
            <w:tcMar>
              <w:top w:w="0" w:type="dxa"/>
              <w:left w:w="62" w:type="dxa"/>
              <w:bottom w:w="0" w:type="dxa"/>
              <w:right w:w="62" w:type="dxa"/>
            </w:tcMar>
          </w:tcPr>
          <w:p w:rsidR="00000000" w:rsidRPr="009C6B5B" w:rsidP="009C6B5B">
            <w:pPr>
              <w:pStyle w:val="ListBullet"/>
            </w:pPr>
            <w:r w:rsidRPr="009C6B5B">
              <w:rPr>
                <w:rStyle w:val="SpecialBold"/>
              </w:rPr>
              <w:t>Blitz III</w:t>
            </w:r>
            <w:r w:rsidRPr="009C6B5B">
              <w:t xml:space="preserve"> (HCFC Blend D); used in flooding systems</w:t>
            </w:r>
          </w:p>
          <w:p w:rsidR="00000000" w:rsidRPr="009C6B5B" w:rsidP="009C6B5B">
            <w:pPr>
              <w:pStyle w:val="ListBullet"/>
            </w:pPr>
            <w:r w:rsidRPr="009C6B5B">
              <w:rPr>
                <w:rStyle w:val="SpecialBold"/>
              </w:rPr>
              <w:t>CFC 11</w:t>
            </w:r>
            <w:r w:rsidRPr="009C6B5B">
              <w:t xml:space="preserve"> (trichlorofluoromethane, CCl3F); may be found as a propellan</w:t>
            </w:r>
            <w:r w:rsidRPr="009C6B5B">
              <w:t>t in some powder fire extinguishers (this product is banned in Australia)</w:t>
            </w:r>
          </w:p>
          <w:p w:rsidR="00000000" w:rsidRPr="009C6B5B" w:rsidP="009C6B5B">
            <w:pPr>
              <w:pStyle w:val="ListBullet"/>
            </w:pPr>
            <w:r w:rsidRPr="009C6B5B">
              <w:rPr>
                <w:rStyle w:val="SpecialBold"/>
              </w:rPr>
              <w:t>FC-2-1-8</w:t>
            </w:r>
            <w:r w:rsidRPr="009C6B5B">
              <w:t xml:space="preserve"> (CEA-308, CF</w:t>
            </w:r>
            <w:r w:rsidRPr="009C6B5B">
              <w:rPr>
                <w:rStyle w:val="Subscript"/>
              </w:rPr>
              <w:t>3</w:t>
            </w:r>
            <w:r w:rsidRPr="009C6B5B">
              <w:t>CF</w:t>
            </w:r>
            <w:r w:rsidRPr="009C6B5B">
              <w:rPr>
                <w:rStyle w:val="Subscript"/>
              </w:rPr>
              <w:t>2</w:t>
            </w:r>
            <w:r w:rsidRPr="009C6B5B">
              <w:t>CF</w:t>
            </w:r>
            <w:r w:rsidRPr="009C6B5B">
              <w:rPr>
                <w:rStyle w:val="Subscript"/>
              </w:rPr>
              <w:t>3</w:t>
            </w:r>
            <w:r w:rsidRPr="009C6B5B">
              <w:t>); used in flooding systems</w:t>
            </w:r>
          </w:p>
          <w:p w:rsidR="00000000" w:rsidRPr="009C6B5B" w:rsidP="009C6B5B">
            <w:pPr>
              <w:pStyle w:val="ListBullet"/>
            </w:pPr>
            <w:r w:rsidRPr="009C6B5B">
              <w:rPr>
                <w:rStyle w:val="SpecialBold"/>
              </w:rPr>
              <w:t>FC-3-1-10</w:t>
            </w:r>
            <w:r w:rsidRPr="009C6B5B">
              <w:t xml:space="preserve"> (CEA-410, C</w:t>
            </w:r>
            <w:r w:rsidRPr="009C6B5B">
              <w:rPr>
                <w:rStyle w:val="Subscript"/>
              </w:rPr>
              <w:t>4</w:t>
            </w:r>
            <w:r w:rsidRPr="009C6B5B">
              <w:t>F</w:t>
            </w:r>
            <w:r w:rsidRPr="009C6B5B">
              <w:rPr>
                <w:rStyle w:val="Subscript"/>
              </w:rPr>
              <w:t>10</w:t>
            </w:r>
            <w:r w:rsidRPr="009C6B5B">
              <w:t>); used in flooding systems</w:t>
            </w:r>
          </w:p>
          <w:p w:rsidR="00000000" w:rsidRPr="009C6B5B" w:rsidP="009C6B5B">
            <w:pPr>
              <w:pStyle w:val="ListBullet"/>
            </w:pPr>
            <w:r w:rsidRPr="009C6B5B">
              <w:rPr>
                <w:rStyle w:val="SpecialBold"/>
              </w:rPr>
              <w:t>FC-5-1-14</w:t>
            </w:r>
            <w:r w:rsidRPr="009C6B5B">
              <w:t xml:space="preserve"> (CEA-614, C</w:t>
            </w:r>
            <w:r w:rsidRPr="009C6B5B">
              <w:rPr>
                <w:rStyle w:val="Subscript"/>
              </w:rPr>
              <w:t>6</w:t>
            </w:r>
            <w:r w:rsidRPr="009C6B5B">
              <w:t>F</w:t>
            </w:r>
            <w:r w:rsidRPr="009C6B5B">
              <w:rPr>
                <w:rStyle w:val="Subscript"/>
              </w:rPr>
              <w:t>14</w:t>
            </w:r>
            <w:r w:rsidRPr="009C6B5B">
              <w:t>); used as a streaming agent</w:t>
            </w:r>
          </w:p>
          <w:p w:rsidR="00000000" w:rsidRPr="009C6B5B" w:rsidP="009C6B5B">
            <w:pPr>
              <w:pStyle w:val="ListBullet"/>
            </w:pPr>
            <w:r w:rsidRPr="009C6B5B">
              <w:rPr>
                <w:rStyle w:val="SpecialBold"/>
              </w:rPr>
              <w:t>FE-227</w:t>
            </w:r>
            <w:r w:rsidRPr="009C6B5B">
              <w:rPr>
                <w:rStyle w:val="Superscript"/>
              </w:rPr>
              <w:t xml:space="preserve"> (heptafluoropropane, HFC-227ea); used as a total flooding extinguishing agent - is a replacement for Halon 1301</w:t>
            </w:r>
          </w:p>
          <w:p w:rsidR="00000000" w:rsidRPr="009C6B5B" w:rsidP="009C6B5B">
            <w:pPr>
              <w:pStyle w:val="ListBullet"/>
            </w:pPr>
            <w:r w:rsidRPr="009C6B5B">
              <w:rPr>
                <w:rStyle w:val="SpecialBold"/>
              </w:rPr>
              <w:t>FE-25</w:t>
            </w:r>
            <w:r w:rsidRPr="009C6B5B">
              <w:rPr>
                <w:rStyle w:val="Superscript"/>
              </w:rPr>
              <w:t xml:space="preserve"> (pentafluoroethane, HFC-125); used in inerting and explosion suppression applications and retro-fit to existing Halon 1301 systems</w:t>
            </w:r>
          </w:p>
          <w:p w:rsidR="00000000" w:rsidRPr="009C6B5B" w:rsidP="009C6B5B">
            <w:pPr>
              <w:pStyle w:val="ListBullet"/>
            </w:pPr>
            <w:r w:rsidRPr="009C6B5B">
              <w:rPr>
                <w:rStyle w:val="SpecialBold"/>
              </w:rPr>
              <w:t>FE-36</w:t>
            </w:r>
            <w:r w:rsidRPr="009C6B5B">
              <w:rPr>
                <w:rStyle w:val="Superscript"/>
              </w:rPr>
              <w:t xml:space="preserve"> </w:t>
            </w:r>
            <w:r w:rsidRPr="009C6B5B">
              <w:rPr>
                <w:rStyle w:val="Superscript"/>
              </w:rPr>
              <w:t>(hexafluoropropane, HFC-236fa); used in portable fire extinguishers - is a replacement for Halon 1211 and Halon 1301</w:t>
            </w:r>
          </w:p>
          <w:p w:rsidR="00000000" w:rsidRPr="009C6B5B" w:rsidP="009C6B5B">
            <w:pPr>
              <w:pStyle w:val="ListBullet"/>
            </w:pPr>
            <w:r w:rsidRPr="009C6B5B">
              <w:rPr>
                <w:rStyle w:val="SpecialBold"/>
              </w:rPr>
              <w:t>FE-13</w:t>
            </w:r>
            <w:r w:rsidRPr="009C6B5B">
              <w:rPr>
                <w:rStyle w:val="Superscript"/>
              </w:rPr>
              <w:t xml:space="preserve"> (trifluoromethane, HFC-23); used as a total flooding agent</w:t>
            </w:r>
          </w:p>
          <w:p w:rsidR="00000000" w:rsidRPr="009C6B5B" w:rsidP="009C6B5B">
            <w:pPr>
              <w:pStyle w:val="ListBullet"/>
            </w:pPr>
            <w:r w:rsidRPr="009C6B5B">
              <w:rPr>
                <w:rStyle w:val="SpecialBold"/>
              </w:rPr>
              <w:t>FE-241</w:t>
            </w:r>
            <w:r w:rsidRPr="009C6B5B">
              <w:rPr>
                <w:rStyle w:val="Superscript"/>
              </w:rPr>
              <w:t xml:space="preserve"> (chlorotetrafluoroethane or HCFC-124); used as a total flooding age</w:t>
            </w:r>
            <w:r w:rsidRPr="009C6B5B">
              <w:rPr>
                <w:rStyle w:val="Superscript"/>
              </w:rPr>
              <w:t>nt for non-occupied spaces and as a streaming agent</w:t>
            </w:r>
          </w:p>
          <w:p w:rsidR="00000000" w:rsidRPr="009C6B5B" w:rsidP="009C6B5B">
            <w:pPr>
              <w:pStyle w:val="ListBullet"/>
            </w:pPr>
            <w:r w:rsidRPr="009C6B5B">
              <w:rPr>
                <w:rStyle w:val="SpecialBold"/>
              </w:rPr>
              <w:t>FM100</w:t>
            </w:r>
            <w:r w:rsidRPr="009C6B5B">
              <w:rPr>
                <w:rStyle w:val="Superscript"/>
              </w:rPr>
              <w:t>®</w:t>
            </w:r>
            <w:r w:rsidRPr="009C6B5B">
              <w:t xml:space="preserve"> (HBFC-22B1); used in portable fire extinguishers</w:t>
            </w:r>
          </w:p>
          <w:p w:rsidR="00000000" w:rsidRPr="009C6B5B" w:rsidP="009C6B5B">
            <w:pPr>
              <w:pStyle w:val="ListBullet"/>
            </w:pPr>
            <w:r w:rsidRPr="009C6B5B">
              <w:rPr>
                <w:rStyle w:val="SpecialBold"/>
              </w:rPr>
              <w:t>FM200</w:t>
            </w:r>
            <w:r w:rsidRPr="009C6B5B">
              <w:rPr>
                <w:rStyle w:val="Superscript"/>
              </w:rPr>
              <w:t>®</w:t>
            </w:r>
            <w:r w:rsidRPr="009C6B5B">
              <w:t xml:space="preserve"> (heptafluoropropane, HFC-227ea); used in chemical storage areas, clean rooms, communications facilities, laboratories, museums, robotics and </w:t>
            </w:r>
            <w:r w:rsidRPr="009C6B5B">
              <w:t>emergency power facilities</w:t>
            </w:r>
          </w:p>
          <w:p w:rsidR="00000000" w:rsidRPr="009C6B5B" w:rsidP="009C6B5B">
            <w:pPr>
              <w:pStyle w:val="ListBullet"/>
            </w:pPr>
            <w:r w:rsidRPr="009C6B5B">
              <w:rPr>
                <w:rStyle w:val="SpecialBold"/>
              </w:rPr>
              <w:t>Halotron</w:t>
            </w:r>
            <w:r w:rsidRPr="009C6B5B">
              <w:t xml:space="preserve"> (HCFC Blend B); used as a total flooding agent and streaming agent</w:t>
            </w:r>
          </w:p>
          <w:p w:rsidR="00000000" w:rsidRPr="009C6B5B" w:rsidP="009C6B5B">
            <w:pPr>
              <w:pStyle w:val="ListBullet"/>
            </w:pPr>
            <w:r w:rsidRPr="009C6B5B">
              <w:rPr>
                <w:rStyle w:val="SpecialBold"/>
              </w:rPr>
              <w:t>Halon 1211</w:t>
            </w:r>
            <w:r w:rsidRPr="009C6B5B">
              <w:t xml:space="preserve"> (BCF); used as a streaming agent - requires a special permit in Australia</w:t>
            </w:r>
          </w:p>
          <w:p w:rsidR="00000000" w:rsidP="009C6B5B">
            <w:pPr>
              <w:pStyle w:val="ListBullet"/>
              <w:rPr>
                <w:lang w:val="en-NZ"/>
              </w:rPr>
            </w:pPr>
            <w:r w:rsidRPr="009C6B5B">
              <w:rPr>
                <w:rStyle w:val="SpecialBold"/>
              </w:rPr>
              <w:t>Halon 1301</w:t>
            </w:r>
            <w:r w:rsidRPr="009C6B5B">
              <w:t xml:space="preserve"> (BTM); used as a total flooding agent - requires a special permit in Australia</w:t>
            </w:r>
          </w:p>
        </w:tc>
      </w:tr>
      <w:tr w:rsidTr="00D23247">
        <w:tblPrEx>
          <w:tblW w:w="0" w:type="auto"/>
          <w:tblLayout w:type="fixed"/>
          <w:tblCellMar>
            <w:left w:w="62" w:type="dxa"/>
            <w:right w:w="62" w:type="dxa"/>
          </w:tblCellMar>
          <w:tblLook w:val="0000"/>
        </w:tblPrEx>
        <w:tc>
          <w:tcPr>
            <w:tcW w:w="3080" w:type="dxa"/>
            <w:tcBorders>
              <w:top w:val="nil"/>
              <w:left w:val="nil"/>
              <w:bottom w:val="nil"/>
              <w:right w:val="nil"/>
            </w:tcBorders>
            <w:tcMar>
              <w:top w:w="0" w:type="dxa"/>
              <w:left w:w="62" w:type="dxa"/>
              <w:bottom w:w="0" w:type="dxa"/>
              <w:right w:w="62" w:type="dxa"/>
            </w:tcMar>
          </w:tcPr>
          <w:p w:rsidR="00000000" w:rsidRPr="009C6B5B" w:rsidP="009C6B5B">
            <w:pPr>
              <w:pStyle w:val="BodyText"/>
            </w:pPr>
          </w:p>
        </w:tc>
        <w:tc>
          <w:tcPr>
            <w:tcW w:w="5403" w:type="dxa"/>
            <w:tcBorders>
              <w:top w:val="nil"/>
              <w:left w:val="nil"/>
              <w:bottom w:val="nil"/>
              <w:right w:val="nil"/>
            </w:tcBorders>
            <w:tcMar>
              <w:top w:w="0" w:type="dxa"/>
              <w:left w:w="62" w:type="dxa"/>
              <w:bottom w:w="0" w:type="dxa"/>
              <w:right w:w="62" w:type="dxa"/>
            </w:tcMar>
          </w:tcPr>
          <w:p w:rsidR="00000000" w:rsidRPr="009C6B5B" w:rsidP="009C6B5B">
            <w:pPr>
              <w:pStyle w:val="ListBullet"/>
            </w:pPr>
            <w:r w:rsidRPr="009C6B5B">
              <w:rPr>
                <w:rStyle w:val="SpecialBold"/>
              </w:rPr>
              <w:t>Halon 2402</w:t>
            </w:r>
            <w:r w:rsidRPr="009C6B5B">
              <w:t xml:space="preserve"> (</w:t>
            </w:r>
            <w:r w:rsidRPr="009C6B5B">
              <w:rPr>
                <w:rStyle w:val="SpecialBold"/>
              </w:rPr>
              <w:t>dibromotetrafluoroethane</w:t>
            </w:r>
            <w:r w:rsidRPr="009C6B5B">
              <w:t xml:space="preserve">, </w:t>
            </w:r>
            <w:r w:rsidRPr="009C6B5B">
              <w:rPr>
                <w:rStyle w:val="SpecialBold"/>
              </w:rPr>
              <w:t>C</w:t>
            </w:r>
            <w:r w:rsidRPr="009C6B5B">
              <w:rPr>
                <w:rStyle w:val="Subscript"/>
              </w:rPr>
              <w:t>2</w:t>
            </w:r>
            <w:r w:rsidRPr="009C6B5B">
              <w:rPr>
                <w:rStyle w:val="SpecialBold"/>
              </w:rPr>
              <w:t>Br</w:t>
            </w:r>
            <w:r w:rsidRPr="009C6B5B">
              <w:rPr>
                <w:rStyle w:val="Subscript"/>
              </w:rPr>
              <w:t>2</w:t>
            </w:r>
            <w:r w:rsidRPr="009C6B5B">
              <w:rPr>
                <w:rStyle w:val="SpecialBold"/>
              </w:rPr>
              <w:t>F</w:t>
            </w:r>
            <w:r w:rsidRPr="009C6B5B">
              <w:rPr>
                <w:rStyle w:val="Subscript"/>
              </w:rPr>
              <w:t>4</w:t>
            </w:r>
            <w:r w:rsidRPr="009C6B5B">
              <w:t>); limited use in military systems - requires a special permit in Australia</w:t>
            </w:r>
          </w:p>
          <w:p w:rsidR="00000000" w:rsidRPr="009C6B5B" w:rsidP="009C6B5B">
            <w:pPr>
              <w:pStyle w:val="ListBullet"/>
            </w:pPr>
            <w:r w:rsidRPr="009C6B5B">
              <w:rPr>
                <w:rStyle w:val="SpecialBold"/>
              </w:rPr>
              <w:t>HCFC 22</w:t>
            </w:r>
            <w:r w:rsidRPr="009C6B5B">
              <w:t xml:space="preserve"> (</w:t>
            </w:r>
            <w:r w:rsidRPr="009C6B5B">
              <w:rPr>
                <w:rStyle w:val="SpecialBold"/>
              </w:rPr>
              <w:t>chlorodifluoromethane</w:t>
            </w:r>
            <w:r w:rsidRPr="009C6B5B">
              <w:t xml:space="preserve">, </w:t>
            </w:r>
            <w:r w:rsidRPr="009C6B5B">
              <w:rPr>
                <w:rStyle w:val="SpecialBold"/>
              </w:rPr>
              <w:t>CHClF</w:t>
            </w:r>
            <w:r w:rsidRPr="009C6B5B">
              <w:rPr>
                <w:rStyle w:val="Subscript"/>
              </w:rPr>
              <w:t>2</w:t>
            </w:r>
            <w:r w:rsidRPr="009C6B5B">
              <w:t>); used as a p</w:t>
            </w:r>
            <w:r w:rsidRPr="009C6B5B">
              <w:t>ropellant in some powder fire extinguishers (this product is banned in Australia)</w:t>
            </w:r>
          </w:p>
          <w:p w:rsidR="00000000" w:rsidRPr="009C6B5B" w:rsidP="009C6B5B">
            <w:pPr>
              <w:pStyle w:val="ListBullet"/>
            </w:pPr>
            <w:r w:rsidRPr="009C6B5B">
              <w:rPr>
                <w:rStyle w:val="SpecialBold"/>
              </w:rPr>
              <w:t>HFC 134a</w:t>
            </w:r>
            <w:r w:rsidRPr="009C6B5B">
              <w:t xml:space="preserve"> (unsymmetric tetrafluoroethane, CH</w:t>
            </w:r>
            <w:r w:rsidRPr="009C6B5B">
              <w:rPr>
                <w:rStyle w:val="Subscript"/>
              </w:rPr>
              <w:t>2</w:t>
            </w:r>
            <w:r w:rsidRPr="009C6B5B">
              <w:t>FCF</w:t>
            </w:r>
            <w:r w:rsidRPr="009C6B5B">
              <w:rPr>
                <w:rStyle w:val="Subscript"/>
              </w:rPr>
              <w:t>3</w:t>
            </w:r>
            <w:r w:rsidRPr="009C6B5B">
              <w:t>); used as a propellant in some powder fire extinguishers</w:t>
            </w:r>
          </w:p>
          <w:p w:rsidR="00000000" w:rsidRPr="009C6B5B" w:rsidP="009C6B5B">
            <w:pPr>
              <w:pStyle w:val="ListBullet"/>
            </w:pPr>
            <w:r w:rsidRPr="009C6B5B">
              <w:rPr>
                <w:rStyle w:val="SpecialBold"/>
              </w:rPr>
              <w:t>NAF-S-III</w:t>
            </w:r>
            <w:r w:rsidRPr="009C6B5B">
              <w:t xml:space="preserve"> (HCFC Blend A); used as a total flooding agent - is a repl</w:t>
            </w:r>
            <w:r w:rsidRPr="009C6B5B">
              <w:t>acement for Halon 1301</w:t>
            </w:r>
          </w:p>
          <w:p w:rsidR="00000000" w:rsidRPr="009C6B5B" w:rsidP="009C6B5B">
            <w:pPr>
              <w:pStyle w:val="ListBullet"/>
            </w:pPr>
            <w:r w:rsidRPr="009C6B5B">
              <w:rPr>
                <w:rStyle w:val="SpecialBold"/>
              </w:rPr>
              <w:t>NAF-P-III</w:t>
            </w:r>
            <w:r w:rsidRPr="009C6B5B">
              <w:t xml:space="preserve"> (HCFC Blend C); used as a streaming agent - is a replacement for Halon 1211</w:t>
            </w:r>
          </w:p>
          <w:p w:rsidR="00000000" w:rsidRPr="009C6B5B" w:rsidP="009C6B5B">
            <w:pPr>
              <w:pStyle w:val="ListBullet"/>
            </w:pPr>
            <w:r w:rsidRPr="009C6B5B">
              <w:rPr>
                <w:rStyle w:val="SpecialBold"/>
              </w:rPr>
              <w:t>NAF-P-IV</w:t>
            </w:r>
            <w:r w:rsidRPr="009C6B5B">
              <w:t xml:space="preserve"> (HCFC Blend E); used as a streaming agent</w:t>
            </w:r>
          </w:p>
          <w:p w:rsidR="00000000" w:rsidP="009C6B5B">
            <w:pPr>
              <w:pStyle w:val="ListBullet"/>
              <w:rPr>
                <w:lang w:val="en-NZ"/>
              </w:rPr>
            </w:pPr>
            <w:r w:rsidRPr="009C6B5B">
              <w:rPr>
                <w:rStyle w:val="SpecialBold"/>
              </w:rPr>
              <w:t>SF6</w:t>
            </w:r>
            <w:r w:rsidRPr="009C6B5B">
              <w:t xml:space="preserve"> (sulfurhexofluoride, SF</w:t>
            </w:r>
            <w:r w:rsidRPr="009C6B5B">
              <w:rPr>
                <w:rStyle w:val="Subscript"/>
              </w:rPr>
              <w:t>6</w:t>
            </w:r>
            <w:r w:rsidRPr="009C6B5B">
              <w:t>); used as an inerting agent for sealed high voltage switchgear.</w:t>
            </w:r>
          </w:p>
        </w:tc>
      </w:tr>
      <w:tr w:rsidTr="00D23247">
        <w:tblPrEx>
          <w:tblW w:w="0" w:type="auto"/>
          <w:tblLayout w:type="fixed"/>
          <w:tblCellMar>
            <w:left w:w="62" w:type="dxa"/>
            <w:right w:w="62" w:type="dxa"/>
          </w:tblCellMar>
          <w:tblLook w:val="0000"/>
        </w:tblPrEx>
        <w:tc>
          <w:tcPr>
            <w:tcW w:w="3080" w:type="dxa"/>
            <w:tcBorders>
              <w:top w:val="nil"/>
              <w:left w:val="nil"/>
              <w:bottom w:val="nil"/>
              <w:right w:val="nil"/>
            </w:tcBorders>
            <w:tcMar>
              <w:top w:w="0" w:type="dxa"/>
              <w:left w:w="62" w:type="dxa"/>
              <w:bottom w:w="0" w:type="dxa"/>
              <w:right w:w="62" w:type="dxa"/>
            </w:tcMar>
          </w:tcPr>
          <w:p w:rsidR="00000000" w:rsidP="009C6B5B">
            <w:pPr>
              <w:pStyle w:val="BodyText"/>
              <w:rPr>
                <w:lang w:val="en-NZ"/>
              </w:rPr>
            </w:pPr>
            <w:r w:rsidRPr="009C6B5B">
              <w:rPr>
                <w:rStyle w:val="BoldandItalics"/>
              </w:rPr>
              <w:t>Po</w:t>
            </w:r>
            <w:r w:rsidRPr="009C6B5B">
              <w:rPr>
                <w:rStyle w:val="BoldandItalics"/>
              </w:rPr>
              <w:t>tential and actual breaches</w:t>
            </w:r>
            <w:r w:rsidRPr="009C6B5B">
              <w:t xml:space="preserve"> could be identified by:</w:t>
            </w:r>
          </w:p>
        </w:tc>
        <w:tc>
          <w:tcPr>
            <w:tcW w:w="5403" w:type="dxa"/>
            <w:tcBorders>
              <w:top w:val="nil"/>
              <w:left w:val="nil"/>
              <w:bottom w:val="nil"/>
              <w:right w:val="nil"/>
            </w:tcBorders>
            <w:tcMar>
              <w:top w:w="0" w:type="dxa"/>
              <w:left w:w="62" w:type="dxa"/>
              <w:bottom w:w="0" w:type="dxa"/>
              <w:right w:w="62" w:type="dxa"/>
            </w:tcMar>
          </w:tcPr>
          <w:p w:rsidR="00000000" w:rsidRPr="009C6B5B" w:rsidP="009C6B5B">
            <w:pPr>
              <w:pStyle w:val="ListBullet"/>
            </w:pPr>
            <w:r w:rsidRPr="009C6B5B">
              <w:t>direct observation</w:t>
            </w:r>
          </w:p>
          <w:p w:rsidR="00000000" w:rsidP="009C6B5B">
            <w:pPr>
              <w:pStyle w:val="ListBullet"/>
              <w:rPr>
                <w:lang w:val="en-NZ"/>
              </w:rPr>
            </w:pPr>
            <w:r w:rsidRPr="009C6B5B">
              <w:t>workplace quality assurance teams.</w:t>
            </w:r>
          </w:p>
        </w:tc>
      </w:tr>
      <w:tr w:rsidTr="00D23247">
        <w:tblPrEx>
          <w:tblW w:w="0" w:type="auto"/>
          <w:tblLayout w:type="fixed"/>
          <w:tblCellMar>
            <w:left w:w="62" w:type="dxa"/>
            <w:right w:w="62" w:type="dxa"/>
          </w:tblCellMar>
          <w:tblLook w:val="0000"/>
        </w:tblPrEx>
        <w:tc>
          <w:tcPr>
            <w:tcW w:w="3080" w:type="dxa"/>
            <w:tcBorders>
              <w:top w:val="nil"/>
              <w:left w:val="nil"/>
              <w:bottom w:val="nil"/>
              <w:right w:val="nil"/>
            </w:tcBorders>
            <w:tcMar>
              <w:top w:w="0" w:type="dxa"/>
              <w:left w:w="62" w:type="dxa"/>
              <w:bottom w:w="0" w:type="dxa"/>
              <w:right w:w="62" w:type="dxa"/>
            </w:tcMar>
          </w:tcPr>
          <w:p w:rsidR="00000000" w:rsidP="009C6B5B">
            <w:pPr>
              <w:pStyle w:val="BodyText"/>
              <w:rPr>
                <w:lang w:val="en-NZ"/>
              </w:rPr>
            </w:pPr>
            <w:r w:rsidRPr="009C6B5B">
              <w:rPr>
                <w:rStyle w:val="BoldandItalics"/>
              </w:rPr>
              <w:t>Organisational requirements</w:t>
            </w:r>
            <w:r w:rsidRPr="009C6B5B">
              <w:t xml:space="preserve"> may be located in quality assurance and/or procedures manuals and relate to:</w:t>
            </w:r>
          </w:p>
        </w:tc>
        <w:tc>
          <w:tcPr>
            <w:tcW w:w="5403" w:type="dxa"/>
            <w:tcBorders>
              <w:top w:val="nil"/>
              <w:left w:val="nil"/>
              <w:bottom w:val="nil"/>
              <w:right w:val="nil"/>
            </w:tcBorders>
            <w:tcMar>
              <w:top w:w="0" w:type="dxa"/>
              <w:left w:w="62" w:type="dxa"/>
              <w:bottom w:w="0" w:type="dxa"/>
              <w:right w:w="62" w:type="dxa"/>
            </w:tcMar>
          </w:tcPr>
          <w:p w:rsidR="00000000" w:rsidRPr="009C6B5B" w:rsidP="009C6B5B">
            <w:pPr>
              <w:pStyle w:val="ListBullet"/>
            </w:pPr>
            <w:r w:rsidRPr="009C6B5B">
              <w:t>legal and organisational policies and guidelines</w:t>
            </w:r>
          </w:p>
          <w:p w:rsidR="00000000" w:rsidRPr="009C6B5B" w:rsidP="009C6B5B">
            <w:pPr>
              <w:pStyle w:val="ListBullet"/>
            </w:pPr>
            <w:r w:rsidRPr="009C6B5B">
              <w:t>personnel practices and guidelines outlining work roles, responsibilities and delegations</w:t>
            </w:r>
          </w:p>
          <w:p w:rsidR="00000000" w:rsidRPr="009C6B5B" w:rsidP="009C6B5B">
            <w:pPr>
              <w:pStyle w:val="ListBullet"/>
            </w:pPr>
            <w:r w:rsidRPr="009C6B5B">
              <w:t>legislation relevant to the service operation</w:t>
            </w:r>
          </w:p>
          <w:p w:rsidR="00000000" w:rsidRPr="009C6B5B" w:rsidP="009C6B5B">
            <w:pPr>
              <w:pStyle w:val="ListBullet"/>
            </w:pPr>
            <w:r w:rsidRPr="009C6B5B">
              <w:t>OHS policies, procedures and programs</w:t>
            </w:r>
          </w:p>
          <w:p w:rsidR="00000000" w:rsidRPr="009C6B5B" w:rsidP="009C6B5B">
            <w:pPr>
              <w:pStyle w:val="ListBullet"/>
            </w:pPr>
            <w:r w:rsidRPr="009C6B5B">
              <w:t xml:space="preserve">ODS and SGG policies, procedures </w:t>
            </w:r>
            <w:r w:rsidRPr="009C6B5B">
              <w:t>and work instructions to prevent ODS and SGG emissions in the workplace</w:t>
            </w:r>
          </w:p>
          <w:p w:rsidR="00000000" w:rsidRPr="009C6B5B" w:rsidP="009C6B5B">
            <w:pPr>
              <w:pStyle w:val="ListBullet"/>
            </w:pPr>
            <w:r w:rsidRPr="009C6B5B">
              <w:t>documentation and information systems and processes</w:t>
            </w:r>
          </w:p>
          <w:p w:rsidR="00000000" w:rsidP="009C6B5B">
            <w:pPr>
              <w:pStyle w:val="ListBullet"/>
              <w:rPr>
                <w:lang w:val="en-NZ"/>
              </w:rPr>
            </w:pPr>
            <w:r w:rsidRPr="009C6B5B">
              <w:t>use of electronic job scheduling and communication devices.</w:t>
            </w:r>
          </w:p>
        </w:tc>
      </w:tr>
      <w:tr w:rsidTr="00D23247">
        <w:tblPrEx>
          <w:tblW w:w="0" w:type="auto"/>
          <w:tblLayout w:type="fixed"/>
          <w:tblCellMar>
            <w:left w:w="62" w:type="dxa"/>
            <w:right w:w="62" w:type="dxa"/>
          </w:tblCellMar>
          <w:tblLook w:val="0000"/>
        </w:tblPrEx>
        <w:tc>
          <w:tcPr>
            <w:tcW w:w="3080" w:type="dxa"/>
            <w:tcBorders>
              <w:top w:val="nil"/>
              <w:left w:val="nil"/>
              <w:bottom w:val="nil"/>
              <w:right w:val="nil"/>
            </w:tcBorders>
            <w:tcMar>
              <w:top w:w="0" w:type="dxa"/>
              <w:left w:w="62" w:type="dxa"/>
              <w:bottom w:w="0" w:type="dxa"/>
              <w:right w:w="62" w:type="dxa"/>
            </w:tcMar>
          </w:tcPr>
          <w:p w:rsidR="00000000" w:rsidP="009C6B5B">
            <w:pPr>
              <w:pStyle w:val="BodyText"/>
              <w:rPr>
                <w:lang w:val="en-NZ"/>
              </w:rPr>
            </w:pPr>
            <w:r w:rsidRPr="009C6B5B">
              <w:rPr>
                <w:rStyle w:val="BoldandItalics"/>
              </w:rPr>
              <w:t>OHS policies and procedures</w:t>
            </w:r>
            <w:r w:rsidRPr="009C6B5B">
              <w:t xml:space="preserve"> may relate to:</w:t>
            </w:r>
          </w:p>
        </w:tc>
        <w:tc>
          <w:tcPr>
            <w:tcW w:w="5403" w:type="dxa"/>
            <w:tcBorders>
              <w:top w:val="nil"/>
              <w:left w:val="nil"/>
              <w:bottom w:val="nil"/>
              <w:right w:val="nil"/>
            </w:tcBorders>
            <w:tcMar>
              <w:top w:w="0" w:type="dxa"/>
              <w:left w:w="62" w:type="dxa"/>
              <w:bottom w:w="0" w:type="dxa"/>
              <w:right w:w="62" w:type="dxa"/>
            </w:tcMar>
          </w:tcPr>
          <w:p w:rsidR="00000000" w:rsidRPr="009C6B5B" w:rsidP="009C6B5B">
            <w:pPr>
              <w:pStyle w:val="ListBullet"/>
            </w:pPr>
            <w:r w:rsidRPr="009C6B5B">
              <w:t>employer and employee right</w:t>
            </w:r>
            <w:r w:rsidRPr="009C6B5B">
              <w:t>s and responsibilities</w:t>
            </w:r>
          </w:p>
          <w:p w:rsidR="00000000" w:rsidRPr="009C6B5B" w:rsidP="009C6B5B">
            <w:pPr>
              <w:pStyle w:val="ListBullet"/>
            </w:pPr>
            <w:r w:rsidRPr="009C6B5B">
              <w:t>the OHS hierarchy of control</w:t>
            </w:r>
          </w:p>
          <w:p w:rsidR="00000000" w:rsidRPr="009C6B5B" w:rsidP="009C6B5B">
            <w:pPr>
              <w:pStyle w:val="ListBullet"/>
            </w:pPr>
            <w:r w:rsidRPr="009C6B5B">
              <w:t>assessing the work site for hazards and risks prior to preparing it for the work procedure</w:t>
            </w:r>
          </w:p>
          <w:p w:rsidR="00000000" w:rsidRPr="009C6B5B" w:rsidP="009C6B5B">
            <w:pPr>
              <w:pStyle w:val="ListBullet"/>
            </w:pPr>
            <w:r w:rsidRPr="009C6B5B">
              <w:t>displaying signs and using barriers in work area</w:t>
            </w:r>
          </w:p>
          <w:p w:rsidR="00000000" w:rsidRPr="009C6B5B" w:rsidP="009C6B5B">
            <w:pPr>
              <w:pStyle w:val="ListBullet"/>
            </w:pPr>
            <w:r w:rsidRPr="009C6B5B">
              <w:t>hazard and risk identification and reporting</w:t>
            </w:r>
          </w:p>
          <w:p w:rsidR="00000000" w:rsidRPr="009C6B5B" w:rsidP="009C6B5B">
            <w:pPr>
              <w:pStyle w:val="ListBullet"/>
            </w:pPr>
            <w:r w:rsidRPr="009C6B5B">
              <w:t>risk assessment and control measures</w:t>
            </w:r>
          </w:p>
          <w:p w:rsidR="00000000" w:rsidRPr="009C6B5B" w:rsidP="009C6B5B">
            <w:pPr>
              <w:pStyle w:val="ListBullet"/>
            </w:pPr>
            <w:r w:rsidRPr="009C6B5B">
              <w:t>incident and accident investigation</w:t>
            </w:r>
          </w:p>
          <w:p w:rsidR="00000000" w:rsidRPr="009C6B5B" w:rsidP="009C6B5B">
            <w:pPr>
              <w:pStyle w:val="ListBullet"/>
            </w:pPr>
            <w:r w:rsidRPr="009C6B5B">
              <w:t>OHS audits and safety inspections</w:t>
            </w:r>
          </w:p>
          <w:p w:rsidR="00000000" w:rsidRPr="009C6B5B" w:rsidP="009C6B5B">
            <w:pPr>
              <w:pStyle w:val="ListBullet"/>
            </w:pPr>
            <w:r w:rsidRPr="009C6B5B">
              <w:t>safe operating procedures and instructions, including:</w:t>
            </w:r>
          </w:p>
          <w:p w:rsidR="00000000" w:rsidRPr="009C6B5B" w:rsidP="009C6B5B">
            <w:pPr>
              <w:pStyle w:val="ListBullet2"/>
            </w:pPr>
            <w:r w:rsidRPr="009C6B5B">
              <w:t>working safely around electrical wiring, cables and overhead powerlines</w:t>
            </w:r>
          </w:p>
          <w:p w:rsidR="00000000" w:rsidRPr="009C6B5B" w:rsidP="009C6B5B">
            <w:pPr>
              <w:pStyle w:val="ListBullet2"/>
            </w:pPr>
            <w:r w:rsidRPr="009C6B5B">
              <w:t>working safely around</w:t>
            </w:r>
            <w:r w:rsidRPr="009C6B5B">
              <w:t xml:space="preserve"> tools and equipment</w:t>
            </w:r>
          </w:p>
          <w:p w:rsidR="00000000" w:rsidRPr="009C6B5B" w:rsidP="009C6B5B">
            <w:pPr>
              <w:pStyle w:val="ListBullet2"/>
            </w:pPr>
            <w:r w:rsidRPr="009C6B5B">
              <w:t>working safely on ladders and raised platforms</w:t>
            </w:r>
          </w:p>
          <w:p w:rsidR="00000000" w:rsidRPr="009C6B5B" w:rsidP="009C6B5B">
            <w:pPr>
              <w:pStyle w:val="ListBullet2"/>
            </w:pPr>
            <w:r w:rsidRPr="009C6B5B">
              <w:t>risk and hazard recognition</w:t>
            </w:r>
          </w:p>
          <w:p w:rsidR="00000000" w:rsidRPr="009C6B5B" w:rsidP="009C6B5B">
            <w:pPr>
              <w:pStyle w:val="ListBullet2"/>
            </w:pPr>
            <w:r w:rsidRPr="009C6B5B">
              <w:t>emergency procedures</w:t>
            </w:r>
          </w:p>
          <w:p w:rsidR="00000000" w:rsidRPr="009C6B5B" w:rsidP="009C6B5B">
            <w:pPr>
              <w:pStyle w:val="ListBullet2"/>
            </w:pPr>
            <w:r w:rsidRPr="009C6B5B">
              <w:t>awareness of electrical hazards</w:t>
            </w:r>
          </w:p>
          <w:p w:rsidR="00000000" w:rsidRPr="009C6B5B" w:rsidP="009C6B5B">
            <w:pPr>
              <w:pStyle w:val="ListBullet2"/>
            </w:pPr>
            <w:r w:rsidRPr="009C6B5B">
              <w:t>following confined spaces procedures</w:t>
            </w:r>
          </w:p>
          <w:p w:rsidR="00000000" w:rsidRPr="009C6B5B" w:rsidP="009C6B5B">
            <w:pPr>
              <w:pStyle w:val="ListBullet2"/>
            </w:pPr>
            <w:r w:rsidRPr="009C6B5B">
              <w:t>using PPE, including:</w:t>
            </w:r>
          </w:p>
          <w:p w:rsidR="00000000" w:rsidRPr="009C6B5B" w:rsidP="009C6B5B">
            <w:pPr>
              <w:pStyle w:val="ListBullet2"/>
            </w:pPr>
            <w:r w:rsidRPr="009C6B5B">
              <w:t>safety glasses or goggles</w:t>
            </w:r>
          </w:p>
          <w:p w:rsidR="00000000" w:rsidRPr="009C6B5B" w:rsidP="009C6B5B">
            <w:pPr>
              <w:pStyle w:val="ListBullet2"/>
            </w:pPr>
            <w:r w:rsidRPr="009C6B5B">
              <w:t>safety boots or shoes</w:t>
            </w:r>
          </w:p>
          <w:p w:rsidR="00000000" w:rsidRPr="009C6B5B" w:rsidP="009C6B5B">
            <w:pPr>
              <w:pStyle w:val="ListBullet2"/>
            </w:pPr>
            <w:r w:rsidRPr="009C6B5B">
              <w:t>hard hats</w:t>
            </w:r>
          </w:p>
          <w:p w:rsidR="00000000" w:rsidRPr="009C6B5B" w:rsidP="009C6B5B">
            <w:pPr>
              <w:pStyle w:val="ListBullet2"/>
            </w:pPr>
            <w:r w:rsidRPr="009C6B5B">
              <w:t>earmuffs or plugs</w:t>
            </w:r>
          </w:p>
          <w:p w:rsidR="00000000" w:rsidRPr="009C6B5B" w:rsidP="009C6B5B">
            <w:pPr>
              <w:pStyle w:val="ListBullet2"/>
            </w:pPr>
            <w:r w:rsidRPr="009C6B5B">
              <w:t>appropriate gloves and overalls</w:t>
            </w:r>
          </w:p>
          <w:p w:rsidR="00000000" w:rsidRPr="009C6B5B" w:rsidP="009C6B5B">
            <w:pPr>
              <w:pStyle w:val="ListBullet2"/>
            </w:pPr>
            <w:r w:rsidRPr="009C6B5B">
              <w:t>sunhats</w:t>
            </w:r>
          </w:p>
          <w:p w:rsidR="00000000" w:rsidRPr="009C6B5B" w:rsidP="009C6B5B">
            <w:pPr>
              <w:pStyle w:val="ListBullet2"/>
            </w:pPr>
            <w:r w:rsidRPr="009C6B5B">
              <w:t>dust masks</w:t>
            </w:r>
          </w:p>
          <w:p w:rsidR="00000000" w:rsidRPr="009C6B5B" w:rsidP="009C6B5B">
            <w:pPr>
              <w:pStyle w:val="ListBullet"/>
            </w:pPr>
            <w:r w:rsidRPr="009C6B5B">
              <w:t>equipment maintenance and use</w:t>
            </w:r>
          </w:p>
          <w:p w:rsidR="00000000" w:rsidRPr="009C6B5B" w:rsidP="009C6B5B">
            <w:pPr>
              <w:pStyle w:val="ListBullet"/>
            </w:pPr>
            <w:r w:rsidRPr="009C6B5B">
              <w:t>use and storage of hazardous substances</w:t>
            </w:r>
          </w:p>
          <w:p w:rsidR="00000000" w:rsidP="009C6B5B">
            <w:pPr>
              <w:pStyle w:val="ListBullet"/>
              <w:rPr>
                <w:lang w:val="en-NZ"/>
              </w:rPr>
            </w:pPr>
            <w:r w:rsidRPr="009C6B5B">
              <w:t>first aid.</w:t>
            </w:r>
          </w:p>
        </w:tc>
      </w:tr>
      <w:tr w:rsidTr="00D23247">
        <w:tblPrEx>
          <w:tblW w:w="0" w:type="auto"/>
          <w:tblLayout w:type="fixed"/>
          <w:tblCellMar>
            <w:left w:w="62" w:type="dxa"/>
            <w:right w:w="62" w:type="dxa"/>
          </w:tblCellMar>
          <w:tblLook w:val="0000"/>
        </w:tblPrEx>
        <w:tc>
          <w:tcPr>
            <w:tcW w:w="3080" w:type="dxa"/>
            <w:tcBorders>
              <w:top w:val="nil"/>
              <w:left w:val="nil"/>
              <w:bottom w:val="nil"/>
              <w:right w:val="nil"/>
            </w:tcBorders>
            <w:tcMar>
              <w:top w:w="0" w:type="dxa"/>
              <w:left w:w="62" w:type="dxa"/>
              <w:bottom w:w="0" w:type="dxa"/>
              <w:right w:w="62" w:type="dxa"/>
            </w:tcMar>
          </w:tcPr>
          <w:p w:rsidR="00000000" w:rsidP="009C6B5B">
            <w:pPr>
              <w:pStyle w:val="BodyText"/>
              <w:rPr>
                <w:lang w:val="en-NZ"/>
              </w:rPr>
            </w:pPr>
            <w:r w:rsidRPr="009C6B5B">
              <w:rPr>
                <w:rStyle w:val="BoldandItalics"/>
              </w:rPr>
              <w:t>Australian standards</w:t>
            </w:r>
            <w:r w:rsidRPr="009C6B5B">
              <w:t xml:space="preserve"> include:</w:t>
            </w:r>
          </w:p>
        </w:tc>
        <w:tc>
          <w:tcPr>
            <w:tcW w:w="5403" w:type="dxa"/>
            <w:tcBorders>
              <w:top w:val="nil"/>
              <w:left w:val="nil"/>
              <w:bottom w:val="nil"/>
              <w:right w:val="nil"/>
            </w:tcBorders>
            <w:tcMar>
              <w:top w:w="0" w:type="dxa"/>
              <w:left w:w="62" w:type="dxa"/>
              <w:bottom w:w="0" w:type="dxa"/>
              <w:right w:w="62" w:type="dxa"/>
            </w:tcMar>
          </w:tcPr>
          <w:p w:rsidR="00000000" w:rsidRPr="009C6B5B" w:rsidP="009C6B5B">
            <w:pPr>
              <w:pStyle w:val="ListBullet"/>
            </w:pPr>
            <w:r w:rsidRPr="009C6B5B">
              <w:t>delivery lay flat fire hoses</w:t>
            </w:r>
          </w:p>
          <w:p w:rsidR="00000000" w:rsidRPr="009C6B5B" w:rsidP="009C6B5B">
            <w:pPr>
              <w:pStyle w:val="ListBullet"/>
            </w:pPr>
            <w:r w:rsidRPr="009C6B5B">
              <w:t>fire alarm monitoring systems</w:t>
            </w:r>
          </w:p>
          <w:p w:rsidR="00000000" w:rsidRPr="009C6B5B" w:rsidP="009C6B5B">
            <w:pPr>
              <w:pStyle w:val="ListBullet"/>
            </w:pPr>
            <w:r w:rsidRPr="009C6B5B">
              <w:t>fire and smoke control features of heating, ventilation and air conditioning systems</w:t>
            </w:r>
          </w:p>
          <w:p w:rsidR="00000000" w:rsidRPr="009C6B5B" w:rsidP="009C6B5B">
            <w:pPr>
              <w:pStyle w:val="ListBullet"/>
            </w:pPr>
            <w:r w:rsidRPr="009C6B5B">
              <w:t>fire blankets</w:t>
            </w:r>
          </w:p>
          <w:p w:rsidR="00000000" w:rsidRPr="009C6B5B" w:rsidP="009C6B5B">
            <w:pPr>
              <w:pStyle w:val="ListBullet"/>
            </w:pPr>
            <w:r w:rsidRPr="009C6B5B">
              <w:t>fire detection systems</w:t>
            </w:r>
          </w:p>
          <w:p w:rsidR="00000000" w:rsidRPr="009C6B5B" w:rsidP="009C6B5B">
            <w:pPr>
              <w:pStyle w:val="ListBullet"/>
            </w:pPr>
            <w:r w:rsidRPr="009C6B5B">
              <w:t>fire hose reels</w:t>
            </w:r>
          </w:p>
          <w:p w:rsidR="00000000" w:rsidRPr="009C6B5B" w:rsidP="009C6B5B">
            <w:pPr>
              <w:pStyle w:val="ListBullet"/>
            </w:pPr>
            <w:r w:rsidRPr="009C6B5B">
              <w:t>fire hydrant installations</w:t>
            </w:r>
          </w:p>
          <w:p w:rsidR="00000000" w:rsidRPr="009C6B5B" w:rsidP="009C6B5B">
            <w:pPr>
              <w:pStyle w:val="ListBullet"/>
            </w:pPr>
            <w:r w:rsidRPr="009C6B5B">
              <w:t>fire pumpsets</w:t>
            </w:r>
          </w:p>
          <w:p w:rsidR="00000000" w:rsidRPr="009C6B5B" w:rsidP="009C6B5B">
            <w:pPr>
              <w:pStyle w:val="ListBullet"/>
            </w:pPr>
            <w:r w:rsidRPr="009C6B5B">
              <w:t>fire sprinklers</w:t>
            </w:r>
          </w:p>
          <w:p w:rsidR="00000000" w:rsidRPr="009C6B5B" w:rsidP="009C6B5B">
            <w:pPr>
              <w:pStyle w:val="ListBullet"/>
            </w:pPr>
            <w:r w:rsidRPr="009C6B5B">
              <w:t>fixed aerosol systems</w:t>
            </w:r>
          </w:p>
          <w:p w:rsidR="00000000" w:rsidRPr="009C6B5B" w:rsidP="009C6B5B">
            <w:pPr>
              <w:pStyle w:val="ListBullet"/>
            </w:pPr>
            <w:r w:rsidRPr="009C6B5B">
              <w:t>gas cylinder test stations</w:t>
            </w:r>
          </w:p>
          <w:p w:rsidR="00000000" w:rsidRPr="009C6B5B" w:rsidP="009C6B5B">
            <w:pPr>
              <w:pStyle w:val="ListBullet"/>
            </w:pPr>
            <w:r w:rsidRPr="009C6B5B">
              <w:t>gaseous fire</w:t>
            </w:r>
            <w:r w:rsidRPr="009C6B5B">
              <w:t xml:space="preserve"> suppression systems</w:t>
            </w:r>
          </w:p>
          <w:p w:rsidR="00000000" w:rsidRPr="009C6B5B" w:rsidP="009C6B5B">
            <w:pPr>
              <w:pStyle w:val="ListBullet"/>
            </w:pPr>
            <w:r w:rsidRPr="009C6B5B">
              <w:t>passive fire and smoke containment systems</w:t>
            </w:r>
          </w:p>
          <w:p w:rsidR="00000000" w:rsidRPr="009C6B5B" w:rsidP="009C6B5B">
            <w:pPr>
              <w:pStyle w:val="ListBullet"/>
            </w:pPr>
            <w:r w:rsidRPr="009C6B5B">
              <w:t>portable fire extinguishers</w:t>
            </w:r>
          </w:p>
          <w:p w:rsidR="00000000" w:rsidRPr="009C6B5B" w:rsidP="009C6B5B">
            <w:pPr>
              <w:pStyle w:val="ListBullet"/>
            </w:pPr>
            <w:r w:rsidRPr="009C6B5B">
              <w:t>dry powder fire suppression systems, including those where propellant gas is an ODS or an SGG</w:t>
            </w:r>
          </w:p>
          <w:p w:rsidR="00000000" w:rsidRPr="009C6B5B" w:rsidP="009C6B5B">
            <w:pPr>
              <w:pStyle w:val="ListBullet"/>
            </w:pPr>
            <w:r w:rsidRPr="009C6B5B">
              <w:t>road tank vehicles for dangerous goods</w:t>
            </w:r>
          </w:p>
          <w:p w:rsidR="00000000" w:rsidRPr="009C6B5B" w:rsidP="009C6B5B">
            <w:pPr>
              <w:pStyle w:val="ListBullet"/>
            </w:pPr>
            <w:r w:rsidRPr="009C6B5B">
              <w:t>smoke and heat alarms</w:t>
            </w:r>
          </w:p>
          <w:p w:rsidR="00000000" w:rsidRPr="009C6B5B" w:rsidP="009C6B5B">
            <w:pPr>
              <w:pStyle w:val="ListBullet"/>
            </w:pPr>
            <w:r w:rsidRPr="009C6B5B">
              <w:t>sound and intercom warning systems</w:t>
            </w:r>
          </w:p>
          <w:p w:rsidR="00000000" w:rsidRPr="009C6B5B" w:rsidP="009C6B5B">
            <w:pPr>
              <w:pStyle w:val="ListBullet"/>
            </w:pPr>
            <w:r w:rsidRPr="009C6B5B">
              <w:t>storage and handling of flammable and combustible liquids</w:t>
            </w:r>
          </w:p>
          <w:p w:rsidR="00000000" w:rsidRPr="009C6B5B" w:rsidP="009C6B5B">
            <w:pPr>
              <w:pStyle w:val="ListBullet"/>
            </w:pPr>
            <w:r w:rsidRPr="009C6B5B">
              <w:t>water mist systems</w:t>
            </w:r>
          </w:p>
          <w:p w:rsidR="00000000" w:rsidP="009C6B5B">
            <w:pPr>
              <w:pStyle w:val="ListBullet"/>
              <w:rPr>
                <w:lang w:val="en-NZ"/>
              </w:rPr>
            </w:pPr>
            <w:r w:rsidRPr="009C6B5B">
              <w:t>wheeled fire extinguishers.</w:t>
            </w:r>
          </w:p>
        </w:tc>
      </w:tr>
      <w:tr w:rsidTr="00D23247">
        <w:tblPrEx>
          <w:tblW w:w="0" w:type="auto"/>
          <w:tblLayout w:type="fixed"/>
          <w:tblCellMar>
            <w:left w:w="62" w:type="dxa"/>
            <w:right w:w="62" w:type="dxa"/>
          </w:tblCellMar>
          <w:tblLook w:val="0000"/>
        </w:tblPrEx>
        <w:tc>
          <w:tcPr>
            <w:tcW w:w="3080" w:type="dxa"/>
            <w:tcBorders>
              <w:top w:val="nil"/>
              <w:left w:val="nil"/>
              <w:bottom w:val="nil"/>
              <w:right w:val="nil"/>
            </w:tcBorders>
            <w:tcMar>
              <w:top w:w="0" w:type="dxa"/>
              <w:left w:w="62" w:type="dxa"/>
              <w:bottom w:w="0" w:type="dxa"/>
              <w:right w:w="62" w:type="dxa"/>
            </w:tcMar>
          </w:tcPr>
          <w:p w:rsidR="00000000" w:rsidP="009C6B5B">
            <w:pPr>
              <w:pStyle w:val="BodyText"/>
              <w:rPr>
                <w:lang w:val="en-NZ"/>
              </w:rPr>
            </w:pPr>
            <w:r w:rsidRPr="009C6B5B">
              <w:rPr>
                <w:rStyle w:val="BoldandItalics"/>
              </w:rPr>
              <w:t>Fire protection equipment</w:t>
            </w:r>
            <w:r w:rsidRPr="009C6B5B">
              <w:t xml:space="preserve"> may include:</w:t>
            </w:r>
          </w:p>
        </w:tc>
        <w:tc>
          <w:tcPr>
            <w:tcW w:w="5403" w:type="dxa"/>
            <w:tcBorders>
              <w:top w:val="nil"/>
              <w:left w:val="nil"/>
              <w:bottom w:val="nil"/>
              <w:right w:val="nil"/>
            </w:tcBorders>
            <w:tcMar>
              <w:top w:w="0" w:type="dxa"/>
              <w:left w:w="62" w:type="dxa"/>
              <w:bottom w:w="0" w:type="dxa"/>
              <w:right w:w="62" w:type="dxa"/>
            </w:tcMar>
          </w:tcPr>
          <w:p w:rsidR="00000000" w:rsidRPr="009C6B5B" w:rsidP="009C6B5B">
            <w:pPr>
              <w:pStyle w:val="ListBullet"/>
            </w:pPr>
            <w:r w:rsidRPr="009C6B5B">
              <w:t>delivery lay flat fire hoses</w:t>
            </w:r>
          </w:p>
          <w:p w:rsidR="00000000" w:rsidRPr="009C6B5B" w:rsidP="009C6B5B">
            <w:pPr>
              <w:pStyle w:val="ListBullet"/>
            </w:pPr>
            <w:r w:rsidRPr="009C6B5B">
              <w:t>dry powder fire suppression systems</w:t>
            </w:r>
          </w:p>
          <w:p w:rsidR="00000000" w:rsidRPr="009C6B5B" w:rsidP="009C6B5B">
            <w:pPr>
              <w:pStyle w:val="ListBullet"/>
            </w:pPr>
            <w:r w:rsidRPr="009C6B5B">
              <w:t>fire alarm</w:t>
            </w:r>
            <w:r w:rsidRPr="009C6B5B">
              <w:t xml:space="preserve"> monitoring systems</w:t>
            </w:r>
          </w:p>
          <w:p w:rsidR="00000000" w:rsidRPr="009C6B5B" w:rsidP="009C6B5B">
            <w:pPr>
              <w:pStyle w:val="ListBullet"/>
            </w:pPr>
            <w:r w:rsidRPr="009C6B5B">
              <w:t>fire and smoke control features of heating, ventilation and air conditioning systems</w:t>
            </w:r>
          </w:p>
          <w:p w:rsidR="00000000" w:rsidRPr="009C6B5B" w:rsidP="009C6B5B">
            <w:pPr>
              <w:pStyle w:val="ListBullet"/>
            </w:pPr>
            <w:r w:rsidRPr="009C6B5B">
              <w:t>fire blankets and containers</w:t>
            </w:r>
          </w:p>
          <w:p w:rsidR="00000000" w:rsidRPr="009C6B5B" w:rsidP="009C6B5B">
            <w:pPr>
              <w:pStyle w:val="ListBullet"/>
            </w:pPr>
            <w:r w:rsidRPr="009C6B5B">
              <w:t>fire detection systems</w:t>
            </w:r>
          </w:p>
          <w:p w:rsidR="00000000" w:rsidRPr="009C6B5B" w:rsidP="009C6B5B">
            <w:pPr>
              <w:pStyle w:val="ListBullet"/>
            </w:pPr>
            <w:r w:rsidRPr="009C6B5B">
              <w:t>fire hose reels</w:t>
            </w:r>
          </w:p>
          <w:p w:rsidR="00000000" w:rsidRPr="009C6B5B" w:rsidP="009C6B5B">
            <w:pPr>
              <w:pStyle w:val="ListBullet"/>
            </w:pPr>
            <w:r w:rsidRPr="009C6B5B">
              <w:t>fire hydrant installations</w:t>
            </w:r>
          </w:p>
          <w:p w:rsidR="00000000" w:rsidRPr="009C6B5B" w:rsidP="009C6B5B">
            <w:pPr>
              <w:pStyle w:val="ListBullet"/>
            </w:pPr>
            <w:r w:rsidRPr="009C6B5B">
              <w:t>fire pumpsets</w:t>
            </w:r>
          </w:p>
          <w:p w:rsidR="00000000" w:rsidRPr="009C6B5B" w:rsidP="009C6B5B">
            <w:pPr>
              <w:pStyle w:val="ListBullet"/>
            </w:pPr>
            <w:r w:rsidRPr="009C6B5B">
              <w:t>fire sprinklers</w:t>
            </w:r>
          </w:p>
          <w:p w:rsidR="00000000" w:rsidRPr="009C6B5B" w:rsidP="009C6B5B">
            <w:pPr>
              <w:pStyle w:val="ListBullet"/>
            </w:pPr>
            <w:r w:rsidRPr="009C6B5B">
              <w:t>fixed aerosol fire extinguishing systems</w:t>
            </w:r>
          </w:p>
          <w:p w:rsidR="00000000" w:rsidRPr="009C6B5B" w:rsidP="009C6B5B">
            <w:pPr>
              <w:pStyle w:val="ListBullet"/>
            </w:pPr>
            <w:r w:rsidRPr="009C6B5B">
              <w:t>foam fire suppression systems</w:t>
            </w:r>
          </w:p>
          <w:p w:rsidR="00000000" w:rsidRPr="009C6B5B" w:rsidP="009C6B5B">
            <w:pPr>
              <w:pStyle w:val="ListBullet"/>
            </w:pPr>
            <w:r w:rsidRPr="009C6B5B">
              <w:t>gaseous fire suppression systems</w:t>
            </w:r>
          </w:p>
          <w:p w:rsidR="00000000" w:rsidRPr="009C6B5B" w:rsidP="009C6B5B">
            <w:pPr>
              <w:pStyle w:val="ListBullet"/>
            </w:pPr>
            <w:r w:rsidRPr="009C6B5B">
              <w:t>medium and high velocity water spray systems</w:t>
            </w:r>
          </w:p>
          <w:p w:rsidR="00000000" w:rsidRPr="009C6B5B" w:rsidP="009C6B5B">
            <w:pPr>
              <w:pStyle w:val="ListBullet"/>
            </w:pPr>
            <w:r w:rsidRPr="009C6B5B">
              <w:t>passive fire and smoke containment systems</w:t>
            </w:r>
          </w:p>
          <w:p w:rsidR="00000000" w:rsidRPr="009C6B5B" w:rsidP="009C6B5B">
            <w:pPr>
              <w:pStyle w:val="ListBullet"/>
            </w:pPr>
            <w:r w:rsidRPr="009C6B5B">
              <w:t>portable fire extinguishers</w:t>
            </w:r>
          </w:p>
          <w:p w:rsidR="00000000" w:rsidRPr="009C6B5B" w:rsidP="009C6B5B">
            <w:pPr>
              <w:pStyle w:val="ListBullet"/>
            </w:pPr>
            <w:r w:rsidRPr="009C6B5B">
              <w:t>portable foam generating equipment</w:t>
            </w:r>
          </w:p>
          <w:p w:rsidR="00000000" w:rsidRPr="009C6B5B" w:rsidP="009C6B5B">
            <w:pPr>
              <w:pStyle w:val="ListBullet"/>
            </w:pPr>
            <w:r w:rsidRPr="009C6B5B">
              <w:t>p</w:t>
            </w:r>
            <w:r w:rsidRPr="009C6B5B">
              <w:t>yrogenic fire suppression systems</w:t>
            </w:r>
          </w:p>
          <w:p w:rsidR="00000000" w:rsidRPr="009C6B5B" w:rsidP="009C6B5B">
            <w:pPr>
              <w:pStyle w:val="ListBullet"/>
            </w:pPr>
            <w:r w:rsidRPr="009C6B5B">
              <w:t>smoke and heat alarms</w:t>
            </w:r>
          </w:p>
          <w:p w:rsidR="00000000" w:rsidRPr="009C6B5B" w:rsidP="009C6B5B">
            <w:pPr>
              <w:pStyle w:val="ListBullet"/>
            </w:pPr>
            <w:r w:rsidRPr="009C6B5B">
              <w:t>sound and intercom warning systems</w:t>
            </w:r>
          </w:p>
          <w:p w:rsidR="00000000" w:rsidRPr="009C6B5B" w:rsidP="009C6B5B">
            <w:pPr>
              <w:pStyle w:val="ListBullet"/>
            </w:pPr>
            <w:r w:rsidRPr="009C6B5B">
              <w:t>water mist fire suppression systems</w:t>
            </w:r>
          </w:p>
          <w:p w:rsidR="00000000" w:rsidRPr="009C6B5B" w:rsidP="009C6B5B">
            <w:pPr>
              <w:pStyle w:val="ListBullet"/>
            </w:pPr>
            <w:r w:rsidRPr="009C6B5B">
              <w:t>wet chemical fire suppression systems</w:t>
            </w:r>
          </w:p>
          <w:p w:rsidR="00000000" w:rsidP="009C6B5B">
            <w:pPr>
              <w:pStyle w:val="ListBullet"/>
              <w:rPr>
                <w:lang w:val="en-NZ"/>
              </w:rPr>
            </w:pPr>
            <w:r w:rsidRPr="009C6B5B">
              <w:t>wheeled fire extinguishers.</w:t>
            </w:r>
          </w:p>
        </w:tc>
      </w:tr>
      <w:tr w:rsidTr="00D23247">
        <w:tblPrEx>
          <w:tblW w:w="0" w:type="auto"/>
          <w:tblLayout w:type="fixed"/>
          <w:tblCellMar>
            <w:left w:w="62" w:type="dxa"/>
            <w:right w:w="62" w:type="dxa"/>
          </w:tblCellMar>
          <w:tblLook w:val="0000"/>
        </w:tblPrEx>
        <w:tc>
          <w:tcPr>
            <w:tcW w:w="3080" w:type="dxa"/>
            <w:tcBorders>
              <w:top w:val="nil"/>
              <w:left w:val="nil"/>
              <w:bottom w:val="nil"/>
              <w:right w:val="nil"/>
            </w:tcBorders>
            <w:tcMar>
              <w:top w:w="0" w:type="dxa"/>
              <w:left w:w="62" w:type="dxa"/>
              <w:bottom w:w="0" w:type="dxa"/>
              <w:right w:w="62" w:type="dxa"/>
            </w:tcMar>
          </w:tcPr>
          <w:p w:rsidR="00000000" w:rsidP="009C6B5B">
            <w:pPr>
              <w:pStyle w:val="BodyText"/>
              <w:rPr>
                <w:lang w:val="en-NZ"/>
              </w:rPr>
            </w:pPr>
            <w:r w:rsidRPr="009C6B5B">
              <w:rPr>
                <w:rStyle w:val="BoldandItalics"/>
              </w:rPr>
              <w:t>Customer requirements</w:t>
            </w:r>
            <w:r w:rsidRPr="009C6B5B">
              <w:t xml:space="preserve"> may include:</w:t>
            </w:r>
          </w:p>
        </w:tc>
        <w:tc>
          <w:tcPr>
            <w:tcW w:w="5403" w:type="dxa"/>
            <w:tcBorders>
              <w:top w:val="nil"/>
              <w:left w:val="nil"/>
              <w:bottom w:val="nil"/>
              <w:right w:val="nil"/>
            </w:tcBorders>
            <w:tcMar>
              <w:top w:w="0" w:type="dxa"/>
              <w:left w:w="62" w:type="dxa"/>
              <w:bottom w:w="0" w:type="dxa"/>
              <w:right w:w="62" w:type="dxa"/>
            </w:tcMar>
          </w:tcPr>
          <w:p w:rsidR="00000000" w:rsidRPr="009C6B5B" w:rsidP="009C6B5B">
            <w:pPr>
              <w:pStyle w:val="ListBullet"/>
            </w:pPr>
            <w:r w:rsidRPr="009C6B5B">
              <w:t>providing routine services</w:t>
            </w:r>
          </w:p>
          <w:p w:rsidR="00000000" w:rsidRPr="009C6B5B" w:rsidP="009C6B5B">
            <w:pPr>
              <w:pStyle w:val="ListBullet"/>
            </w:pPr>
            <w:r w:rsidRPr="009C6B5B">
              <w:t>providing non-routine or urgent services</w:t>
            </w:r>
          </w:p>
          <w:p w:rsidR="00000000" w:rsidRPr="009C6B5B" w:rsidP="009C6B5B">
            <w:pPr>
              <w:pStyle w:val="ListBullet"/>
            </w:pPr>
            <w:r w:rsidRPr="009C6B5B">
              <w:t>confirming or varying service instructions</w:t>
            </w:r>
          </w:p>
          <w:p w:rsidR="00000000" w:rsidRPr="009C6B5B" w:rsidP="009C6B5B">
            <w:pPr>
              <w:pStyle w:val="ListBullet"/>
            </w:pPr>
            <w:r w:rsidRPr="009C6B5B">
              <w:t>copy or details of occupancy permit</w:t>
            </w:r>
          </w:p>
          <w:p w:rsidR="00000000" w:rsidRPr="009C6B5B" w:rsidP="009C6B5B">
            <w:pPr>
              <w:pStyle w:val="ListBullet"/>
            </w:pPr>
            <w:r w:rsidRPr="009C6B5B">
              <w:t>sighting work permits</w:t>
            </w:r>
          </w:p>
          <w:p w:rsidR="00000000" w:rsidRPr="009C6B5B" w:rsidP="009C6B5B">
            <w:pPr>
              <w:pStyle w:val="ListBullet"/>
            </w:pPr>
            <w:r w:rsidRPr="009C6B5B">
              <w:t>sign-in and sign-out procedures for entry to or exit from premises</w:t>
            </w:r>
          </w:p>
          <w:p w:rsidR="00000000" w:rsidP="009C6B5B">
            <w:pPr>
              <w:pStyle w:val="ListBullet"/>
              <w:rPr>
                <w:lang w:val="en-NZ"/>
              </w:rPr>
            </w:pPr>
            <w:r w:rsidRPr="009C6B5B">
              <w:t>written or verbal confirmation of services pro</w:t>
            </w:r>
            <w:r w:rsidRPr="009C6B5B">
              <w:t>vided and future maintenance schedule.</w:t>
            </w:r>
          </w:p>
        </w:tc>
      </w:tr>
      <w:tr w:rsidTr="00D23247">
        <w:tblPrEx>
          <w:tblW w:w="0" w:type="auto"/>
          <w:tblLayout w:type="fixed"/>
          <w:tblCellMar>
            <w:left w:w="62" w:type="dxa"/>
            <w:right w:w="62" w:type="dxa"/>
          </w:tblCellMar>
          <w:tblLook w:val="0000"/>
        </w:tblPrEx>
        <w:tc>
          <w:tcPr>
            <w:tcW w:w="3080" w:type="dxa"/>
            <w:tcBorders>
              <w:top w:val="nil"/>
              <w:left w:val="nil"/>
              <w:bottom w:val="nil"/>
              <w:right w:val="nil"/>
            </w:tcBorders>
            <w:tcMar>
              <w:top w:w="0" w:type="dxa"/>
              <w:left w:w="62" w:type="dxa"/>
              <w:bottom w:w="0" w:type="dxa"/>
              <w:right w:w="62" w:type="dxa"/>
            </w:tcMar>
          </w:tcPr>
          <w:p w:rsidR="00000000" w:rsidP="009C6B5B">
            <w:pPr>
              <w:pStyle w:val="BodyText"/>
              <w:rPr>
                <w:lang w:val="en-NZ"/>
              </w:rPr>
            </w:pPr>
            <w:r w:rsidRPr="009C6B5B">
              <w:rPr>
                <w:rStyle w:val="BoldandItalics"/>
              </w:rPr>
              <w:t>Hazards</w:t>
            </w:r>
            <w:r w:rsidRPr="009C6B5B">
              <w:t xml:space="preserve"> may include:</w:t>
            </w:r>
          </w:p>
        </w:tc>
        <w:tc>
          <w:tcPr>
            <w:tcW w:w="5403" w:type="dxa"/>
            <w:tcBorders>
              <w:top w:val="nil"/>
              <w:left w:val="nil"/>
              <w:bottom w:val="nil"/>
              <w:right w:val="nil"/>
            </w:tcBorders>
            <w:tcMar>
              <w:top w:w="0" w:type="dxa"/>
              <w:left w:w="62" w:type="dxa"/>
              <w:bottom w:w="0" w:type="dxa"/>
              <w:right w:w="62" w:type="dxa"/>
            </w:tcMar>
          </w:tcPr>
          <w:p w:rsidR="00000000" w:rsidRPr="009C6B5B" w:rsidP="009C6B5B">
            <w:pPr>
              <w:pStyle w:val="ListBullet"/>
            </w:pPr>
            <w:r w:rsidRPr="009C6B5B">
              <w:t>ergonomic, such as incorrect manual handling methods</w:t>
            </w:r>
          </w:p>
          <w:p w:rsidR="00000000" w:rsidRPr="009C6B5B" w:rsidP="009C6B5B">
            <w:pPr>
              <w:pStyle w:val="ListBullet"/>
            </w:pPr>
            <w:r w:rsidRPr="009C6B5B">
              <w:t>environmental, such as improper use of hazardous materials and chemicals, including ODS and SGG</w:t>
            </w:r>
          </w:p>
          <w:p w:rsidR="00000000" w:rsidRPr="009C6B5B" w:rsidP="009C6B5B">
            <w:pPr>
              <w:pStyle w:val="ListBullet"/>
            </w:pPr>
            <w:r w:rsidRPr="009C6B5B">
              <w:t>obstructive, such as blocked access to emerge</w:t>
            </w:r>
            <w:r w:rsidRPr="009C6B5B">
              <w:t>ncy entry or exit points</w:t>
            </w:r>
          </w:p>
          <w:p w:rsidR="00000000" w:rsidRPr="009C6B5B" w:rsidP="009C6B5B">
            <w:pPr>
              <w:pStyle w:val="ListBullet"/>
            </w:pPr>
            <w:r w:rsidRPr="009C6B5B">
              <w:t>hazards associated with electrical or mechanical faults</w:t>
            </w:r>
          </w:p>
          <w:p w:rsidR="00000000" w:rsidRPr="009C6B5B" w:rsidP="009C6B5B">
            <w:pPr>
              <w:pStyle w:val="ListBullet"/>
            </w:pPr>
            <w:r w:rsidRPr="009C6B5B">
              <w:t>any source of potential harm</w:t>
            </w:r>
          </w:p>
          <w:p w:rsidR="00000000" w:rsidRPr="009C6B5B" w:rsidP="009C6B5B">
            <w:pPr>
              <w:pStyle w:val="ListBullet"/>
            </w:pPr>
            <w:r w:rsidRPr="009C6B5B">
              <w:t>any situation with a potential to cause loss</w:t>
            </w:r>
          </w:p>
          <w:p w:rsidR="00000000" w:rsidRPr="009C6B5B" w:rsidP="009C6B5B">
            <w:pPr>
              <w:pStyle w:val="ListBullet"/>
            </w:pPr>
            <w:r w:rsidRPr="009C6B5B">
              <w:t>equipment in a work site</w:t>
            </w:r>
          </w:p>
          <w:p w:rsidR="00000000" w:rsidRPr="009C6B5B" w:rsidP="009C6B5B">
            <w:pPr>
              <w:pStyle w:val="ListBullet"/>
            </w:pPr>
            <w:r w:rsidRPr="009C6B5B">
              <w:t>people in a work site</w:t>
            </w:r>
          </w:p>
          <w:p w:rsidR="00000000" w:rsidP="009C6B5B">
            <w:pPr>
              <w:pStyle w:val="ListBullet"/>
              <w:rPr>
                <w:lang w:val="en-NZ"/>
              </w:rPr>
            </w:pPr>
            <w:r w:rsidRPr="009C6B5B">
              <w:t>work methods, plans and procedures.</w:t>
            </w:r>
          </w:p>
        </w:tc>
      </w:tr>
      <w:tr w:rsidTr="00D23247">
        <w:tblPrEx>
          <w:tblW w:w="0" w:type="auto"/>
          <w:tblLayout w:type="fixed"/>
          <w:tblCellMar>
            <w:left w:w="62" w:type="dxa"/>
            <w:right w:w="62" w:type="dxa"/>
          </w:tblCellMar>
          <w:tblLook w:val="0000"/>
        </w:tblPrEx>
        <w:tc>
          <w:tcPr>
            <w:tcW w:w="3080" w:type="dxa"/>
            <w:tcBorders>
              <w:top w:val="nil"/>
              <w:left w:val="nil"/>
              <w:bottom w:val="nil"/>
              <w:right w:val="nil"/>
            </w:tcBorders>
            <w:tcMar>
              <w:top w:w="0" w:type="dxa"/>
              <w:left w:w="62" w:type="dxa"/>
              <w:bottom w:w="0" w:type="dxa"/>
              <w:right w:w="62" w:type="dxa"/>
            </w:tcMar>
          </w:tcPr>
          <w:p w:rsidR="00000000" w:rsidP="009C6B5B">
            <w:pPr>
              <w:pStyle w:val="BodyText"/>
              <w:rPr>
                <w:lang w:val="en-NZ"/>
              </w:rPr>
            </w:pPr>
            <w:r w:rsidRPr="009C6B5B">
              <w:rPr>
                <w:rStyle w:val="BoldandItalics"/>
              </w:rPr>
              <w:t>Tools and equipment</w:t>
            </w:r>
            <w:r w:rsidRPr="009C6B5B">
              <w:t xml:space="preserve"> relevant to cover range of installation and servicing procedures may include:</w:t>
            </w:r>
          </w:p>
        </w:tc>
        <w:tc>
          <w:tcPr>
            <w:tcW w:w="5403" w:type="dxa"/>
            <w:tcBorders>
              <w:top w:val="nil"/>
              <w:left w:val="nil"/>
              <w:bottom w:val="nil"/>
              <w:right w:val="nil"/>
            </w:tcBorders>
            <w:tcMar>
              <w:top w:w="0" w:type="dxa"/>
              <w:left w:w="62" w:type="dxa"/>
              <w:bottom w:w="0" w:type="dxa"/>
              <w:right w:w="62" w:type="dxa"/>
            </w:tcMar>
          </w:tcPr>
          <w:p w:rsidR="00000000" w:rsidRPr="009C6B5B" w:rsidP="009C6B5B">
            <w:pPr>
              <w:pStyle w:val="ListBullet"/>
            </w:pPr>
            <w:r w:rsidRPr="009C6B5B">
              <w:t>fire equipment spare parts, including:</w:t>
            </w:r>
          </w:p>
          <w:p w:rsidR="00000000" w:rsidRPr="009C6B5B" w:rsidP="009C6B5B">
            <w:pPr>
              <w:pStyle w:val="ListBullet2"/>
            </w:pPr>
            <w:r w:rsidRPr="009C6B5B">
              <w:t>anti-tamper seals</w:t>
            </w:r>
          </w:p>
          <w:p w:rsidR="00000000" w:rsidRPr="009C6B5B" w:rsidP="009C6B5B">
            <w:pPr>
              <w:pStyle w:val="ListBullet2"/>
            </w:pPr>
            <w:r w:rsidRPr="009C6B5B">
              <w:t>hoses</w:t>
            </w:r>
          </w:p>
          <w:p w:rsidR="00000000" w:rsidRPr="009C6B5B" w:rsidP="009C6B5B">
            <w:pPr>
              <w:pStyle w:val="ListBullet2"/>
            </w:pPr>
            <w:r w:rsidRPr="009C6B5B">
              <w:t>labels</w:t>
            </w:r>
          </w:p>
          <w:p w:rsidR="00000000" w:rsidRPr="009C6B5B" w:rsidP="009C6B5B">
            <w:pPr>
              <w:pStyle w:val="ListBullet2"/>
            </w:pPr>
            <w:r w:rsidRPr="009C6B5B">
              <w:t>nozzles</w:t>
            </w:r>
          </w:p>
          <w:p w:rsidR="00000000" w:rsidRPr="009C6B5B" w:rsidP="009C6B5B">
            <w:pPr>
              <w:pStyle w:val="ListBullet2"/>
            </w:pPr>
            <w:r w:rsidRPr="009C6B5B">
              <w:t>pressure indicators</w:t>
            </w:r>
          </w:p>
          <w:p w:rsidR="00000000" w:rsidRPr="009C6B5B" w:rsidP="009C6B5B">
            <w:pPr>
              <w:pStyle w:val="ListBullet2"/>
            </w:pPr>
            <w:r w:rsidRPr="009C6B5B">
              <w:t>seals and gaskets</w:t>
            </w:r>
          </w:p>
          <w:p w:rsidR="00000000" w:rsidRPr="009C6B5B" w:rsidP="009C6B5B">
            <w:pPr>
              <w:pStyle w:val="ListBullet2"/>
            </w:pPr>
            <w:r w:rsidRPr="009C6B5B">
              <w:t>service tags</w:t>
            </w:r>
          </w:p>
          <w:p w:rsidR="00000000" w:rsidRPr="009C6B5B" w:rsidP="009C6B5B">
            <w:pPr>
              <w:pStyle w:val="ListBullet2"/>
            </w:pPr>
            <w:r w:rsidRPr="009C6B5B">
              <w:t>trigger pins</w:t>
            </w:r>
          </w:p>
          <w:p w:rsidR="00000000" w:rsidRPr="009C6B5B" w:rsidP="009C6B5B">
            <w:pPr>
              <w:pStyle w:val="ListBullet2"/>
            </w:pPr>
            <w:r w:rsidRPr="009C6B5B">
              <w:t>valves.</w:t>
            </w:r>
          </w:p>
          <w:p w:rsidR="00000000" w:rsidRPr="009C6B5B" w:rsidP="009C6B5B">
            <w:pPr>
              <w:pStyle w:val="ListBullet"/>
            </w:pPr>
            <w:r w:rsidRPr="009C6B5B">
              <w:t>hand tools, including:</w:t>
            </w:r>
          </w:p>
          <w:p w:rsidR="00000000" w:rsidRPr="009C6B5B" w:rsidP="009C6B5B">
            <w:pPr>
              <w:pStyle w:val="ListBullet2"/>
            </w:pPr>
            <w:r w:rsidRPr="009C6B5B">
              <w:t>hammers</w:t>
            </w:r>
          </w:p>
          <w:p w:rsidR="00000000" w:rsidRPr="009C6B5B" w:rsidP="009C6B5B">
            <w:pPr>
              <w:pStyle w:val="ListBullet2"/>
            </w:pPr>
            <w:r w:rsidRPr="009C6B5B">
              <w:t>spirit levels</w:t>
            </w:r>
          </w:p>
          <w:p w:rsidR="00000000" w:rsidRPr="009C6B5B" w:rsidP="009C6B5B">
            <w:pPr>
              <w:pStyle w:val="ListBullet2"/>
            </w:pPr>
            <w:r w:rsidRPr="009C6B5B">
              <w:t>pliers</w:t>
            </w:r>
          </w:p>
          <w:p w:rsidR="00000000" w:rsidRPr="009C6B5B" w:rsidP="009C6B5B">
            <w:pPr>
              <w:pStyle w:val="ListBullet2"/>
            </w:pPr>
            <w:r w:rsidRPr="009C6B5B">
              <w:t>screwdrivers</w:t>
            </w:r>
          </w:p>
          <w:p w:rsidR="00000000" w:rsidRPr="009C6B5B" w:rsidP="009C6B5B">
            <w:pPr>
              <w:pStyle w:val="ListBullet2"/>
            </w:pPr>
            <w:r w:rsidRPr="009C6B5B">
              <w:t>spanners.</w:t>
            </w:r>
          </w:p>
          <w:p w:rsidR="00000000" w:rsidRPr="009C6B5B" w:rsidP="009C6B5B">
            <w:pPr>
              <w:pStyle w:val="ListBullet"/>
            </w:pPr>
            <w:r w:rsidRPr="009C6B5B">
              <w:t>manual handling aids, including:</w:t>
            </w:r>
          </w:p>
          <w:p w:rsidR="00000000" w:rsidRPr="009C6B5B" w:rsidP="009C6B5B">
            <w:pPr>
              <w:pStyle w:val="ListBullet2"/>
            </w:pPr>
            <w:r w:rsidRPr="009C6B5B">
              <w:t>hand trucks</w:t>
            </w:r>
          </w:p>
          <w:p w:rsidR="00000000" w:rsidRPr="009C6B5B" w:rsidP="009C6B5B">
            <w:pPr>
              <w:pStyle w:val="ListBullet2"/>
            </w:pPr>
            <w:r w:rsidRPr="009C6B5B">
              <w:t>hooks</w:t>
            </w:r>
          </w:p>
          <w:p w:rsidR="00000000" w:rsidRPr="009C6B5B" w:rsidP="009C6B5B">
            <w:pPr>
              <w:pStyle w:val="ListBullet2"/>
            </w:pPr>
            <w:r w:rsidRPr="009C6B5B">
              <w:t>lifting magnets and lifting straps</w:t>
            </w:r>
          </w:p>
          <w:p w:rsidR="00000000" w:rsidRPr="009C6B5B" w:rsidP="009C6B5B">
            <w:pPr>
              <w:pStyle w:val="ListBullet2"/>
            </w:pPr>
            <w:r w:rsidRPr="009C6B5B">
              <w:t>suction grips</w:t>
            </w:r>
          </w:p>
          <w:p w:rsidR="00000000" w:rsidRPr="009C6B5B" w:rsidP="009C6B5B">
            <w:pPr>
              <w:pStyle w:val="ListBullet2"/>
            </w:pPr>
            <w:r w:rsidRPr="009C6B5B">
              <w:t>trolleys</w:t>
            </w:r>
          </w:p>
          <w:p w:rsidR="00000000" w:rsidP="009C6B5B">
            <w:pPr>
              <w:pStyle w:val="ListBullet2"/>
              <w:rPr>
                <w:lang w:val="en-NZ"/>
              </w:rPr>
            </w:pPr>
            <w:r w:rsidRPr="009C6B5B">
              <w:t>wheelbarrows.</w:t>
            </w:r>
          </w:p>
        </w:tc>
      </w:tr>
      <w:tr w:rsidTr="00D23247">
        <w:tblPrEx>
          <w:tblW w:w="0" w:type="auto"/>
          <w:tblLayout w:type="fixed"/>
          <w:tblCellMar>
            <w:left w:w="62" w:type="dxa"/>
            <w:right w:w="62" w:type="dxa"/>
          </w:tblCellMar>
          <w:tblLook w:val="0000"/>
        </w:tblPrEx>
        <w:tc>
          <w:tcPr>
            <w:tcW w:w="3080" w:type="dxa"/>
            <w:tcBorders>
              <w:top w:val="nil"/>
              <w:left w:val="nil"/>
              <w:bottom w:val="nil"/>
              <w:right w:val="nil"/>
            </w:tcBorders>
            <w:tcMar>
              <w:top w:w="0" w:type="dxa"/>
              <w:left w:w="62" w:type="dxa"/>
              <w:bottom w:w="0" w:type="dxa"/>
              <w:right w:w="62" w:type="dxa"/>
            </w:tcMar>
          </w:tcPr>
          <w:p w:rsidR="00000000" w:rsidP="009C6B5B">
            <w:pPr>
              <w:pStyle w:val="BodyText"/>
              <w:rPr>
                <w:lang w:val="en-NZ"/>
              </w:rPr>
            </w:pPr>
          </w:p>
        </w:tc>
        <w:tc>
          <w:tcPr>
            <w:tcW w:w="5403" w:type="dxa"/>
            <w:tcBorders>
              <w:top w:val="nil"/>
              <w:left w:val="nil"/>
              <w:bottom w:val="nil"/>
              <w:right w:val="nil"/>
            </w:tcBorders>
            <w:tcMar>
              <w:top w:w="0" w:type="dxa"/>
              <w:left w:w="62" w:type="dxa"/>
              <w:bottom w:w="0" w:type="dxa"/>
              <w:right w:w="62" w:type="dxa"/>
            </w:tcMar>
          </w:tcPr>
          <w:p w:rsidR="00000000" w:rsidRPr="009C6B5B" w:rsidP="009C6B5B">
            <w:pPr>
              <w:pStyle w:val="ListBullet"/>
            </w:pPr>
            <w:r w:rsidRPr="009C6B5B">
              <w:t>non-licensed mechanical handling aids, including:</w:t>
            </w:r>
          </w:p>
          <w:p w:rsidR="00000000" w:rsidRPr="009C6B5B" w:rsidP="009C6B5B">
            <w:pPr>
              <w:pStyle w:val="ListBullet2"/>
            </w:pPr>
            <w:r w:rsidRPr="009C6B5B">
              <w:t>cranes</w:t>
            </w:r>
          </w:p>
          <w:p w:rsidR="00000000" w:rsidRPr="009C6B5B" w:rsidP="009C6B5B">
            <w:pPr>
              <w:pStyle w:val="ListBullet2"/>
            </w:pPr>
            <w:r w:rsidRPr="009C6B5B">
              <w:t>hoists</w:t>
            </w:r>
          </w:p>
          <w:p w:rsidR="00000000" w:rsidRPr="009C6B5B" w:rsidP="009C6B5B">
            <w:pPr>
              <w:pStyle w:val="ListBullet2"/>
            </w:pPr>
            <w:r w:rsidRPr="009C6B5B">
              <w:t>manually operated forklifts and pallet trucks.</w:t>
            </w:r>
          </w:p>
          <w:p w:rsidR="00000000" w:rsidRPr="009C6B5B" w:rsidP="009C6B5B">
            <w:pPr>
              <w:pStyle w:val="ListBullet"/>
            </w:pPr>
            <w:r w:rsidRPr="009C6B5B">
              <w:t>power tools, including:</w:t>
            </w:r>
          </w:p>
          <w:p w:rsidR="00000000" w:rsidRPr="009C6B5B" w:rsidP="009C6B5B">
            <w:pPr>
              <w:pStyle w:val="ListBullet2"/>
            </w:pPr>
            <w:r w:rsidRPr="009C6B5B">
              <w:t>battery-operated drills</w:t>
            </w:r>
          </w:p>
          <w:p w:rsidR="00000000" w:rsidRPr="009C6B5B" w:rsidP="009C6B5B">
            <w:pPr>
              <w:pStyle w:val="ListBullet2"/>
            </w:pPr>
            <w:r w:rsidRPr="009C6B5B">
              <w:t>hammer drills</w:t>
            </w:r>
          </w:p>
          <w:p w:rsidR="00000000" w:rsidRPr="009C6B5B" w:rsidP="009C6B5B">
            <w:pPr>
              <w:pStyle w:val="ListBullet2"/>
            </w:pPr>
            <w:r w:rsidRPr="009C6B5B">
              <w:t>nail guns.</w:t>
            </w:r>
          </w:p>
          <w:p w:rsidR="00000000" w:rsidRPr="009C6B5B" w:rsidP="009C6B5B">
            <w:pPr>
              <w:pStyle w:val="ListBullet"/>
            </w:pPr>
            <w:r w:rsidRPr="009C6B5B">
              <w:t>servicing tools and equipment, including:</w:t>
            </w:r>
          </w:p>
          <w:p w:rsidR="00000000" w:rsidRPr="009C6B5B" w:rsidP="009C6B5B">
            <w:pPr>
              <w:pStyle w:val="ListBullet2"/>
            </w:pPr>
            <w:r w:rsidRPr="009C6B5B">
              <w:t>hydrostatic test equipment</w:t>
            </w:r>
          </w:p>
          <w:p w:rsidR="00000000" w:rsidRPr="009C6B5B" w:rsidP="009C6B5B">
            <w:pPr>
              <w:pStyle w:val="ListBullet2"/>
            </w:pPr>
            <w:r w:rsidRPr="009C6B5B">
              <w:t>recharging and pressurising equipment</w:t>
            </w:r>
          </w:p>
          <w:p w:rsidR="00000000" w:rsidRPr="009C6B5B" w:rsidP="009C6B5B">
            <w:pPr>
              <w:pStyle w:val="ListBullet2"/>
            </w:pPr>
            <w:r w:rsidRPr="009C6B5B">
              <w:t>safety equipment</w:t>
            </w:r>
          </w:p>
          <w:p w:rsidR="00000000" w:rsidRPr="009C6B5B" w:rsidP="009C6B5B">
            <w:pPr>
              <w:pStyle w:val="ListBullet2"/>
            </w:pPr>
            <w:r w:rsidRPr="009C6B5B">
              <w:t>scales</w:t>
            </w:r>
          </w:p>
          <w:p w:rsidR="00000000" w:rsidP="009C6B5B">
            <w:pPr>
              <w:pStyle w:val="ListBullet2"/>
              <w:rPr>
                <w:lang w:val="en-NZ"/>
              </w:rPr>
            </w:pPr>
            <w:r w:rsidRPr="009C6B5B">
              <w:t>service tag punch.</w:t>
            </w:r>
          </w:p>
        </w:tc>
      </w:tr>
      <w:tr w:rsidTr="00D23247">
        <w:tblPrEx>
          <w:tblW w:w="0" w:type="auto"/>
          <w:tblLayout w:type="fixed"/>
          <w:tblCellMar>
            <w:left w:w="62" w:type="dxa"/>
            <w:right w:w="62" w:type="dxa"/>
          </w:tblCellMar>
          <w:tblLook w:val="0000"/>
        </w:tblPrEx>
        <w:tc>
          <w:tcPr>
            <w:tcW w:w="3080" w:type="dxa"/>
            <w:tcBorders>
              <w:top w:val="nil"/>
              <w:left w:val="nil"/>
              <w:bottom w:val="nil"/>
              <w:right w:val="nil"/>
            </w:tcBorders>
            <w:tcMar>
              <w:top w:w="0" w:type="dxa"/>
              <w:left w:w="62" w:type="dxa"/>
              <w:bottom w:w="0" w:type="dxa"/>
              <w:right w:w="62" w:type="dxa"/>
            </w:tcMar>
          </w:tcPr>
          <w:p w:rsidR="00000000" w:rsidP="009C6B5B">
            <w:pPr>
              <w:pStyle w:val="BodyText"/>
              <w:rPr>
                <w:lang w:val="en-NZ"/>
              </w:rPr>
            </w:pPr>
            <w:r w:rsidRPr="009C6B5B">
              <w:rPr>
                <w:rStyle w:val="BoldandItalics"/>
              </w:rPr>
              <w:t>Hardware</w:t>
            </w:r>
            <w:r w:rsidRPr="009C6B5B">
              <w:t xml:space="preserve"> relevant to the wall surface and type of product to be installed or serviced may include:</w:t>
            </w:r>
          </w:p>
        </w:tc>
        <w:tc>
          <w:tcPr>
            <w:tcW w:w="5403" w:type="dxa"/>
            <w:tcBorders>
              <w:top w:val="nil"/>
              <w:left w:val="nil"/>
              <w:bottom w:val="nil"/>
              <w:right w:val="nil"/>
            </w:tcBorders>
            <w:tcMar>
              <w:top w:w="0" w:type="dxa"/>
              <w:left w:w="62" w:type="dxa"/>
              <w:bottom w:w="0" w:type="dxa"/>
              <w:right w:w="62" w:type="dxa"/>
            </w:tcMar>
          </w:tcPr>
          <w:p w:rsidR="00000000" w:rsidRPr="009C6B5B" w:rsidP="009C6B5B">
            <w:pPr>
              <w:pStyle w:val="ListBullet"/>
            </w:pPr>
            <w:r w:rsidRPr="009C6B5B">
              <w:t>bolts</w:t>
            </w:r>
          </w:p>
          <w:p w:rsidR="00000000" w:rsidRPr="009C6B5B" w:rsidP="009C6B5B">
            <w:pPr>
              <w:pStyle w:val="ListBullet"/>
            </w:pPr>
            <w:r w:rsidRPr="009C6B5B">
              <w:t>double-sided tape</w:t>
            </w:r>
          </w:p>
          <w:p w:rsidR="00000000" w:rsidRPr="009C6B5B" w:rsidP="009C6B5B">
            <w:pPr>
              <w:pStyle w:val="ListBullet"/>
            </w:pPr>
            <w:r w:rsidRPr="009C6B5B">
              <w:t>explosive powered fasteners</w:t>
            </w:r>
          </w:p>
          <w:p w:rsidR="00000000" w:rsidRPr="009C6B5B" w:rsidP="009C6B5B">
            <w:pPr>
              <w:pStyle w:val="ListBullet"/>
            </w:pPr>
            <w:r w:rsidRPr="009C6B5B">
              <w:t>hanging brackets</w:t>
            </w:r>
          </w:p>
          <w:p w:rsidR="00000000" w:rsidRPr="009C6B5B" w:rsidP="009C6B5B">
            <w:pPr>
              <w:pStyle w:val="ListBullet"/>
            </w:pPr>
            <w:r w:rsidRPr="009C6B5B">
              <w:t>identifying signs</w:t>
            </w:r>
          </w:p>
          <w:p w:rsidR="00000000" w:rsidRPr="009C6B5B" w:rsidP="009C6B5B">
            <w:pPr>
              <w:pStyle w:val="ListBullet"/>
            </w:pPr>
            <w:r w:rsidRPr="009C6B5B">
              <w:t>liquid adhesives</w:t>
            </w:r>
          </w:p>
          <w:p w:rsidR="00000000" w:rsidRPr="009C6B5B" w:rsidP="009C6B5B">
            <w:pPr>
              <w:pStyle w:val="ListBullet"/>
            </w:pPr>
            <w:r w:rsidRPr="009C6B5B">
              <w:t>locks</w:t>
            </w:r>
          </w:p>
          <w:p w:rsidR="00000000" w:rsidRPr="009C6B5B" w:rsidP="009C6B5B">
            <w:pPr>
              <w:pStyle w:val="ListBullet"/>
            </w:pPr>
            <w:r w:rsidRPr="009C6B5B">
              <w:t>locksets</w:t>
            </w:r>
          </w:p>
          <w:p w:rsidR="00000000" w:rsidRPr="009C6B5B" w:rsidP="009C6B5B">
            <w:pPr>
              <w:pStyle w:val="ListBullet"/>
            </w:pPr>
            <w:r w:rsidRPr="009C6B5B">
              <w:t>nails</w:t>
            </w:r>
          </w:p>
          <w:p w:rsidR="00000000" w:rsidRPr="009C6B5B" w:rsidP="009C6B5B">
            <w:pPr>
              <w:pStyle w:val="ListBullet"/>
            </w:pPr>
            <w:r w:rsidRPr="009C6B5B">
              <w:t>plugs</w:t>
            </w:r>
          </w:p>
          <w:p w:rsidR="00000000" w:rsidRPr="009C6B5B" w:rsidP="009C6B5B">
            <w:pPr>
              <w:pStyle w:val="ListBullet"/>
            </w:pPr>
            <w:r w:rsidRPr="009C6B5B">
              <w:t>screws.</w:t>
            </w:r>
          </w:p>
        </w:tc>
      </w:tr>
    </w:tbl>
    <w:p w:rsidR="00D23247" w:rsidP="009C6B5B">
      <w:pPr>
        <w:pStyle w:val="BodyText"/>
      </w:pPr>
    </w:p>
    <w:p w:rsidR="00D23247" w:rsidP="009C6B5B">
      <w:pPr>
        <w:pStyle w:val="BodyText"/>
      </w:pPr>
    </w:p>
    <w:p w:rsidR="00000000" w:rsidRPr="009C6B5B" w:rsidP="009C6B5B">
      <w:pPr>
        <w:pStyle w:val="Heading1"/>
      </w:pPr>
      <w:bookmarkStart w:id="12" w:name="O_216410"/>
      <w:bookmarkEnd w:id="12"/>
      <w:r w:rsidRPr="009C6B5B">
        <w:t>Unit Sector(s)</w:t>
      </w:r>
    </w:p>
    <w:p w:rsidR="00000000" w:rsidRPr="009C6B5B" w:rsidP="009C6B5B">
      <w:pPr>
        <w:pStyle w:val="BodyText"/>
      </w:pPr>
      <w:r w:rsidRPr="009C6B5B">
        <w:rPr>
          <w:rStyle w:val="SpecialBold"/>
        </w:rPr>
        <w:t>Sector</w:t>
      </w:r>
    </w:p>
    <w:p w:rsidR="00D23247" w:rsidP="009C6B5B">
      <w:pPr>
        <w:pStyle w:val="BodyText"/>
      </w:pPr>
      <w:r w:rsidRPr="009C6B5B">
        <w:t>Fire Protection Equipment</w:t>
      </w:r>
    </w:p>
    <w:p w:rsidR="00D23247" w:rsidP="009C6B5B">
      <w:pPr>
        <w:pStyle w:val="BodyText"/>
      </w:pPr>
    </w:p>
    <w:p w:rsidR="00000000" w:rsidRPr="009C6B5B" w:rsidP="009C6B5B">
      <w:pPr>
        <w:pStyle w:val="Heading1"/>
      </w:pPr>
      <w:bookmarkStart w:id="13" w:name="O_216409"/>
      <w:bookmarkEnd w:id="13"/>
      <w:r w:rsidRPr="009C6B5B">
        <w:t>Competency field</w:t>
      </w:r>
    </w:p>
    <w:p w:rsidR="00000000" w:rsidRPr="009C6B5B" w:rsidP="009C6B5B">
      <w:pPr>
        <w:pStyle w:val="BodyText"/>
      </w:pPr>
      <w:r w:rsidRPr="009C6B5B">
        <w:rPr>
          <w:rStyle w:val="SpecialBold"/>
        </w:rPr>
        <w:t>Competency field</w:t>
      </w:r>
    </w:p>
    <w:p w:rsidR="00D23247" w:rsidP="009C6B5B">
      <w:pPr>
        <w:pStyle w:val="BodyText"/>
      </w:pPr>
      <w:r w:rsidRPr="009C6B5B">
        <w:t>Asset Maintenance</w:t>
      </w:r>
    </w:p>
    <w:p w:rsidR="00D23247" w:rsidP="009C6B5B">
      <w:pPr>
        <w:pStyle w:val="BodyText"/>
      </w:pPr>
    </w:p>
    <w:p w:rsidR="00000000" w:rsidRPr="009C6B5B" w:rsidP="009C6B5B"/>
    <w:sectPr w:rsidSect="009C6B5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B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23247" w:rsidP="00D232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B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247" w:rsidP="009C6B5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D23247" w:rsidP="009C6B5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D23247" w:rsidP="009C6B5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B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23247" w:rsidP="00D23247">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B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247" w:rsidP="009C6B5B">
    <w:pPr>
      <w:pStyle w:val="Header"/>
      <w:framePr w:wrap="around"/>
    </w:pPr>
    <w:r>
      <w:fldChar w:fldCharType="begin"/>
    </w:r>
    <w:r>
      <w:instrText xml:space="preserve"> TITLE   \* MERGEFORMAT </w:instrText>
    </w:r>
    <w:r>
      <w:fldChar w:fldCharType="separate"/>
    </w:r>
    <w:r>
      <w:t>PRMPFES06C Prepare for installation and servicing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23247" w:rsidP="009C6B5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D8460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11ED7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F7A41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6B5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C6B5B"/>
    <w:pPr>
      <w:spacing w:before="360" w:after="60"/>
      <w:outlineLvl w:val="0"/>
    </w:pPr>
    <w:rPr>
      <w:sz w:val="32"/>
    </w:rPr>
  </w:style>
  <w:style w:type="paragraph" w:styleId="Heading2">
    <w:name w:val="heading 2"/>
    <w:basedOn w:val="HeadingBase"/>
    <w:next w:val="BodyText"/>
    <w:link w:val="Heading2Char"/>
    <w:qFormat/>
    <w:rsid w:val="009C6B5B"/>
    <w:pPr>
      <w:keepLines/>
      <w:spacing w:before="240" w:after="120"/>
      <w:outlineLvl w:val="1"/>
    </w:pPr>
    <w:rPr>
      <w:sz w:val="28"/>
      <w:szCs w:val="40"/>
    </w:rPr>
  </w:style>
  <w:style w:type="paragraph" w:styleId="Heading3">
    <w:name w:val="heading 3"/>
    <w:basedOn w:val="HeadingBase"/>
    <w:next w:val="BodyText"/>
    <w:link w:val="Heading3Char"/>
    <w:qFormat/>
    <w:rsid w:val="009C6B5B"/>
    <w:pPr>
      <w:spacing w:before="180" w:after="120"/>
      <w:outlineLvl w:val="2"/>
    </w:pPr>
    <w:rPr>
      <w:spacing w:val="-10"/>
      <w:kern w:val="32"/>
    </w:rPr>
  </w:style>
  <w:style w:type="paragraph" w:styleId="Heading4">
    <w:name w:val="heading 4"/>
    <w:basedOn w:val="HeadingBase"/>
    <w:next w:val="BodyText"/>
    <w:link w:val="Heading4Char"/>
    <w:qFormat/>
    <w:rsid w:val="009C6B5B"/>
    <w:pPr>
      <w:spacing w:before="160" w:after="120"/>
      <w:outlineLvl w:val="3"/>
    </w:pPr>
    <w:rPr>
      <w:sz w:val="22"/>
    </w:rPr>
  </w:style>
  <w:style w:type="paragraph" w:styleId="Heading5">
    <w:name w:val="heading 5"/>
    <w:basedOn w:val="HeadingBase"/>
    <w:next w:val="Normal"/>
    <w:link w:val="Heading5Char"/>
    <w:qFormat/>
    <w:rsid w:val="009C6B5B"/>
    <w:pPr>
      <w:spacing w:before="80"/>
      <w:outlineLvl w:val="4"/>
    </w:pPr>
    <w:rPr>
      <w:color w:val="918585"/>
      <w:sz w:val="20"/>
    </w:rPr>
  </w:style>
  <w:style w:type="paragraph" w:styleId="Heading6">
    <w:name w:val="heading 6"/>
    <w:basedOn w:val="HeadingBase"/>
    <w:next w:val="Normal"/>
    <w:link w:val="Heading6Char"/>
    <w:qFormat/>
    <w:rsid w:val="009C6B5B"/>
    <w:pPr>
      <w:spacing w:before="60"/>
      <w:outlineLvl w:val="5"/>
    </w:pPr>
    <w:rPr>
      <w:color w:val="918585"/>
      <w:sz w:val="20"/>
    </w:rPr>
  </w:style>
  <w:style w:type="paragraph" w:styleId="Heading7">
    <w:name w:val="heading 7"/>
    <w:basedOn w:val="Normal"/>
    <w:next w:val="Normal"/>
    <w:link w:val="Heading7Char"/>
    <w:qFormat/>
    <w:rsid w:val="009C6B5B"/>
    <w:pPr>
      <w:ind w:left="720"/>
      <w:outlineLvl w:val="6"/>
    </w:pPr>
    <w:rPr>
      <w:i/>
    </w:rPr>
  </w:style>
  <w:style w:type="paragraph" w:styleId="Heading8">
    <w:name w:val="heading 8"/>
    <w:basedOn w:val="Normal"/>
    <w:next w:val="Normal"/>
    <w:link w:val="Heading8Char"/>
    <w:qFormat/>
    <w:rsid w:val="009C6B5B"/>
    <w:pPr>
      <w:ind w:left="720"/>
      <w:outlineLvl w:val="7"/>
    </w:pPr>
    <w:rPr>
      <w:i/>
    </w:rPr>
  </w:style>
  <w:style w:type="paragraph" w:styleId="Heading9">
    <w:name w:val="heading 9"/>
    <w:basedOn w:val="Normal"/>
    <w:next w:val="Normal"/>
    <w:link w:val="Heading9Char"/>
    <w:qFormat/>
    <w:rsid w:val="009C6B5B"/>
    <w:pPr>
      <w:ind w:left="720"/>
      <w:outlineLvl w:val="8"/>
    </w:pPr>
    <w:rPr>
      <w:i/>
    </w:rPr>
  </w:style>
  <w:style w:type="character" w:default="1" w:styleId="DefaultParagraphFont">
    <w:name w:val="Default Paragraph Font"/>
    <w:uiPriority w:val="1"/>
    <w:unhideWhenUsed/>
    <w:rsid w:val="009C6B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6B5B"/>
  </w:style>
  <w:style w:type="character" w:customStyle="1" w:styleId="Heading1Char">
    <w:name w:val="Heading 1 Char"/>
    <w:link w:val="Heading1"/>
    <w:rsid w:val="009C6B5B"/>
    <w:rPr>
      <w:rFonts w:ascii="Times New Roman" w:eastAsia="Times New Roman" w:hAnsi="Times New Roman" w:cs="Times New Roman"/>
      <w:b/>
      <w:sz w:val="32"/>
      <w:szCs w:val="20"/>
      <w:lang w:eastAsia="en-US"/>
    </w:rPr>
  </w:style>
  <w:style w:type="paragraph" w:styleId="BodyText">
    <w:name w:val="Body Text"/>
    <w:basedOn w:val="Normal"/>
    <w:link w:val="BodyTextChar"/>
    <w:rsid w:val="009C6B5B"/>
    <w:pPr>
      <w:spacing w:before="120" w:after="120"/>
      <w:contextualSpacing/>
    </w:pPr>
    <w:rPr>
      <w:rFonts w:ascii="Times New Roman" w:hAnsi="Times New Roman"/>
      <w:sz w:val="24"/>
      <w:szCs w:val="22"/>
    </w:rPr>
  </w:style>
  <w:style w:type="character" w:customStyle="1" w:styleId="BodyTextChar">
    <w:name w:val="Body Text Char"/>
    <w:link w:val="BodyText"/>
    <w:rsid w:val="009C6B5B"/>
    <w:rPr>
      <w:rFonts w:ascii="Times New Roman" w:eastAsia="Times New Roman" w:hAnsi="Times New Roman" w:cs="Times New Roman"/>
      <w:sz w:val="24"/>
      <w:lang w:val="en-US" w:eastAsia="en-US"/>
    </w:rPr>
  </w:style>
  <w:style w:type="paragraph" w:styleId="Footer">
    <w:name w:val="footer"/>
    <w:basedOn w:val="Normal"/>
    <w:link w:val="FooterChar"/>
    <w:rsid w:val="009C6B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9C6B5B"/>
    <w:rPr>
      <w:rFonts w:ascii="Times New Roman" w:eastAsia="Times New Roman" w:hAnsi="Times New Roman" w:cs="Times New Roman"/>
      <w:sz w:val="16"/>
      <w:lang w:val="en-US" w:eastAsia="en-US"/>
    </w:rPr>
  </w:style>
  <w:style w:type="paragraph" w:styleId="List">
    <w:name w:val="List"/>
    <w:basedOn w:val="BodyText"/>
    <w:next w:val="BodyText"/>
    <w:rsid w:val="009C6B5B"/>
    <w:pPr>
      <w:tabs>
        <w:tab w:val="left" w:pos="340"/>
      </w:tabs>
      <w:spacing w:before="60" w:after="60"/>
      <w:ind w:left="340" w:hanging="340"/>
    </w:pPr>
  </w:style>
  <w:style w:type="paragraph" w:styleId="ListBullet">
    <w:name w:val="List Bullet"/>
    <w:basedOn w:val="List"/>
    <w:rsid w:val="009C6B5B"/>
    <w:pPr>
      <w:numPr>
        <w:numId w:val="13"/>
      </w:numPr>
      <w:tabs>
        <w:tab w:val="clear" w:pos="340"/>
      </w:tabs>
      <w:spacing w:before="40" w:after="40"/>
    </w:pPr>
  </w:style>
  <w:style w:type="character" w:customStyle="1" w:styleId="SpecialBold">
    <w:name w:val="Special Bold"/>
    <w:rsid w:val="009C6B5B"/>
    <w:rPr>
      <w:b/>
      <w:spacing w:val="0"/>
    </w:rPr>
  </w:style>
  <w:style w:type="paragraph" w:styleId="ListBullet2">
    <w:name w:val="List Bullet 2"/>
    <w:basedOn w:val="List2"/>
    <w:rsid w:val="009C6B5B"/>
    <w:pPr>
      <w:numPr>
        <w:numId w:val="14"/>
      </w:numPr>
      <w:tabs>
        <w:tab w:val="clear" w:pos="680"/>
      </w:tabs>
    </w:pPr>
  </w:style>
  <w:style w:type="paragraph" w:styleId="Header">
    <w:name w:val="header"/>
    <w:basedOn w:val="Normal"/>
    <w:link w:val="HeaderChar"/>
    <w:rsid w:val="009C6B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9C6B5B"/>
    <w:rPr>
      <w:rFonts w:ascii="Times New Roman" w:eastAsia="Times New Roman" w:hAnsi="Times New Roman" w:cs="Times New Roman"/>
      <w:sz w:val="16"/>
      <w:szCs w:val="20"/>
      <w:lang w:val="en-GB" w:eastAsia="en-US"/>
    </w:rPr>
  </w:style>
  <w:style w:type="character" w:styleId="Emphasis">
    <w:name w:val="Emphasis"/>
    <w:qFormat/>
    <w:rsid w:val="009C6B5B"/>
    <w:rPr>
      <w:i/>
    </w:rPr>
  </w:style>
  <w:style w:type="paragraph" w:customStyle="1" w:styleId="SuperHeading">
    <w:name w:val="SuperHeading"/>
    <w:basedOn w:val="Normal"/>
    <w:rsid w:val="009C6B5B"/>
    <w:pPr>
      <w:spacing w:before="240" w:after="120"/>
      <w:outlineLvl w:val="0"/>
    </w:pPr>
    <w:rPr>
      <w:rFonts w:ascii="Times New Roman" w:hAnsi="Times New Roman"/>
      <w:b/>
      <w:sz w:val="28"/>
    </w:rPr>
  </w:style>
  <w:style w:type="paragraph" w:customStyle="1" w:styleId="AllowPageBreak">
    <w:name w:val="AllowPageBreak"/>
    <w:rsid w:val="009C6B5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ubscript">
    <w:name w:val="Subscript"/>
    <w:rsid w:val="009C6B5B"/>
    <w:rPr>
      <w:sz w:val="16"/>
      <w:vertAlign w:val="subscript"/>
    </w:rPr>
  </w:style>
  <w:style w:type="character" w:customStyle="1" w:styleId="Superscript">
    <w:name w:val="Superscript"/>
    <w:rsid w:val="009C6B5B"/>
    <w:rPr>
      <w:sz w:val="16"/>
      <w:vertAlign w:val="superscript"/>
    </w:rPr>
  </w:style>
  <w:style w:type="character" w:customStyle="1" w:styleId="BoldandItalics">
    <w:name w:val="Bold and Italics"/>
    <w:qFormat/>
    <w:rsid w:val="009C6B5B"/>
    <w:rPr>
      <w:b/>
      <w:i/>
      <w:u w:val="none"/>
    </w:rPr>
  </w:style>
  <w:style w:type="character" w:customStyle="1" w:styleId="Heading2Char">
    <w:name w:val="Heading 2 Char"/>
    <w:link w:val="Heading2"/>
    <w:rsid w:val="009C6B5B"/>
    <w:rPr>
      <w:rFonts w:ascii="Times New Roman" w:eastAsia="Times New Roman" w:hAnsi="Times New Roman" w:cs="Times New Roman"/>
      <w:b/>
      <w:sz w:val="28"/>
      <w:szCs w:val="40"/>
      <w:lang w:eastAsia="en-US"/>
    </w:rPr>
  </w:style>
  <w:style w:type="character" w:customStyle="1" w:styleId="Heading3Char">
    <w:name w:val="Heading 3 Char"/>
    <w:link w:val="Heading3"/>
    <w:rsid w:val="009C6B5B"/>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9C6B5B"/>
    <w:rPr>
      <w:rFonts w:ascii="Times New Roman" w:eastAsia="Times New Roman" w:hAnsi="Times New Roman" w:cs="Times New Roman"/>
      <w:b/>
      <w:szCs w:val="20"/>
      <w:lang w:eastAsia="en-US"/>
    </w:rPr>
  </w:style>
  <w:style w:type="character" w:customStyle="1" w:styleId="Heading5Char">
    <w:name w:val="Heading 5 Char"/>
    <w:link w:val="Heading5"/>
    <w:rsid w:val="009C6B5B"/>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9C6B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6B5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C6B5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C6B5B"/>
    <w:rPr>
      <w:rFonts w:ascii="Courier New" w:eastAsia="Times New Roman" w:hAnsi="Courier New" w:cs="Times New Roman"/>
      <w:i/>
      <w:szCs w:val="20"/>
      <w:lang w:val="en-US" w:eastAsia="en-US"/>
    </w:rPr>
  </w:style>
  <w:style w:type="paragraph" w:customStyle="1" w:styleId="HeadingBase">
    <w:name w:val="Heading Base"/>
    <w:rsid w:val="009C6B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6B5B"/>
    <w:pPr>
      <w:tabs>
        <w:tab w:val="right" w:leader="dot" w:pos="9072"/>
      </w:tabs>
      <w:ind w:left="567"/>
    </w:pPr>
    <w:rPr>
      <w:szCs w:val="22"/>
    </w:rPr>
  </w:style>
  <w:style w:type="paragraph" w:customStyle="1" w:styleId="TOCBase">
    <w:name w:val="TOC Base"/>
    <w:rsid w:val="009C6B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6B5B"/>
    <w:pPr>
      <w:tabs>
        <w:tab w:val="right" w:leader="dot" w:pos="9072"/>
      </w:tabs>
      <w:spacing w:before="40" w:after="40"/>
      <w:ind w:left="284"/>
    </w:pPr>
    <w:rPr>
      <w:rFonts w:ascii="Times New Roman" w:hAnsi="Times New Roman"/>
    </w:rPr>
  </w:style>
  <w:style w:type="paragraph" w:styleId="TOC1">
    <w:name w:val="toc 1"/>
    <w:basedOn w:val="TOCBase"/>
    <w:next w:val="Normal"/>
    <w:rsid w:val="009C6B5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C6B5B"/>
    <w:pPr>
      <w:spacing w:before="5040"/>
      <w:jc w:val="center"/>
    </w:pPr>
    <w:rPr>
      <w:sz w:val="48"/>
      <w:szCs w:val="72"/>
      <w:lang w:val="en-US"/>
    </w:rPr>
  </w:style>
  <w:style w:type="character" w:customStyle="1" w:styleId="TitleChar">
    <w:name w:val="Title Char"/>
    <w:link w:val="Title"/>
    <w:rsid w:val="009C6B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6B5B"/>
    <w:pPr>
      <w:tabs>
        <w:tab w:val="left" w:pos="3600"/>
        <w:tab w:val="left" w:pos="3958"/>
      </w:tabs>
    </w:pPr>
  </w:style>
  <w:style w:type="paragraph" w:customStyle="1" w:styleId="Note">
    <w:name w:val="Note"/>
    <w:basedOn w:val="BodyText"/>
    <w:rsid w:val="009C6B5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C6B5B"/>
    <w:pPr>
      <w:framePr w:wrap="auto" w:hAnchor="text" w:y="6049"/>
    </w:pPr>
    <w:rPr>
      <w:color w:val="000000"/>
      <w:sz w:val="40"/>
    </w:rPr>
  </w:style>
  <w:style w:type="paragraph" w:customStyle="1" w:styleId="TOCTitle">
    <w:name w:val="TOCTitle"/>
    <w:basedOn w:val="Heading1"/>
    <w:rsid w:val="009C6B5B"/>
    <w:pPr>
      <w:spacing w:after="240"/>
      <w:jc w:val="center"/>
      <w:outlineLvl w:val="9"/>
    </w:pPr>
    <w:rPr>
      <w:caps/>
    </w:rPr>
  </w:style>
  <w:style w:type="paragraph" w:customStyle="1" w:styleId="Version">
    <w:name w:val="Version"/>
    <w:rsid w:val="009C6B5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C6B5B"/>
    <w:pPr>
      <w:keepNext w:val="0"/>
      <w:tabs>
        <w:tab w:val="right" w:pos="4176"/>
      </w:tabs>
      <w:ind w:left="198" w:hanging="198"/>
    </w:pPr>
    <w:rPr>
      <w:rFonts w:ascii="Garamond" w:hAnsi="Garamond"/>
    </w:rPr>
  </w:style>
  <w:style w:type="paragraph" w:styleId="IndexHeading">
    <w:name w:val="index heading"/>
    <w:basedOn w:val="Normal"/>
    <w:next w:val="Index1"/>
    <w:semiHidden/>
    <w:rsid w:val="009C6B5B"/>
    <w:pPr>
      <w:spacing w:before="120" w:after="120"/>
    </w:pPr>
    <w:rPr>
      <w:rFonts w:ascii="Arial" w:hAnsi="Arial"/>
      <w:b/>
      <w:color w:val="918585"/>
      <w:sz w:val="24"/>
    </w:rPr>
  </w:style>
  <w:style w:type="paragraph" w:customStyle="1" w:styleId="Chapter">
    <w:name w:val="Chapter"/>
    <w:basedOn w:val="Normal"/>
    <w:rsid w:val="009C6B5B"/>
    <w:pPr>
      <w:spacing w:before="240"/>
    </w:pPr>
    <w:rPr>
      <w:rFonts w:ascii="Times New Roman" w:hAnsi="Times New Roman"/>
      <w:smallCaps/>
      <w:spacing w:val="80"/>
      <w:sz w:val="28"/>
    </w:rPr>
  </w:style>
  <w:style w:type="paragraph" w:customStyle="1" w:styleId="InChapter">
    <w:name w:val="InChapter"/>
    <w:basedOn w:val="Heading3"/>
    <w:rsid w:val="009C6B5B"/>
    <w:pPr>
      <w:spacing w:after="240"/>
      <w:outlineLvl w:val="9"/>
    </w:pPr>
    <w:rPr>
      <w:noProof/>
    </w:rPr>
  </w:style>
  <w:style w:type="paragraph" w:styleId="Index2">
    <w:name w:val="index 2"/>
    <w:basedOn w:val="Normal"/>
    <w:next w:val="Normal"/>
    <w:semiHidden/>
    <w:rsid w:val="009C6B5B"/>
    <w:pPr>
      <w:tabs>
        <w:tab w:val="right" w:pos="4176"/>
      </w:tabs>
      <w:ind w:left="568" w:hanging="284"/>
    </w:pPr>
    <w:rPr>
      <w:rFonts w:ascii="Garamond" w:hAnsi="Garamond"/>
    </w:rPr>
  </w:style>
  <w:style w:type="paragraph" w:customStyle="1" w:styleId="Byline">
    <w:name w:val="Byline"/>
    <w:rsid w:val="009C6B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6B5B"/>
    <w:pPr>
      <w:tabs>
        <w:tab w:val="clear" w:pos="3600"/>
        <w:tab w:val="clear" w:pos="3958"/>
      </w:tabs>
      <w:jc w:val="right"/>
    </w:pPr>
  </w:style>
  <w:style w:type="paragraph" w:styleId="Caption">
    <w:name w:val="caption"/>
    <w:basedOn w:val="BodyText"/>
    <w:next w:val="Normal"/>
    <w:qFormat/>
    <w:rsid w:val="009C6B5B"/>
    <w:pPr>
      <w:framePr w:w="2268" w:hSpace="181" w:vSpace="181" w:wrap="around" w:vAnchor="text" w:hAnchor="page" w:x="1135" w:y="285" w:anchorLock="1"/>
    </w:pPr>
    <w:rPr>
      <w:i/>
    </w:rPr>
  </w:style>
  <w:style w:type="paragraph" w:customStyle="1" w:styleId="MiniTOCTitle">
    <w:name w:val="MiniTOCTitle"/>
    <w:basedOn w:val="Heading4"/>
    <w:rsid w:val="009C6B5B"/>
    <w:pPr>
      <w:spacing w:before="240"/>
      <w:outlineLvl w:val="9"/>
    </w:pPr>
    <w:rPr>
      <w:noProof/>
      <w:sz w:val="24"/>
    </w:rPr>
  </w:style>
  <w:style w:type="paragraph" w:customStyle="1" w:styleId="MiniTOCItem">
    <w:name w:val="MiniTOCItem"/>
    <w:basedOn w:val="ListBullet"/>
    <w:rsid w:val="009C6B5B"/>
    <w:pPr>
      <w:numPr>
        <w:numId w:val="0"/>
      </w:numPr>
      <w:tabs>
        <w:tab w:val="right" w:leader="dot" w:pos="6521"/>
      </w:tabs>
      <w:spacing w:before="0" w:after="0"/>
    </w:pPr>
  </w:style>
  <w:style w:type="paragraph" w:customStyle="1" w:styleId="TOFTitle">
    <w:name w:val="TOFTitle"/>
    <w:basedOn w:val="TOCTitle"/>
    <w:rsid w:val="009C6B5B"/>
  </w:style>
  <w:style w:type="paragraph" w:styleId="TableofFigures">
    <w:name w:val="table of figures"/>
    <w:basedOn w:val="Normal"/>
    <w:next w:val="Normal"/>
    <w:semiHidden/>
    <w:rsid w:val="009C6B5B"/>
    <w:pPr>
      <w:tabs>
        <w:tab w:val="right" w:leader="dot" w:pos="9072"/>
      </w:tabs>
      <w:ind w:left="970" w:hanging="403"/>
    </w:pPr>
    <w:rPr>
      <w:rFonts w:ascii="Times New Roman" w:hAnsi="Times New Roman"/>
      <w:b/>
    </w:rPr>
  </w:style>
  <w:style w:type="paragraph" w:styleId="ListNumber">
    <w:name w:val="List Number"/>
    <w:basedOn w:val="List"/>
    <w:rsid w:val="009C6B5B"/>
    <w:pPr>
      <w:numPr>
        <w:numId w:val="11"/>
      </w:numPr>
    </w:pPr>
  </w:style>
  <w:style w:type="character" w:customStyle="1" w:styleId="WingdingSymbols">
    <w:name w:val="Wingding Symbols"/>
    <w:rsid w:val="009C6B5B"/>
    <w:rPr>
      <w:rFonts w:ascii="Wingdings" w:hAnsi="Wingdings"/>
    </w:rPr>
  </w:style>
  <w:style w:type="paragraph" w:customStyle="1" w:styleId="TableHeading">
    <w:name w:val="Table Heading"/>
    <w:basedOn w:val="HeadingBase"/>
    <w:rsid w:val="009C6B5B"/>
    <w:pPr>
      <w:keepLines/>
      <w:pBdr>
        <w:bottom w:val="single" w:sz="6" w:space="1" w:color="918585"/>
      </w:pBdr>
      <w:spacing w:before="240"/>
    </w:pPr>
  </w:style>
  <w:style w:type="character" w:customStyle="1" w:styleId="HotSpot">
    <w:name w:val="HotSpot"/>
    <w:rsid w:val="009C6B5B"/>
    <w:rPr>
      <w:color w:val="0033CC"/>
      <w:u w:val="none"/>
    </w:rPr>
  </w:style>
  <w:style w:type="paragraph" w:customStyle="1" w:styleId="BodyTextRight">
    <w:name w:val="Body Text Right"/>
    <w:basedOn w:val="BodyText"/>
    <w:rsid w:val="009C6B5B"/>
    <w:pPr>
      <w:spacing w:before="0" w:after="0"/>
      <w:jc w:val="right"/>
    </w:pPr>
  </w:style>
  <w:style w:type="paragraph" w:styleId="Index3">
    <w:name w:val="index 3"/>
    <w:basedOn w:val="ListNumber2"/>
    <w:next w:val="Normal"/>
    <w:semiHidden/>
    <w:rsid w:val="009C6B5B"/>
    <w:pPr>
      <w:numPr>
        <w:numId w:val="0"/>
      </w:numPr>
      <w:tabs>
        <w:tab w:val="right" w:leader="dot" w:pos="4176"/>
      </w:tabs>
    </w:pPr>
  </w:style>
  <w:style w:type="paragraph" w:styleId="ListNumber2">
    <w:name w:val="List Number 2"/>
    <w:basedOn w:val="List2"/>
    <w:rsid w:val="009C6B5B"/>
    <w:pPr>
      <w:numPr>
        <w:numId w:val="10"/>
      </w:numPr>
      <w:tabs>
        <w:tab w:val="clear" w:pos="1060"/>
      </w:tabs>
    </w:pPr>
  </w:style>
  <w:style w:type="paragraph" w:customStyle="1" w:styleId="MarginNote">
    <w:name w:val="Margin Note"/>
    <w:basedOn w:val="BodyText"/>
    <w:rsid w:val="009C6B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6B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9C6B5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C6B5B"/>
    <w:rPr>
      <w:sz w:val="32"/>
    </w:rPr>
  </w:style>
  <w:style w:type="paragraph" w:customStyle="1" w:styleId="HeadingProcedure">
    <w:name w:val="Heading Procedure"/>
    <w:basedOn w:val="HeadingBase"/>
    <w:next w:val="Normal"/>
    <w:rsid w:val="009C6B5B"/>
    <w:pPr>
      <w:tabs>
        <w:tab w:val="left" w:pos="0"/>
      </w:tabs>
      <w:spacing w:before="120" w:after="60"/>
    </w:pPr>
    <w:rPr>
      <w:i/>
      <w:color w:val="918585"/>
      <w:sz w:val="22"/>
    </w:rPr>
  </w:style>
  <w:style w:type="paragraph" w:customStyle="1" w:styleId="TableBodyText">
    <w:name w:val="Table Body Text"/>
    <w:basedOn w:val="BodyText"/>
    <w:rsid w:val="009C6B5B"/>
    <w:pPr>
      <w:spacing w:before="60" w:after="60"/>
    </w:pPr>
  </w:style>
  <w:style w:type="paragraph" w:styleId="ListContinue">
    <w:name w:val="List Continue"/>
    <w:basedOn w:val="List"/>
    <w:rsid w:val="009C6B5B"/>
    <w:pPr>
      <w:ind w:firstLine="0"/>
    </w:pPr>
  </w:style>
  <w:style w:type="paragraph" w:customStyle="1" w:styleId="ListNote">
    <w:name w:val="List Note"/>
    <w:basedOn w:val="List"/>
    <w:rsid w:val="009C6B5B"/>
    <w:pPr>
      <w:pBdr>
        <w:top w:val="single" w:sz="6" w:space="2" w:color="918585"/>
        <w:bottom w:val="single" w:sz="6" w:space="2" w:color="918585"/>
      </w:pBdr>
      <w:tabs>
        <w:tab w:val="left" w:pos="1021"/>
      </w:tabs>
      <w:ind w:firstLine="0"/>
    </w:pPr>
  </w:style>
  <w:style w:type="paragraph" w:customStyle="1" w:styleId="Warning">
    <w:name w:val="Warning"/>
    <w:basedOn w:val="BodyText"/>
    <w:rsid w:val="009C6B5B"/>
    <w:pPr>
      <w:shd w:val="clear" w:color="auto" w:fill="D9D9D9"/>
      <w:tabs>
        <w:tab w:val="left" w:pos="992"/>
      </w:tabs>
      <w:ind w:left="119" w:right="119"/>
    </w:pPr>
    <w:rPr>
      <w:sz w:val="20"/>
    </w:rPr>
  </w:style>
  <w:style w:type="paragraph" w:customStyle="1" w:styleId="MarginIcons">
    <w:name w:val="Margin Icons"/>
    <w:basedOn w:val="BodyText"/>
    <w:rsid w:val="009C6B5B"/>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9C6B5B"/>
    <w:rPr>
      <w:rFonts w:ascii="Courier New" w:hAnsi="Courier New"/>
    </w:rPr>
  </w:style>
  <w:style w:type="paragraph" w:customStyle="1" w:styleId="NoteBullet">
    <w:name w:val="Note Bullet"/>
    <w:basedOn w:val="Note"/>
    <w:rsid w:val="009C6B5B"/>
    <w:pPr>
      <w:tabs>
        <w:tab w:val="clear" w:pos="680"/>
      </w:tabs>
      <w:spacing w:before="60" w:after="60"/>
    </w:pPr>
  </w:style>
  <w:style w:type="paragraph" w:customStyle="1" w:styleId="SubHeading2">
    <w:name w:val="SubHeading2"/>
    <w:basedOn w:val="HeadingBase"/>
    <w:rsid w:val="009C6B5B"/>
    <w:pPr>
      <w:spacing w:before="240" w:after="60"/>
    </w:pPr>
    <w:rPr>
      <w:sz w:val="20"/>
    </w:rPr>
  </w:style>
  <w:style w:type="paragraph" w:customStyle="1" w:styleId="SubHeading1">
    <w:name w:val="SubHeading1"/>
    <w:basedOn w:val="HeadingBase"/>
    <w:rsid w:val="009C6B5B"/>
    <w:pPr>
      <w:spacing w:before="240" w:after="60"/>
    </w:pPr>
    <w:rPr>
      <w:color w:val="918585"/>
      <w:sz w:val="22"/>
    </w:rPr>
  </w:style>
  <w:style w:type="paragraph" w:customStyle="1" w:styleId="SideHeading">
    <w:name w:val="Side Heading"/>
    <w:basedOn w:val="HeadingBase"/>
    <w:rsid w:val="009C6B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6B5B"/>
    <w:pPr>
      <w:numPr>
        <w:numId w:val="12"/>
      </w:numPr>
    </w:pPr>
  </w:style>
  <w:style w:type="paragraph" w:styleId="PlainText">
    <w:name w:val="Plain Text"/>
    <w:basedOn w:val="Normal"/>
    <w:link w:val="PlainTextChar"/>
    <w:rsid w:val="009C6B5B"/>
    <w:rPr>
      <w:sz w:val="20"/>
    </w:rPr>
  </w:style>
  <w:style w:type="character" w:customStyle="1" w:styleId="PlainTextChar">
    <w:name w:val="Plain Text Char"/>
    <w:basedOn w:val="DefaultParagraphFont"/>
    <w:link w:val="PlainText"/>
    <w:rsid w:val="009C6B5B"/>
    <w:rPr>
      <w:rFonts w:ascii="Courier New" w:eastAsia="Times New Roman" w:hAnsi="Courier New" w:cs="Times New Roman"/>
      <w:sz w:val="20"/>
      <w:szCs w:val="20"/>
      <w:lang w:val="en-US" w:eastAsia="en-US"/>
    </w:rPr>
  </w:style>
  <w:style w:type="character" w:customStyle="1" w:styleId="MenuOption">
    <w:name w:val="Menu Option"/>
    <w:rsid w:val="009C6B5B"/>
    <w:rPr>
      <w:b/>
      <w:smallCaps/>
    </w:rPr>
  </w:style>
  <w:style w:type="paragraph" w:customStyle="1" w:styleId="TableListNumber">
    <w:name w:val="Table List Number"/>
    <w:basedOn w:val="ListNumber"/>
    <w:rsid w:val="009C6B5B"/>
    <w:pPr>
      <w:numPr>
        <w:numId w:val="0"/>
      </w:numPr>
    </w:pPr>
  </w:style>
  <w:style w:type="paragraph" w:styleId="TOC4">
    <w:name w:val="toc 4"/>
    <w:basedOn w:val="TOCBase"/>
    <w:next w:val="Normal"/>
    <w:semiHidden/>
    <w:rsid w:val="009C6B5B"/>
    <w:pPr>
      <w:tabs>
        <w:tab w:val="right" w:leader="dot" w:pos="9071"/>
      </w:tabs>
      <w:ind w:left="1701"/>
    </w:pPr>
  </w:style>
  <w:style w:type="paragraph" w:customStyle="1" w:styleId="ListAlpha">
    <w:name w:val="List Alpha"/>
    <w:basedOn w:val="List"/>
    <w:rsid w:val="009C6B5B"/>
    <w:pPr>
      <w:numPr>
        <w:numId w:val="9"/>
      </w:numPr>
    </w:pPr>
  </w:style>
  <w:style w:type="paragraph" w:customStyle="1" w:styleId="ListAlpha2">
    <w:name w:val="List Alpha 2"/>
    <w:basedOn w:val="List2"/>
    <w:rsid w:val="009C6B5B"/>
    <w:pPr>
      <w:numPr>
        <w:numId w:val="8"/>
      </w:numPr>
    </w:pPr>
  </w:style>
  <w:style w:type="paragraph" w:styleId="List2">
    <w:name w:val="List 2"/>
    <w:basedOn w:val="BodyText"/>
    <w:rsid w:val="009C6B5B"/>
    <w:pPr>
      <w:tabs>
        <w:tab w:val="left" w:pos="680"/>
      </w:tabs>
      <w:spacing w:before="60" w:after="60"/>
      <w:ind w:left="680" w:hanging="340"/>
    </w:pPr>
  </w:style>
  <w:style w:type="paragraph" w:styleId="List3">
    <w:name w:val="List 3"/>
    <w:basedOn w:val="BodyText"/>
    <w:rsid w:val="009C6B5B"/>
    <w:pPr>
      <w:tabs>
        <w:tab w:val="left" w:pos="1021"/>
      </w:tabs>
      <w:spacing w:before="60" w:after="60"/>
      <w:ind w:left="1020" w:hanging="340"/>
    </w:pPr>
  </w:style>
  <w:style w:type="paragraph" w:styleId="List4">
    <w:name w:val="List 4"/>
    <w:basedOn w:val="BodyText"/>
    <w:rsid w:val="009C6B5B"/>
    <w:pPr>
      <w:tabs>
        <w:tab w:val="left" w:pos="1361"/>
      </w:tabs>
      <w:spacing w:before="60" w:after="60"/>
      <w:ind w:left="1361" w:hanging="340"/>
    </w:pPr>
  </w:style>
  <w:style w:type="paragraph" w:styleId="List5">
    <w:name w:val="List 5"/>
    <w:basedOn w:val="BodyText"/>
    <w:rsid w:val="009C6B5B"/>
    <w:pPr>
      <w:tabs>
        <w:tab w:val="left" w:pos="1701"/>
      </w:tabs>
      <w:spacing w:before="60" w:after="60"/>
      <w:ind w:left="1701" w:hanging="340"/>
    </w:pPr>
  </w:style>
  <w:style w:type="paragraph" w:styleId="ListBullet3">
    <w:name w:val="List Bullet 3"/>
    <w:basedOn w:val="List3"/>
    <w:rsid w:val="009C6B5B"/>
    <w:pPr>
      <w:numPr>
        <w:numId w:val="15"/>
      </w:numPr>
      <w:tabs>
        <w:tab w:val="clear" w:pos="1021"/>
      </w:tabs>
      <w:ind w:left="1037" w:hanging="357"/>
    </w:pPr>
  </w:style>
  <w:style w:type="paragraph" w:styleId="ListBullet4">
    <w:name w:val="List Bullet 4"/>
    <w:basedOn w:val="List4"/>
    <w:rsid w:val="009C6B5B"/>
    <w:pPr>
      <w:numPr>
        <w:numId w:val="3"/>
      </w:numPr>
    </w:pPr>
  </w:style>
  <w:style w:type="paragraph" w:styleId="ListBullet5">
    <w:name w:val="List Bullet 5"/>
    <w:basedOn w:val="List5"/>
    <w:rsid w:val="009C6B5B"/>
    <w:pPr>
      <w:numPr>
        <w:numId w:val="4"/>
      </w:numPr>
    </w:pPr>
  </w:style>
  <w:style w:type="paragraph" w:styleId="ListContinue2">
    <w:name w:val="List Continue 2"/>
    <w:basedOn w:val="List2"/>
    <w:rsid w:val="009C6B5B"/>
    <w:pPr>
      <w:ind w:firstLine="0"/>
    </w:pPr>
  </w:style>
  <w:style w:type="paragraph" w:styleId="ListContinue3">
    <w:name w:val="List Continue 3"/>
    <w:basedOn w:val="List3"/>
    <w:rsid w:val="009C6B5B"/>
    <w:pPr>
      <w:ind w:left="1021" w:firstLine="0"/>
    </w:pPr>
  </w:style>
  <w:style w:type="paragraph" w:styleId="ListContinue4">
    <w:name w:val="List Continue 4"/>
    <w:basedOn w:val="List4"/>
    <w:rsid w:val="009C6B5B"/>
    <w:pPr>
      <w:ind w:firstLine="0"/>
    </w:pPr>
  </w:style>
  <w:style w:type="paragraph" w:styleId="ListContinue5">
    <w:name w:val="List Continue 5"/>
    <w:basedOn w:val="List5"/>
    <w:rsid w:val="009C6B5B"/>
    <w:pPr>
      <w:ind w:firstLine="0"/>
    </w:pPr>
  </w:style>
  <w:style w:type="paragraph" w:styleId="ListNumber3">
    <w:name w:val="List Number 3"/>
    <w:basedOn w:val="List3"/>
    <w:rsid w:val="009C6B5B"/>
    <w:pPr>
      <w:numPr>
        <w:numId w:val="5"/>
      </w:numPr>
    </w:pPr>
  </w:style>
  <w:style w:type="paragraph" w:styleId="ListNumber4">
    <w:name w:val="List Number 4"/>
    <w:basedOn w:val="List4"/>
    <w:rsid w:val="009C6B5B"/>
    <w:pPr>
      <w:numPr>
        <w:numId w:val="6"/>
      </w:numPr>
    </w:pPr>
  </w:style>
  <w:style w:type="paragraph" w:styleId="ListNumber5">
    <w:name w:val="List Number 5"/>
    <w:basedOn w:val="List5"/>
    <w:rsid w:val="009C6B5B"/>
    <w:pPr>
      <w:numPr>
        <w:numId w:val="7"/>
      </w:numPr>
    </w:pPr>
  </w:style>
  <w:style w:type="paragraph" w:styleId="BlockText">
    <w:name w:val="Block Text"/>
    <w:basedOn w:val="Normal"/>
    <w:rsid w:val="009C6B5B"/>
    <w:pPr>
      <w:spacing w:after="120"/>
      <w:ind w:left="1440" w:right="1440"/>
    </w:pPr>
  </w:style>
  <w:style w:type="character" w:customStyle="1" w:styleId="Symbols">
    <w:name w:val="Symbols"/>
    <w:rsid w:val="009C6B5B"/>
    <w:rPr>
      <w:rFonts w:ascii="Symbol" w:hAnsi="Symbol"/>
    </w:rPr>
  </w:style>
  <w:style w:type="character" w:customStyle="1" w:styleId="MenuOptions">
    <w:name w:val="Menu Options"/>
    <w:rsid w:val="009C6B5B"/>
    <w:rPr>
      <w:rFonts w:ascii="Arial Narrow" w:hAnsi="Arial Narrow"/>
      <w:smallCaps/>
    </w:rPr>
  </w:style>
  <w:style w:type="character" w:customStyle="1" w:styleId="Buttons">
    <w:name w:val="Buttons"/>
    <w:rsid w:val="009C6B5B"/>
    <w:rPr>
      <w:b/>
    </w:rPr>
  </w:style>
  <w:style w:type="character" w:customStyle="1" w:styleId="Underlined">
    <w:name w:val="Underlined"/>
    <w:rsid w:val="009C6B5B"/>
    <w:rPr>
      <w:u w:val="single"/>
    </w:rPr>
  </w:style>
  <w:style w:type="paragraph" w:customStyle="1" w:styleId="TableBodyTextRight">
    <w:name w:val="Table Body Text Right"/>
    <w:basedOn w:val="TableBodyText"/>
    <w:rsid w:val="009C6B5B"/>
    <w:pPr>
      <w:widowControl w:val="0"/>
      <w:autoSpaceDE w:val="0"/>
      <w:autoSpaceDN w:val="0"/>
      <w:adjustRightInd w:val="0"/>
      <w:jc w:val="right"/>
    </w:pPr>
    <w:rPr>
      <w:rFonts w:cs="Arial"/>
      <w:szCs w:val="18"/>
    </w:rPr>
  </w:style>
  <w:style w:type="paragraph" w:customStyle="1" w:styleId="CopyrightText">
    <w:name w:val="Copyright Text"/>
    <w:basedOn w:val="BodyText"/>
    <w:rsid w:val="009C6B5B"/>
    <w:rPr>
      <w:sz w:val="18"/>
    </w:rPr>
  </w:style>
  <w:style w:type="paragraph" w:customStyle="1" w:styleId="BodySmallRight">
    <w:name w:val="Body Small Right"/>
    <w:basedOn w:val="BodyTextRight"/>
    <w:rsid w:val="009C6B5B"/>
    <w:rPr>
      <w:sz w:val="18"/>
      <w:szCs w:val="18"/>
    </w:rPr>
  </w:style>
  <w:style w:type="paragraph" w:customStyle="1" w:styleId="MarginEdition">
    <w:name w:val="Margin Edition"/>
    <w:basedOn w:val="MarginNote"/>
    <w:rsid w:val="009C6B5B"/>
    <w:pPr>
      <w:spacing w:before="0" w:after="0"/>
    </w:pPr>
    <w:rPr>
      <w:rFonts w:ascii="Times New Roman" w:hAnsi="Times New Roman"/>
      <w:color w:val="999999"/>
    </w:rPr>
  </w:style>
  <w:style w:type="paragraph" w:customStyle="1" w:styleId="Spacer">
    <w:name w:val="Spacer"/>
    <w:basedOn w:val="Normal"/>
    <w:rsid w:val="009C6B5B"/>
    <w:rPr>
      <w:sz w:val="2"/>
      <w:szCs w:val="2"/>
    </w:rPr>
  </w:style>
  <w:style w:type="character" w:customStyle="1" w:styleId="Small">
    <w:name w:val="Small"/>
    <w:rsid w:val="009C6B5B"/>
    <w:rPr>
      <w:sz w:val="16"/>
    </w:rPr>
  </w:style>
  <w:style w:type="paragraph" w:customStyle="1" w:styleId="WideTable">
    <w:name w:val="Wide Table"/>
    <w:basedOn w:val="Normal"/>
    <w:rsid w:val="009C6B5B"/>
    <w:pPr>
      <w:ind w:left="-1418"/>
    </w:pPr>
    <w:rPr>
      <w:sz w:val="2"/>
      <w:szCs w:val="2"/>
    </w:rPr>
  </w:style>
  <w:style w:type="character" w:styleId="PageNumber">
    <w:name w:val="page number"/>
    <w:rsid w:val="009C6B5B"/>
  </w:style>
  <w:style w:type="paragraph" w:styleId="Quote">
    <w:name w:val="Quote"/>
    <w:basedOn w:val="Heading1"/>
    <w:link w:val="QuoteChar"/>
    <w:qFormat/>
    <w:rsid w:val="009C6B5B"/>
    <w:rPr>
      <w:b w:val="0"/>
      <w:sz w:val="72"/>
      <w:szCs w:val="72"/>
      <w:lang w:val="en-NZ"/>
    </w:rPr>
  </w:style>
  <w:style w:type="character" w:customStyle="1" w:styleId="QuoteChar">
    <w:name w:val="Quote Char"/>
    <w:link w:val="Quote"/>
    <w:rsid w:val="009C6B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6B5B"/>
    <w:pPr>
      <w:pageBreakBefore/>
    </w:pPr>
  </w:style>
  <w:style w:type="paragraph" w:customStyle="1" w:styleId="Border">
    <w:name w:val="Border"/>
    <w:basedOn w:val="Normal"/>
    <w:qFormat/>
    <w:rsid w:val="009C6B5B"/>
    <w:pPr>
      <w:pBdr>
        <w:top w:val="single" w:sz="18" w:space="1" w:color="auto"/>
      </w:pBdr>
    </w:pPr>
    <w:rPr>
      <w:rFonts w:ascii="Times New Roman" w:hAnsi="Times New Roman"/>
      <w:color w:val="FFFFFF"/>
      <w:sz w:val="2"/>
    </w:rPr>
  </w:style>
  <w:style w:type="character" w:styleId="IntenseEmphasis">
    <w:name w:val="Intense Emphasis"/>
    <w:uiPriority w:val="21"/>
    <w:qFormat/>
    <w:rsid w:val="009C6B5B"/>
    <w:rPr>
      <w:b/>
      <w:bCs/>
      <w:i/>
      <w:iCs/>
      <w:color w:val="auto"/>
    </w:rPr>
  </w:style>
  <w:style w:type="paragraph" w:styleId="IntenseQuote">
    <w:name w:val="Intense Quote"/>
    <w:basedOn w:val="Normal"/>
    <w:next w:val="Normal"/>
    <w:link w:val="IntenseQuoteChar"/>
    <w:uiPriority w:val="30"/>
    <w:qFormat/>
    <w:rsid w:val="009C6B5B"/>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9C6B5B"/>
    <w:rPr>
      <w:rFonts w:ascii="Courier New" w:eastAsia="Times New Roman" w:hAnsi="Courier New" w:cs="Times New Roman"/>
      <w:b/>
      <w:bCs/>
      <w:i/>
      <w:iCs/>
      <w:szCs w:val="20"/>
      <w:lang w:val="en-US" w:eastAsia="en-US"/>
    </w:rPr>
  </w:style>
  <w:style w:type="character" w:styleId="SubtleReference">
    <w:name w:val="Subtle Reference"/>
    <w:uiPriority w:val="31"/>
    <w:qFormat/>
    <w:rsid w:val="009C6B5B"/>
    <w:rPr>
      <w:smallCaps/>
      <w:color w:val="auto"/>
      <w:u w:val="single"/>
    </w:rPr>
  </w:style>
  <w:style w:type="character" w:styleId="IntenseReference">
    <w:name w:val="Intense Reference"/>
    <w:uiPriority w:val="32"/>
    <w:qFormat/>
    <w:rsid w:val="009C6B5B"/>
    <w:rPr>
      <w:b/>
      <w:bCs/>
      <w:smallCaps/>
      <w:color w:val="auto"/>
      <w:spacing w:val="5"/>
      <w:u w:val="single"/>
    </w:rPr>
  </w:style>
  <w:style w:type="paragraph" w:customStyle="1" w:styleId="2ColumnHeading">
    <w:name w:val="2Column Heading"/>
    <w:basedOn w:val="BodyText"/>
    <w:qFormat/>
    <w:rsid w:val="009C6B5B"/>
    <w:pPr>
      <w:spacing w:after="60"/>
      <w:ind w:left="-2268"/>
    </w:pPr>
    <w:rPr>
      <w:b/>
    </w:rPr>
  </w:style>
  <w:style w:type="paragraph" w:customStyle="1" w:styleId="Heading1TOC">
    <w:name w:val="Heading1 TOC"/>
    <w:basedOn w:val="Normal"/>
    <w:qFormat/>
    <w:rsid w:val="009C6B5B"/>
    <w:pPr>
      <w:spacing w:before="240" w:after="120"/>
    </w:pPr>
    <w:rPr>
      <w:rFonts w:ascii="Times New Roman" w:hAnsi="Times New Roman"/>
      <w:b/>
      <w:sz w:val="32"/>
    </w:rPr>
  </w:style>
  <w:style w:type="paragraph" w:customStyle="1" w:styleId="Heading2TOC">
    <w:name w:val="Heading2 TOC"/>
    <w:basedOn w:val="Normal"/>
    <w:qFormat/>
    <w:rsid w:val="009C6B5B"/>
    <w:pPr>
      <w:spacing w:before="240" w:after="60"/>
    </w:pPr>
    <w:rPr>
      <w:rFonts w:ascii="Times New Roman" w:hAnsi="Times New Roman"/>
      <w:b/>
      <w:sz w:val="28"/>
    </w:rPr>
  </w:style>
  <w:style w:type="character" w:customStyle="1" w:styleId="Underline">
    <w:name w:val="Underline"/>
    <w:qFormat/>
    <w:rsid w:val="009C6B5B"/>
    <w:rPr>
      <w:u w:val="single"/>
    </w:rPr>
  </w:style>
  <w:style w:type="paragraph" w:styleId="BalloonText">
    <w:name w:val="Balloon Text"/>
    <w:basedOn w:val="Normal"/>
    <w:link w:val="BalloonTextChar"/>
    <w:rsid w:val="009C6B5B"/>
    <w:rPr>
      <w:rFonts w:ascii="Tahoma" w:hAnsi="Tahoma" w:cs="Tahoma"/>
      <w:sz w:val="16"/>
      <w:szCs w:val="16"/>
    </w:rPr>
  </w:style>
  <w:style w:type="character" w:customStyle="1" w:styleId="BalloonTextChar">
    <w:name w:val="Balloon Text Char"/>
    <w:link w:val="BalloonText"/>
    <w:rsid w:val="009C6B5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C6B5B"/>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9C6B5B"/>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BC08AE9E.dotm</Template>
  <TotalTime>0</TotalTime>
  <Pages>12</Pages>
  <Words>2900</Words>
  <Characters>18460</Characters>
  <Application>Microsoft Office Word</Application>
  <DocSecurity>0</DocSecurity>
  <Lines>642</Lines>
  <Paragraphs>359</Paragraphs>
  <ScaleCrop>false</ScaleCrop>
  <Company>Author-it Software Corporation Ltd.</Company>
  <LinksUpToDate>false</LinksUpToDate>
  <CharactersWithSpaces>21260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PRMPFES06C Prepare for installation and servicing operations</dc:title>
  <dc:subject>Approved</dc:subject>
  <dc:creator>Construction &amp; Property Services Industry Skills Council</dc:creator>
  <cp:keywords>Release: 1</cp:keywords>
  <dc:description>Copyright © 1996-2007 Author-it Software Corporation Ltd., all rights reserved.</dc:description>
  <cp:lastModifiedBy>Narendra Tomar</cp:lastModifiedBy>
  <cp:revision>3</cp:revision>
  <dcterms:created xsi:type="dcterms:W3CDTF">2012-05-26T19:16:00Z</dcterms:created>
  <dcterms:modified xsi:type="dcterms:W3CDTF">2012-05-26T19:16:00Z</dcterms:modified>
</cp:coreProperties>
</file>