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F44D60" w:rsidP="00F44D60">
      <w:pPr>
        <w:pStyle w:val="Title"/>
      </w:pPr>
      <w:r>
        <w:fldChar w:fldCharType="begin"/>
      </w:r>
      <w:r>
        <w:instrText xml:space="preserve"> TITLE   \* MERGEFORMAT </w:instrText>
      </w:r>
      <w:r>
        <w:fldChar w:fldCharType="separate"/>
      </w:r>
      <w:r>
        <w:t>PRMPFES04B Identify fire protection equipment</w:t>
      </w:r>
      <w:r>
        <w:fldChar w:fldCharType="end"/>
      </w:r>
    </w:p>
    <w:p w:rsidR="00F44D60" w:rsidP="00F44D60">
      <w:pPr>
        <w:pStyle w:val="Version"/>
        <w:sectPr w:rsidSect="00967638">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967638" w:rsidP="00967638">
      <w:pPr>
        <w:pStyle w:val="SuperHeading"/>
      </w:pPr>
      <w:r w:rsidRPr="00967638">
        <w:t>PRMPFES04B Identify fire protection equipment</w:t>
      </w:r>
    </w:p>
    <w:p w:rsidR="00000000" w:rsidRPr="00967638" w:rsidP="00967638">
      <w:pPr>
        <w:pStyle w:val="Heading1"/>
      </w:pPr>
      <w:bookmarkStart w:id="1" w:name="O_272898"/>
      <w:bookmarkEnd w:id="1"/>
      <w:r w:rsidRPr="00967638">
        <w:t>Modification History</w:t>
      </w:r>
    </w:p>
    <w:p w:rsidR="00000000" w:rsidRPr="00967638" w:rsidP="00967638">
      <w:pPr>
        <w:pStyle w:val="BodyText"/>
      </w:pPr>
      <w:r w:rsidRPr="00967638">
        <w:t>Not Applicable</w:t>
      </w:r>
    </w:p>
    <w:p w:rsidR="00000000" w:rsidRPr="00967638" w:rsidP="00967638">
      <w:pPr>
        <w:pStyle w:val="AllowPageBreak"/>
      </w:pPr>
    </w:p>
    <w:p w:rsidR="00000000" w:rsidRPr="00967638" w:rsidP="00967638">
      <w:pPr>
        <w:pStyle w:val="Heading1"/>
      </w:pPr>
      <w:bookmarkStart w:id="2" w:name="O_216405"/>
      <w:bookmarkEnd w:id="2"/>
      <w:r w:rsidRPr="00967638">
        <w:t>Unit Descriptor</w:t>
      </w:r>
    </w:p>
    <w:p w:rsidR="00000000" w:rsidRPr="00967638" w:rsidP="00967638">
      <w:pPr>
        <w:pStyle w:val="BodyText"/>
      </w:pPr>
      <w:r w:rsidRPr="00967638">
        <w:rPr>
          <w:rStyle w:val="SpecialBold"/>
        </w:rPr>
        <w:t>Unit descriptor</w:t>
      </w:r>
    </w:p>
    <w:p w:rsidR="00F44D60" w:rsidP="00967638">
      <w:pPr>
        <w:pStyle w:val="BodyText"/>
      </w:pPr>
      <w:r w:rsidRPr="00967638">
        <w:t>The unit prepares the individual for servicing and installation procedures by being able to accurately id</w:t>
      </w:r>
      <w:r w:rsidRPr="00967638">
        <w:t>entify fire protection products and their purpose of use. All work in the area of identification must be completed in accordance with relevant legislative, industry, customer and organisational requirements, including occupational health and safety (OHS) p</w:t>
      </w:r>
      <w:r w:rsidRPr="00967638">
        <w:t>olicies and procedures.</w:t>
      </w:r>
    </w:p>
    <w:p w:rsidR="00F44D60" w:rsidP="00967638">
      <w:pPr>
        <w:pStyle w:val="BodyText"/>
      </w:pPr>
    </w:p>
    <w:p w:rsidR="00000000" w:rsidRPr="00967638" w:rsidP="00967638">
      <w:pPr>
        <w:pStyle w:val="Heading1"/>
      </w:pPr>
      <w:bookmarkStart w:id="3" w:name="O_275748"/>
      <w:bookmarkEnd w:id="3"/>
      <w:r w:rsidRPr="00967638">
        <w:t>Application of the Unit</w:t>
      </w:r>
    </w:p>
    <w:p w:rsidR="00000000" w:rsidRPr="00967638" w:rsidP="00967638">
      <w:pPr>
        <w:pStyle w:val="BodyText"/>
      </w:pPr>
      <w:r w:rsidRPr="00967638">
        <w:t>Not Applicable</w:t>
      </w:r>
    </w:p>
    <w:p w:rsidR="00000000" w:rsidRPr="00967638" w:rsidP="00967638">
      <w:pPr>
        <w:pStyle w:val="AllowPageBreak"/>
      </w:pPr>
    </w:p>
    <w:p w:rsidR="00000000" w:rsidRPr="00967638" w:rsidP="00967638">
      <w:pPr>
        <w:pStyle w:val="Heading1"/>
      </w:pPr>
      <w:bookmarkStart w:id="4" w:name="O_281158"/>
      <w:bookmarkEnd w:id="4"/>
      <w:r w:rsidRPr="00967638">
        <w:t>Licensing/Regulatory Information</w:t>
      </w:r>
    </w:p>
    <w:p w:rsidR="00000000" w:rsidRPr="00967638" w:rsidP="00967638">
      <w:pPr>
        <w:pStyle w:val="BodyText"/>
      </w:pPr>
      <w:r w:rsidRPr="00967638">
        <w:t>Not Applicable</w:t>
      </w:r>
    </w:p>
    <w:p w:rsidR="00000000" w:rsidRPr="00967638" w:rsidP="00967638">
      <w:pPr>
        <w:pStyle w:val="AllowPageBreak"/>
      </w:pPr>
    </w:p>
    <w:p w:rsidR="00000000" w:rsidRPr="00967638" w:rsidP="00967638">
      <w:pPr>
        <w:pStyle w:val="Heading1"/>
      </w:pPr>
      <w:bookmarkStart w:id="5" w:name="O_284463"/>
      <w:bookmarkEnd w:id="5"/>
      <w:r w:rsidRPr="00967638">
        <w:t>Pre-Requisites</w:t>
      </w:r>
    </w:p>
    <w:p w:rsidR="00000000" w:rsidRPr="00967638" w:rsidP="00967638">
      <w:pPr>
        <w:pStyle w:val="BodyText"/>
      </w:pPr>
      <w:r w:rsidRPr="00967638">
        <w:t>Not Applicable</w:t>
      </w:r>
    </w:p>
    <w:p w:rsidR="00000000" w:rsidRPr="00967638" w:rsidP="00967638">
      <w:pPr>
        <w:pStyle w:val="AllowPageBreak"/>
      </w:pPr>
    </w:p>
    <w:p w:rsidR="00000000" w:rsidRPr="00967638" w:rsidP="00967638">
      <w:pPr>
        <w:pStyle w:val="Heading1"/>
      </w:pPr>
      <w:bookmarkStart w:id="6" w:name="O_285208"/>
      <w:bookmarkEnd w:id="6"/>
      <w:r w:rsidRPr="00967638">
        <w:t>Employability Skills Information</w:t>
      </w:r>
    </w:p>
    <w:p w:rsidR="00000000" w:rsidRPr="00967638" w:rsidP="00967638">
      <w:pPr>
        <w:pStyle w:val="BodyText"/>
      </w:pPr>
      <w:r w:rsidRPr="00967638">
        <w:t>Not Applicable</w:t>
      </w:r>
    </w:p>
    <w:p w:rsidR="00000000" w:rsidRPr="00967638" w:rsidP="00967638">
      <w:pPr>
        <w:pStyle w:val="AllowPageBreak"/>
      </w:pPr>
    </w:p>
    <w:p w:rsidR="00000000" w:rsidRPr="00967638" w:rsidP="00967638">
      <w:pPr>
        <w:pStyle w:val="Heading1"/>
      </w:pPr>
      <w:bookmarkStart w:id="7" w:name="O_290944"/>
      <w:bookmarkEnd w:id="7"/>
      <w:r w:rsidRPr="00967638">
        <w:t>Elements and Performance Criteria Pre-Content</w:t>
      </w:r>
    </w:p>
    <w:p w:rsidR="00000000" w:rsidRPr="00967638" w:rsidP="00967638">
      <w:pPr>
        <w:pStyle w:val="BodyText"/>
      </w:pPr>
      <w:r w:rsidRPr="00967638">
        <w:t>Not Applicable</w:t>
      </w:r>
    </w:p>
    <w:p w:rsidR="00000000" w:rsidRPr="00967638" w:rsidP="00967638">
      <w:pPr>
        <w:pStyle w:val="AllowPageBreak"/>
      </w:pPr>
    </w:p>
    <w:p w:rsidR="00000000" w:rsidRPr="00967638" w:rsidP="00967638">
      <w:pPr>
        <w:pStyle w:val="Heading1"/>
      </w:pPr>
      <w:bookmarkStart w:id="8" w:name="O_237612"/>
      <w:bookmarkEnd w:id="8"/>
      <w:r w:rsidRPr="00967638">
        <w:t>Elements and Performance Criteria</w:t>
      </w:r>
    </w:p>
    <w:tbl>
      <w:tblPr>
        <w:tblW w:w="0" w:type="auto"/>
        <w:tblLayout w:type="fixed"/>
        <w:tblCellMar>
          <w:left w:w="62" w:type="dxa"/>
          <w:right w:w="62" w:type="dxa"/>
        </w:tblCellMar>
        <w:tblLook w:val="0000"/>
      </w:tblPr>
      <w:tblGrid>
        <w:gridCol w:w="3720"/>
        <w:gridCol w:w="18"/>
        <w:gridCol w:w="4992"/>
        <w:gridCol w:w="25"/>
      </w:tblGrid>
      <w:tr w:rsidTr="00F44D60">
        <w:tblPrEx>
          <w:tblW w:w="0" w:type="auto"/>
          <w:tblLayout w:type="fixed"/>
          <w:tblCellMar>
            <w:left w:w="62" w:type="dxa"/>
            <w:right w:w="62" w:type="dxa"/>
          </w:tblCellMar>
          <w:tblLook w:val="0000"/>
        </w:tblPrEx>
        <w:trPr>
          <w:tblHeader/>
        </w:trPr>
        <w:tc>
          <w:tcPr>
            <w:tcW w:w="3738" w:type="dxa"/>
            <w:gridSpan w:val="2"/>
            <w:tcBorders>
              <w:top w:val="nil"/>
              <w:left w:val="nil"/>
              <w:bottom w:val="nil"/>
              <w:right w:val="nil"/>
            </w:tcBorders>
            <w:tcMar>
              <w:top w:w="0" w:type="dxa"/>
              <w:left w:w="62" w:type="dxa"/>
              <w:bottom w:w="0" w:type="dxa"/>
              <w:right w:w="62" w:type="dxa"/>
            </w:tcMar>
          </w:tcPr>
          <w:p w:rsidR="00000000" w:rsidRPr="00967638" w:rsidP="00967638">
            <w:pPr>
              <w:pStyle w:val="List"/>
            </w:pPr>
            <w:r w:rsidRPr="00967638">
              <w:rPr>
                <w:rStyle w:val="SpecialBold"/>
              </w:rPr>
              <w:t>ELEMENT</w:t>
            </w:r>
          </w:p>
        </w:tc>
        <w:tc>
          <w:tcPr>
            <w:tcW w:w="5017" w:type="dxa"/>
            <w:gridSpan w:val="2"/>
            <w:tcBorders>
              <w:top w:val="nil"/>
              <w:left w:val="nil"/>
              <w:bottom w:val="nil"/>
              <w:right w:val="nil"/>
            </w:tcBorders>
            <w:tcMar>
              <w:top w:w="0" w:type="dxa"/>
              <w:left w:w="62" w:type="dxa"/>
              <w:bottom w:w="0" w:type="dxa"/>
              <w:right w:w="62" w:type="dxa"/>
            </w:tcMar>
          </w:tcPr>
          <w:p w:rsidR="00000000" w:rsidP="00967638">
            <w:pPr>
              <w:pStyle w:val="List"/>
              <w:rPr>
                <w:lang w:val="en-NZ"/>
              </w:rPr>
            </w:pPr>
            <w:r w:rsidRPr="00967638">
              <w:rPr>
                <w:rStyle w:val="SpecialBold"/>
              </w:rPr>
              <w:t>PERFORMANCE CRITERIA</w:t>
            </w:r>
          </w:p>
        </w:tc>
      </w:tr>
      <w:tr w:rsidTr="00F44D60">
        <w:tblPrEx>
          <w:tblW w:w="0" w:type="auto"/>
          <w:tblLayout w:type="fixed"/>
          <w:tblCellMar>
            <w:left w:w="62" w:type="dxa"/>
            <w:right w:w="62" w:type="dxa"/>
          </w:tblCellMar>
          <w:tblLook w:val="0000"/>
        </w:tblPrEx>
        <w:trPr>
          <w:gridAfter w:val="1"/>
          <w:wAfter w:w="25" w:type="dxa"/>
        </w:trPr>
        <w:tc>
          <w:tcPr>
            <w:tcW w:w="3720" w:type="dxa"/>
            <w:tcBorders>
              <w:top w:val="nil"/>
              <w:left w:val="nil"/>
              <w:bottom w:val="nil"/>
              <w:right w:val="nil"/>
            </w:tcBorders>
            <w:tcMar>
              <w:top w:w="0" w:type="dxa"/>
              <w:left w:w="62" w:type="dxa"/>
              <w:bottom w:w="0" w:type="dxa"/>
              <w:right w:w="62" w:type="dxa"/>
            </w:tcMar>
          </w:tcPr>
          <w:p w:rsidR="00000000" w:rsidP="00967638">
            <w:pPr>
              <w:pStyle w:val="List"/>
              <w:rPr>
                <w:lang w:val="en-NZ"/>
              </w:rPr>
            </w:pPr>
            <w:r w:rsidRPr="00967638">
              <w:t>1</w:t>
            </w:r>
            <w:r w:rsidRPr="00967638">
              <w:tab/>
              <w:t>Identify a range of portable and wheeled fire extinguishers</w:t>
            </w:r>
          </w:p>
        </w:tc>
        <w:tc>
          <w:tcPr>
            <w:tcW w:w="5010" w:type="dxa"/>
            <w:gridSpan w:val="2"/>
            <w:tcBorders>
              <w:top w:val="nil"/>
              <w:left w:val="nil"/>
              <w:bottom w:val="nil"/>
              <w:right w:val="nil"/>
            </w:tcBorders>
            <w:tcMar>
              <w:top w:w="0" w:type="dxa"/>
              <w:left w:w="62" w:type="dxa"/>
              <w:bottom w:w="0" w:type="dxa"/>
              <w:right w:w="62" w:type="dxa"/>
            </w:tcMar>
          </w:tcPr>
          <w:p w:rsidR="00000000" w:rsidRPr="00967638" w:rsidP="00967638">
            <w:pPr>
              <w:pStyle w:val="List"/>
            </w:pPr>
            <w:r w:rsidRPr="00967638">
              <w:t>1.1</w:t>
            </w:r>
            <w:r w:rsidRPr="00967638">
              <w:tab/>
              <w:t>Identify a range</w:t>
            </w:r>
            <w:r w:rsidRPr="00967638">
              <w:t xml:space="preserve"> of </w:t>
            </w:r>
            <w:r w:rsidRPr="00967638">
              <w:rPr>
                <w:rStyle w:val="Emphasis"/>
              </w:rPr>
              <w:t>portable fire extinguishers</w:t>
            </w:r>
            <w:r w:rsidRPr="00967638">
              <w:t xml:space="preserve"> according to types, </w:t>
            </w:r>
            <w:r w:rsidRPr="00967638">
              <w:rPr>
                <w:rStyle w:val="Emphasis"/>
              </w:rPr>
              <w:t>extinguishants</w:t>
            </w:r>
            <w:r w:rsidRPr="00967638">
              <w:t xml:space="preserve">, </w:t>
            </w:r>
            <w:r w:rsidRPr="00967638">
              <w:rPr>
                <w:rStyle w:val="Emphasis"/>
              </w:rPr>
              <w:t>expellants</w:t>
            </w:r>
            <w:r w:rsidRPr="00967638">
              <w:t>, colour-coding requirements, extinguisher labelling and location signs</w:t>
            </w:r>
          </w:p>
          <w:p w:rsidR="00000000" w:rsidP="00967638">
            <w:pPr>
              <w:pStyle w:val="List"/>
              <w:rPr>
                <w:lang w:val="en-NZ"/>
              </w:rPr>
            </w:pPr>
            <w:r w:rsidRPr="00967638">
              <w:t>1.2</w:t>
            </w:r>
            <w:r w:rsidRPr="00967638">
              <w:tab/>
              <w:t xml:space="preserve">Identify a range of </w:t>
            </w:r>
            <w:r w:rsidRPr="00967638">
              <w:rPr>
                <w:rStyle w:val="Emphasis"/>
              </w:rPr>
              <w:t>wheeled fire extinguishers</w:t>
            </w:r>
            <w:r w:rsidRPr="00967638">
              <w:t xml:space="preserve"> according to types, </w:t>
            </w:r>
            <w:r w:rsidRPr="00967638">
              <w:rPr>
                <w:rStyle w:val="Emphasis"/>
              </w:rPr>
              <w:t>extinguishants</w:t>
            </w:r>
            <w:r w:rsidRPr="00967638">
              <w:t xml:space="preserve">, </w:t>
            </w:r>
            <w:r w:rsidRPr="00967638">
              <w:rPr>
                <w:rStyle w:val="Emphasis"/>
              </w:rPr>
              <w:t>expellants</w:t>
            </w:r>
            <w:r w:rsidRPr="00967638">
              <w:t>, colour-coding requirements and extinguisher labelling</w:t>
            </w:r>
          </w:p>
        </w:tc>
      </w:tr>
      <w:tr w:rsidTr="00F44D60">
        <w:tblPrEx>
          <w:tblW w:w="0" w:type="auto"/>
          <w:tblLayout w:type="fixed"/>
          <w:tblCellMar>
            <w:left w:w="62" w:type="dxa"/>
            <w:right w:w="62" w:type="dxa"/>
          </w:tblCellMar>
          <w:tblLook w:val="0000"/>
        </w:tblPrEx>
        <w:trPr>
          <w:gridAfter w:val="1"/>
          <w:wAfter w:w="25" w:type="dxa"/>
        </w:trPr>
        <w:tc>
          <w:tcPr>
            <w:tcW w:w="3720" w:type="dxa"/>
            <w:tcBorders>
              <w:top w:val="nil"/>
              <w:left w:val="nil"/>
              <w:bottom w:val="nil"/>
              <w:right w:val="nil"/>
            </w:tcBorders>
            <w:tcMar>
              <w:top w:w="0" w:type="dxa"/>
              <w:left w:w="62" w:type="dxa"/>
              <w:bottom w:w="0" w:type="dxa"/>
              <w:right w:w="62" w:type="dxa"/>
            </w:tcMar>
          </w:tcPr>
          <w:p w:rsidR="00000000" w:rsidP="00967638">
            <w:pPr>
              <w:pStyle w:val="List"/>
              <w:rPr>
                <w:lang w:val="en-NZ"/>
              </w:rPr>
            </w:pPr>
            <w:r w:rsidRPr="00967638">
              <w:t>2</w:t>
            </w:r>
            <w:r w:rsidRPr="00967638">
              <w:tab/>
              <w:t>Identify different types of hose reels</w:t>
            </w:r>
          </w:p>
        </w:tc>
        <w:tc>
          <w:tcPr>
            <w:tcW w:w="5010" w:type="dxa"/>
            <w:gridSpan w:val="2"/>
            <w:tcBorders>
              <w:top w:val="nil"/>
              <w:left w:val="nil"/>
              <w:bottom w:val="nil"/>
              <w:right w:val="nil"/>
            </w:tcBorders>
            <w:tcMar>
              <w:top w:w="0" w:type="dxa"/>
              <w:left w:w="62" w:type="dxa"/>
              <w:bottom w:w="0" w:type="dxa"/>
              <w:right w:w="62" w:type="dxa"/>
            </w:tcMar>
          </w:tcPr>
          <w:p w:rsidR="00000000" w:rsidP="00967638">
            <w:pPr>
              <w:pStyle w:val="List"/>
              <w:rPr>
                <w:lang w:val="en-NZ"/>
              </w:rPr>
            </w:pPr>
            <w:r w:rsidRPr="00967638">
              <w:t>2.1</w:t>
            </w:r>
            <w:r w:rsidRPr="00967638">
              <w:tab/>
              <w:t xml:space="preserve">Identify the different types of </w:t>
            </w:r>
            <w:r w:rsidRPr="00967638">
              <w:rPr>
                <w:rStyle w:val="Emphasis"/>
              </w:rPr>
              <w:t>hose reels</w:t>
            </w:r>
            <w:r w:rsidRPr="00967638">
              <w:t xml:space="preserve"> according to purpose of use and location signs</w:t>
            </w:r>
          </w:p>
        </w:tc>
      </w:tr>
      <w:tr w:rsidTr="00F44D60">
        <w:tblPrEx>
          <w:tblW w:w="0" w:type="auto"/>
          <w:tblLayout w:type="fixed"/>
          <w:tblCellMar>
            <w:left w:w="62" w:type="dxa"/>
            <w:right w:w="62" w:type="dxa"/>
          </w:tblCellMar>
          <w:tblLook w:val="0000"/>
        </w:tblPrEx>
        <w:trPr>
          <w:gridAfter w:val="1"/>
          <w:wAfter w:w="25" w:type="dxa"/>
        </w:trPr>
        <w:tc>
          <w:tcPr>
            <w:tcW w:w="3720" w:type="dxa"/>
            <w:tcBorders>
              <w:top w:val="nil"/>
              <w:left w:val="nil"/>
              <w:bottom w:val="nil"/>
              <w:right w:val="nil"/>
            </w:tcBorders>
            <w:tcMar>
              <w:top w:w="0" w:type="dxa"/>
              <w:left w:w="62" w:type="dxa"/>
              <w:bottom w:w="0" w:type="dxa"/>
              <w:right w:w="62" w:type="dxa"/>
            </w:tcMar>
          </w:tcPr>
          <w:p w:rsidR="00000000" w:rsidP="00967638">
            <w:pPr>
              <w:pStyle w:val="List"/>
              <w:rPr>
                <w:lang w:val="en-NZ"/>
              </w:rPr>
            </w:pPr>
            <w:r w:rsidRPr="00967638">
              <w:t>3</w:t>
            </w:r>
            <w:r w:rsidRPr="00967638">
              <w:tab/>
              <w:t>Identify different types of delivery lay flat fire hoses</w:t>
            </w:r>
          </w:p>
        </w:tc>
        <w:tc>
          <w:tcPr>
            <w:tcW w:w="5010" w:type="dxa"/>
            <w:gridSpan w:val="2"/>
            <w:tcBorders>
              <w:top w:val="nil"/>
              <w:left w:val="nil"/>
              <w:bottom w:val="nil"/>
              <w:right w:val="nil"/>
            </w:tcBorders>
            <w:tcMar>
              <w:top w:w="0" w:type="dxa"/>
              <w:left w:w="62" w:type="dxa"/>
              <w:bottom w:w="0" w:type="dxa"/>
              <w:right w:w="62" w:type="dxa"/>
            </w:tcMar>
          </w:tcPr>
          <w:p w:rsidR="00000000" w:rsidRPr="00967638" w:rsidP="00967638">
            <w:pPr>
              <w:pStyle w:val="List"/>
            </w:pPr>
            <w:r w:rsidRPr="00967638">
              <w:t>3.1</w:t>
            </w:r>
            <w:r w:rsidRPr="00967638">
              <w:tab/>
            </w:r>
            <w:r w:rsidRPr="00967638">
              <w:t xml:space="preserve">Identify the different types of </w:t>
            </w:r>
            <w:r w:rsidRPr="00967638">
              <w:rPr>
                <w:rStyle w:val="Emphasis"/>
              </w:rPr>
              <w:t>delivery lay flat fire hoses</w:t>
            </w:r>
            <w:r w:rsidRPr="00967638">
              <w:t xml:space="preserve"> according to class, size and construction</w:t>
            </w:r>
          </w:p>
          <w:p w:rsidR="00000000" w:rsidP="00967638">
            <w:pPr>
              <w:pStyle w:val="List"/>
              <w:rPr>
                <w:lang w:val="en-NZ"/>
              </w:rPr>
            </w:pPr>
            <w:r w:rsidRPr="00967638">
              <w:t>3.2</w:t>
            </w:r>
            <w:r w:rsidRPr="00967638">
              <w:tab/>
              <w:t xml:space="preserve">Identify the different types of </w:t>
            </w:r>
            <w:r w:rsidRPr="00967638">
              <w:rPr>
                <w:rStyle w:val="Emphasis"/>
              </w:rPr>
              <w:t>delivery lay flat fire hose couplings</w:t>
            </w:r>
            <w:r w:rsidRPr="00967638">
              <w:t xml:space="preserve"> according to design and construction</w:t>
            </w:r>
          </w:p>
        </w:tc>
      </w:tr>
      <w:tr w:rsidTr="00F44D60">
        <w:tblPrEx>
          <w:tblW w:w="0" w:type="auto"/>
          <w:tblLayout w:type="fixed"/>
          <w:tblCellMar>
            <w:left w:w="62" w:type="dxa"/>
            <w:right w:w="62" w:type="dxa"/>
          </w:tblCellMar>
          <w:tblLook w:val="0000"/>
        </w:tblPrEx>
        <w:trPr>
          <w:gridAfter w:val="1"/>
          <w:wAfter w:w="25" w:type="dxa"/>
        </w:trPr>
        <w:tc>
          <w:tcPr>
            <w:tcW w:w="3720" w:type="dxa"/>
            <w:tcBorders>
              <w:top w:val="nil"/>
              <w:left w:val="nil"/>
              <w:bottom w:val="nil"/>
              <w:right w:val="nil"/>
            </w:tcBorders>
            <w:tcMar>
              <w:top w:w="0" w:type="dxa"/>
              <w:left w:w="62" w:type="dxa"/>
              <w:bottom w:w="0" w:type="dxa"/>
              <w:right w:w="62" w:type="dxa"/>
            </w:tcMar>
          </w:tcPr>
          <w:p w:rsidR="00000000" w:rsidP="00967638">
            <w:pPr>
              <w:pStyle w:val="List"/>
              <w:rPr>
                <w:lang w:val="en-NZ"/>
              </w:rPr>
            </w:pPr>
            <w:r w:rsidRPr="00967638">
              <w:t>4</w:t>
            </w:r>
            <w:r w:rsidRPr="00967638">
              <w:tab/>
              <w:t>Identify fire hydrant system components</w:t>
            </w:r>
          </w:p>
        </w:tc>
        <w:tc>
          <w:tcPr>
            <w:tcW w:w="5010" w:type="dxa"/>
            <w:gridSpan w:val="2"/>
            <w:tcBorders>
              <w:top w:val="nil"/>
              <w:left w:val="nil"/>
              <w:bottom w:val="nil"/>
              <w:right w:val="nil"/>
            </w:tcBorders>
            <w:tcMar>
              <w:top w:w="0" w:type="dxa"/>
              <w:left w:w="62" w:type="dxa"/>
              <w:bottom w:w="0" w:type="dxa"/>
              <w:right w:w="62" w:type="dxa"/>
            </w:tcMar>
          </w:tcPr>
          <w:p w:rsidR="00000000" w:rsidP="00967638">
            <w:pPr>
              <w:pStyle w:val="List"/>
              <w:rPr>
                <w:lang w:val="en-NZ"/>
              </w:rPr>
            </w:pPr>
            <w:r w:rsidRPr="00967638">
              <w:t>4.1</w:t>
            </w:r>
            <w:r w:rsidRPr="00967638">
              <w:tab/>
              <w:t xml:space="preserve">Identify </w:t>
            </w:r>
            <w:r w:rsidRPr="00967638">
              <w:rPr>
                <w:rStyle w:val="Emphasis"/>
              </w:rPr>
              <w:t>fire hydrant system components</w:t>
            </w:r>
            <w:r w:rsidRPr="00967638">
              <w:t xml:space="preserve"> according to purpose of use and location signs</w:t>
            </w:r>
          </w:p>
        </w:tc>
      </w:tr>
      <w:tr w:rsidTr="00F44D60">
        <w:tblPrEx>
          <w:tblW w:w="0" w:type="auto"/>
          <w:tblLayout w:type="fixed"/>
          <w:tblCellMar>
            <w:left w:w="62" w:type="dxa"/>
            <w:right w:w="62" w:type="dxa"/>
          </w:tblCellMar>
          <w:tblLook w:val="0000"/>
        </w:tblPrEx>
        <w:trPr>
          <w:gridAfter w:val="1"/>
          <w:wAfter w:w="25" w:type="dxa"/>
        </w:trPr>
        <w:tc>
          <w:tcPr>
            <w:tcW w:w="3720" w:type="dxa"/>
            <w:tcBorders>
              <w:top w:val="nil"/>
              <w:left w:val="nil"/>
              <w:bottom w:val="nil"/>
              <w:right w:val="nil"/>
            </w:tcBorders>
            <w:tcMar>
              <w:top w:w="0" w:type="dxa"/>
              <w:left w:w="62" w:type="dxa"/>
              <w:bottom w:w="0" w:type="dxa"/>
              <w:right w:w="62" w:type="dxa"/>
            </w:tcMar>
          </w:tcPr>
          <w:p w:rsidR="00000000" w:rsidP="00967638">
            <w:pPr>
              <w:pStyle w:val="List"/>
              <w:rPr>
                <w:lang w:val="en-NZ"/>
              </w:rPr>
            </w:pPr>
            <w:r w:rsidRPr="00967638">
              <w:t>5</w:t>
            </w:r>
            <w:r w:rsidRPr="00967638">
              <w:tab/>
              <w:t>Identify fire blankets and containers</w:t>
            </w:r>
          </w:p>
        </w:tc>
        <w:tc>
          <w:tcPr>
            <w:tcW w:w="5010" w:type="dxa"/>
            <w:gridSpan w:val="2"/>
            <w:tcBorders>
              <w:top w:val="nil"/>
              <w:left w:val="nil"/>
              <w:bottom w:val="nil"/>
              <w:right w:val="nil"/>
            </w:tcBorders>
            <w:tcMar>
              <w:top w:w="0" w:type="dxa"/>
              <w:left w:w="62" w:type="dxa"/>
              <w:bottom w:w="0" w:type="dxa"/>
              <w:right w:w="62" w:type="dxa"/>
            </w:tcMar>
          </w:tcPr>
          <w:p w:rsidR="00000000" w:rsidP="00967638">
            <w:pPr>
              <w:pStyle w:val="List"/>
              <w:rPr>
                <w:lang w:val="en-NZ"/>
              </w:rPr>
            </w:pPr>
            <w:r w:rsidRPr="00967638">
              <w:t>5.1</w:t>
            </w:r>
            <w:r w:rsidRPr="00967638">
              <w:tab/>
              <w:t xml:space="preserve">Identify fire blankets and </w:t>
            </w:r>
            <w:r w:rsidRPr="00967638">
              <w:rPr>
                <w:rStyle w:val="Emphasis"/>
              </w:rPr>
              <w:t>fire blanket containers</w:t>
            </w:r>
            <w:r w:rsidRPr="00967638">
              <w:t xml:space="preserve"> according to purpose of use and location signs</w:t>
            </w:r>
          </w:p>
        </w:tc>
      </w:tr>
      <w:tr w:rsidTr="00F44D60">
        <w:tblPrEx>
          <w:tblW w:w="0" w:type="auto"/>
          <w:tblLayout w:type="fixed"/>
          <w:tblCellMar>
            <w:left w:w="62" w:type="dxa"/>
            <w:right w:w="62" w:type="dxa"/>
          </w:tblCellMar>
          <w:tblLook w:val="0000"/>
        </w:tblPrEx>
        <w:trPr>
          <w:gridAfter w:val="1"/>
          <w:wAfter w:w="25" w:type="dxa"/>
        </w:trPr>
        <w:tc>
          <w:tcPr>
            <w:tcW w:w="3720" w:type="dxa"/>
            <w:tcBorders>
              <w:top w:val="nil"/>
              <w:left w:val="nil"/>
              <w:bottom w:val="nil"/>
              <w:right w:val="nil"/>
            </w:tcBorders>
            <w:tcMar>
              <w:top w:w="0" w:type="dxa"/>
              <w:left w:w="62" w:type="dxa"/>
              <w:bottom w:w="0" w:type="dxa"/>
              <w:right w:w="62" w:type="dxa"/>
            </w:tcMar>
          </w:tcPr>
          <w:p w:rsidR="00000000" w:rsidP="00967638">
            <w:pPr>
              <w:pStyle w:val="List"/>
              <w:rPr>
                <w:lang w:val="en-NZ"/>
              </w:rPr>
            </w:pPr>
            <w:r w:rsidRPr="00967638">
              <w:t>6</w:t>
            </w:r>
            <w:r w:rsidRPr="00967638">
              <w:tab/>
              <w:t>Identify battery-o</w:t>
            </w:r>
            <w:r w:rsidRPr="00967638">
              <w:t>perated smoke alarms</w:t>
            </w:r>
          </w:p>
        </w:tc>
        <w:tc>
          <w:tcPr>
            <w:tcW w:w="5010" w:type="dxa"/>
            <w:gridSpan w:val="2"/>
            <w:tcBorders>
              <w:top w:val="nil"/>
              <w:left w:val="nil"/>
              <w:bottom w:val="nil"/>
              <w:right w:val="nil"/>
            </w:tcBorders>
            <w:tcMar>
              <w:top w:w="0" w:type="dxa"/>
              <w:left w:w="62" w:type="dxa"/>
              <w:bottom w:w="0" w:type="dxa"/>
              <w:right w:w="62" w:type="dxa"/>
            </w:tcMar>
          </w:tcPr>
          <w:p w:rsidR="00000000" w:rsidP="00967638">
            <w:pPr>
              <w:pStyle w:val="List"/>
              <w:rPr>
                <w:lang w:val="en-NZ"/>
              </w:rPr>
            </w:pPr>
            <w:r w:rsidRPr="00967638">
              <w:t>6.1</w:t>
            </w:r>
            <w:r w:rsidRPr="00967638">
              <w:tab/>
              <w:t xml:space="preserve">Identify </w:t>
            </w:r>
            <w:r w:rsidRPr="00967638">
              <w:rPr>
                <w:rStyle w:val="Emphasis"/>
              </w:rPr>
              <w:t>battery</w:t>
            </w:r>
            <w:r w:rsidRPr="00967638">
              <w:t>-</w:t>
            </w:r>
            <w:r w:rsidRPr="00967638">
              <w:rPr>
                <w:rStyle w:val="Emphasis"/>
              </w:rPr>
              <w:t>operated smoke alarms</w:t>
            </w:r>
            <w:r w:rsidRPr="00967638">
              <w:t xml:space="preserve"> according to purpose of use and location</w:t>
            </w:r>
          </w:p>
        </w:tc>
      </w:tr>
      <w:tr w:rsidTr="00F44D60">
        <w:tblPrEx>
          <w:tblW w:w="0" w:type="auto"/>
          <w:tblLayout w:type="fixed"/>
          <w:tblCellMar>
            <w:left w:w="62" w:type="dxa"/>
            <w:right w:w="62" w:type="dxa"/>
          </w:tblCellMar>
          <w:tblLook w:val="0000"/>
        </w:tblPrEx>
        <w:trPr>
          <w:gridAfter w:val="1"/>
          <w:wAfter w:w="25" w:type="dxa"/>
        </w:trPr>
        <w:tc>
          <w:tcPr>
            <w:tcW w:w="3720" w:type="dxa"/>
            <w:tcBorders>
              <w:top w:val="nil"/>
              <w:left w:val="nil"/>
              <w:bottom w:val="nil"/>
              <w:right w:val="nil"/>
            </w:tcBorders>
            <w:tcMar>
              <w:top w:w="0" w:type="dxa"/>
              <w:left w:w="62" w:type="dxa"/>
              <w:bottom w:w="0" w:type="dxa"/>
              <w:right w:w="62" w:type="dxa"/>
            </w:tcMar>
          </w:tcPr>
          <w:p w:rsidR="00000000" w:rsidP="00967638">
            <w:pPr>
              <w:pStyle w:val="List"/>
              <w:rPr>
                <w:lang w:val="en-NZ"/>
              </w:rPr>
            </w:pPr>
            <w:r w:rsidRPr="00967638">
              <w:t>7</w:t>
            </w:r>
            <w:r w:rsidRPr="00967638">
              <w:tab/>
              <w:t xml:space="preserve">Identify fire and smoke doors </w:t>
            </w:r>
          </w:p>
        </w:tc>
        <w:tc>
          <w:tcPr>
            <w:tcW w:w="5010" w:type="dxa"/>
            <w:gridSpan w:val="2"/>
            <w:tcBorders>
              <w:top w:val="nil"/>
              <w:left w:val="nil"/>
              <w:bottom w:val="nil"/>
              <w:right w:val="nil"/>
            </w:tcBorders>
            <w:tcMar>
              <w:top w:w="0" w:type="dxa"/>
              <w:left w:w="62" w:type="dxa"/>
              <w:bottom w:w="0" w:type="dxa"/>
              <w:right w:w="62" w:type="dxa"/>
            </w:tcMar>
          </w:tcPr>
          <w:p w:rsidR="00000000" w:rsidP="00967638">
            <w:pPr>
              <w:pStyle w:val="List"/>
              <w:rPr>
                <w:lang w:val="en-NZ"/>
              </w:rPr>
            </w:pPr>
            <w:r w:rsidRPr="00967638">
              <w:t>7.1</w:t>
            </w:r>
            <w:r w:rsidRPr="00967638">
              <w:tab/>
              <w:t xml:space="preserve">Identify </w:t>
            </w:r>
            <w:r w:rsidRPr="00967638">
              <w:rPr>
                <w:rStyle w:val="Emphasis"/>
              </w:rPr>
              <w:t>fire and smoke doors</w:t>
            </w:r>
            <w:r w:rsidRPr="00967638">
              <w:t xml:space="preserve"> according to purpose of use </w:t>
            </w:r>
          </w:p>
        </w:tc>
      </w:tr>
      <w:tr w:rsidTr="00F44D60">
        <w:tblPrEx>
          <w:tblW w:w="0" w:type="auto"/>
          <w:tblLayout w:type="fixed"/>
          <w:tblCellMar>
            <w:left w:w="62" w:type="dxa"/>
            <w:right w:w="62" w:type="dxa"/>
          </w:tblCellMar>
          <w:tblLook w:val="0000"/>
        </w:tblPrEx>
        <w:trPr>
          <w:gridAfter w:val="1"/>
          <w:wAfter w:w="25" w:type="dxa"/>
        </w:trPr>
        <w:tc>
          <w:tcPr>
            <w:tcW w:w="3720" w:type="dxa"/>
            <w:tcBorders>
              <w:top w:val="nil"/>
              <w:left w:val="nil"/>
              <w:bottom w:val="nil"/>
              <w:right w:val="nil"/>
            </w:tcBorders>
            <w:tcMar>
              <w:top w:w="0" w:type="dxa"/>
              <w:left w:w="62" w:type="dxa"/>
              <w:bottom w:w="0" w:type="dxa"/>
              <w:right w:w="62" w:type="dxa"/>
            </w:tcMar>
          </w:tcPr>
          <w:p w:rsidR="00000000" w:rsidP="00967638">
            <w:pPr>
              <w:pStyle w:val="List"/>
              <w:rPr>
                <w:lang w:val="en-NZ"/>
              </w:rPr>
            </w:pPr>
            <w:r w:rsidRPr="00967638">
              <w:t>8</w:t>
            </w:r>
            <w:r w:rsidRPr="00967638">
              <w:tab/>
              <w:t>Identify fire pump sets</w:t>
            </w:r>
          </w:p>
        </w:tc>
        <w:tc>
          <w:tcPr>
            <w:tcW w:w="5010" w:type="dxa"/>
            <w:gridSpan w:val="2"/>
            <w:tcBorders>
              <w:top w:val="nil"/>
              <w:left w:val="nil"/>
              <w:bottom w:val="nil"/>
              <w:right w:val="nil"/>
            </w:tcBorders>
            <w:tcMar>
              <w:top w:w="0" w:type="dxa"/>
              <w:left w:w="62" w:type="dxa"/>
              <w:bottom w:w="0" w:type="dxa"/>
              <w:right w:w="62" w:type="dxa"/>
            </w:tcMar>
          </w:tcPr>
          <w:p w:rsidR="00000000" w:rsidP="00967638">
            <w:pPr>
              <w:pStyle w:val="List"/>
              <w:rPr>
                <w:lang w:val="en-NZ"/>
              </w:rPr>
            </w:pPr>
            <w:r w:rsidRPr="00967638">
              <w:t>8.1</w:t>
            </w:r>
            <w:r w:rsidRPr="00967638">
              <w:tab/>
              <w:t xml:space="preserve">Identify </w:t>
            </w:r>
            <w:r w:rsidRPr="00967638">
              <w:rPr>
                <w:rStyle w:val="Emphasis"/>
              </w:rPr>
              <w:t>fire pump sets</w:t>
            </w:r>
            <w:r w:rsidRPr="00967638">
              <w:t xml:space="preserve"> according to purpose of use</w:t>
            </w:r>
          </w:p>
        </w:tc>
      </w:tr>
      <w:tr w:rsidTr="00F44D60">
        <w:tblPrEx>
          <w:tblW w:w="0" w:type="auto"/>
          <w:tblLayout w:type="fixed"/>
          <w:tblCellMar>
            <w:left w:w="62" w:type="dxa"/>
            <w:right w:w="62" w:type="dxa"/>
          </w:tblCellMar>
          <w:tblLook w:val="0000"/>
        </w:tblPrEx>
        <w:trPr>
          <w:gridAfter w:val="1"/>
          <w:wAfter w:w="25" w:type="dxa"/>
        </w:trPr>
        <w:tc>
          <w:tcPr>
            <w:tcW w:w="3720" w:type="dxa"/>
            <w:tcBorders>
              <w:top w:val="nil"/>
              <w:left w:val="nil"/>
              <w:bottom w:val="nil"/>
              <w:right w:val="nil"/>
            </w:tcBorders>
            <w:tcMar>
              <w:top w:w="0" w:type="dxa"/>
              <w:left w:w="62" w:type="dxa"/>
              <w:bottom w:w="0" w:type="dxa"/>
              <w:right w:w="62" w:type="dxa"/>
            </w:tcMar>
          </w:tcPr>
          <w:p w:rsidR="00000000" w:rsidP="00967638">
            <w:pPr>
              <w:pStyle w:val="List"/>
              <w:rPr>
                <w:lang w:val="en-NZ"/>
              </w:rPr>
            </w:pPr>
            <w:r w:rsidRPr="00967638">
              <w:t>9</w:t>
            </w:r>
            <w:r w:rsidRPr="00967638">
              <w:tab/>
              <w:t>Identify automatic fire suppression, detection and alarm system equipment</w:t>
            </w:r>
          </w:p>
        </w:tc>
        <w:tc>
          <w:tcPr>
            <w:tcW w:w="5010" w:type="dxa"/>
            <w:gridSpan w:val="2"/>
            <w:tcBorders>
              <w:top w:val="nil"/>
              <w:left w:val="nil"/>
              <w:bottom w:val="nil"/>
              <w:right w:val="nil"/>
            </w:tcBorders>
            <w:tcMar>
              <w:top w:w="0" w:type="dxa"/>
              <w:left w:w="62" w:type="dxa"/>
              <w:bottom w:w="0" w:type="dxa"/>
              <w:right w:w="62" w:type="dxa"/>
            </w:tcMar>
          </w:tcPr>
          <w:p w:rsidR="00000000" w:rsidRPr="00967638" w:rsidP="00967638">
            <w:pPr>
              <w:pStyle w:val="List"/>
            </w:pPr>
            <w:r w:rsidRPr="00967638">
              <w:t>9.1</w:t>
            </w:r>
            <w:r w:rsidRPr="00967638">
              <w:tab/>
              <w:t xml:space="preserve">Identify </w:t>
            </w:r>
            <w:r w:rsidRPr="00967638">
              <w:rPr>
                <w:rStyle w:val="Emphasis"/>
              </w:rPr>
              <w:t>automatic fire suppression</w:t>
            </w:r>
            <w:r w:rsidRPr="00967638">
              <w:t xml:space="preserve">, </w:t>
            </w:r>
            <w:r w:rsidRPr="00967638">
              <w:rPr>
                <w:rStyle w:val="Emphasis"/>
              </w:rPr>
              <w:t>detection and alarm system equipment</w:t>
            </w:r>
            <w:r w:rsidRPr="00967638">
              <w:t xml:space="preserve"> according to purpose of use</w:t>
            </w:r>
          </w:p>
        </w:tc>
      </w:tr>
    </w:tbl>
    <w:p w:rsidR="00F44D60" w:rsidP="00967638">
      <w:pPr>
        <w:pStyle w:val="BodyText"/>
      </w:pPr>
    </w:p>
    <w:p w:rsidR="00F44D60" w:rsidP="00967638">
      <w:pPr>
        <w:pStyle w:val="BodyText"/>
      </w:pPr>
    </w:p>
    <w:p w:rsidR="00000000" w:rsidRPr="00967638" w:rsidP="00967638">
      <w:pPr>
        <w:pStyle w:val="Heading1"/>
      </w:pPr>
      <w:bookmarkStart w:id="9" w:name="O_293705"/>
      <w:bookmarkEnd w:id="9"/>
      <w:r w:rsidRPr="00967638">
        <w:t>Required Skills and Know</w:t>
      </w:r>
      <w:r w:rsidRPr="00967638">
        <w:t>ledge</w:t>
      </w:r>
    </w:p>
    <w:p w:rsidR="00000000" w:rsidRPr="00967638" w:rsidP="00967638">
      <w:pPr>
        <w:pStyle w:val="BodyText"/>
      </w:pPr>
      <w:r w:rsidRPr="00967638">
        <w:t>Refer to Evidence Guide</w:t>
      </w:r>
    </w:p>
    <w:p w:rsidR="00000000" w:rsidRPr="00967638" w:rsidP="00967638">
      <w:pPr>
        <w:pStyle w:val="AllowPageBreak"/>
      </w:pPr>
    </w:p>
    <w:p w:rsidR="00000000" w:rsidRPr="00967638" w:rsidP="00967638">
      <w:pPr>
        <w:pStyle w:val="Heading1"/>
      </w:pPr>
      <w:bookmarkStart w:id="10" w:name="O_245596"/>
      <w:bookmarkEnd w:id="10"/>
      <w:r w:rsidRPr="00967638">
        <w:t>Evidence Guide</w:t>
      </w:r>
    </w:p>
    <w:p w:rsidR="00000000" w:rsidRPr="00967638" w:rsidP="00967638">
      <w:pPr>
        <w:pStyle w:val="BodyText"/>
      </w:pPr>
      <w:r w:rsidRPr="00967638">
        <w:rPr>
          <w:rStyle w:val="SpecialBold"/>
        </w:rPr>
        <w:t>EVIDENCE GUIDE</w:t>
      </w:r>
    </w:p>
    <w:p w:rsidR="00000000" w:rsidRPr="00967638" w:rsidP="00967638">
      <w:pPr>
        <w:pStyle w:val="BodyText"/>
      </w:pPr>
      <w:r w:rsidRPr="00967638">
        <w:rPr>
          <w:rStyle w:val="SpecialBold"/>
        </w:rPr>
        <w:t>Knowledge needed to achieve the performance criteria</w:t>
      </w:r>
    </w:p>
    <w:p w:rsidR="00000000" w:rsidRPr="00967638" w:rsidP="00967638">
      <w:pPr>
        <w:pStyle w:val="BodyText"/>
      </w:pPr>
      <w:r w:rsidRPr="00967638">
        <w:t>Knowledge and understanding are essential to apply this unit of competency in the workplace, to transfer the skills to other contexts, and to deal with unplanned events. The knowledge requirements for this unit are listed below.</w:t>
      </w:r>
    </w:p>
    <w:p w:rsidR="00000000" w:rsidRPr="00967638" w:rsidP="00967638">
      <w:pPr>
        <w:pStyle w:val="ListBullet"/>
      </w:pPr>
      <w:r w:rsidRPr="00967638">
        <w:t xml:space="preserve">Definition and purpose of </w:t>
      </w:r>
      <w:r w:rsidRPr="00967638">
        <w:t>portable and wheeled fire extinguishers.</w:t>
      </w:r>
    </w:p>
    <w:p w:rsidR="00000000" w:rsidRPr="00967638" w:rsidP="00967638">
      <w:pPr>
        <w:pStyle w:val="ListBullet"/>
      </w:pPr>
      <w:r w:rsidRPr="00967638">
        <w:t>Purpose of pictographs.</w:t>
      </w:r>
    </w:p>
    <w:p w:rsidR="00000000" w:rsidRPr="00967638" w:rsidP="00967638">
      <w:pPr>
        <w:pStyle w:val="ListBullet"/>
      </w:pPr>
      <w:r w:rsidRPr="00967638">
        <w:t>Purpose and range of the Australian colour-coding system for wheeled and portable fire extinguishers.</w:t>
      </w:r>
    </w:p>
    <w:p w:rsidR="00000000" w:rsidRPr="00967638" w:rsidP="00967638">
      <w:pPr>
        <w:pStyle w:val="ListBullet"/>
      </w:pPr>
      <w:r w:rsidRPr="00967638">
        <w:t>Purpose of hose reels, delivery lay flat fire hoses, fire blankets and smoke alarms (battery-operated).</w:t>
      </w:r>
    </w:p>
    <w:p w:rsidR="00000000" w:rsidRPr="00967638" w:rsidP="00967638">
      <w:pPr>
        <w:pStyle w:val="ListBullet"/>
      </w:pPr>
      <w:r w:rsidRPr="00967638">
        <w:t>Purpose and types of fire hydrant system components.</w:t>
      </w:r>
    </w:p>
    <w:p w:rsidR="00000000" w:rsidRPr="00967638" w:rsidP="00967638">
      <w:pPr>
        <w:pStyle w:val="ListBullet"/>
      </w:pPr>
      <w:r w:rsidRPr="00967638">
        <w:t>Purpose and type of fire pump sets.</w:t>
      </w:r>
    </w:p>
    <w:p w:rsidR="00000000" w:rsidRPr="00967638" w:rsidP="00967638">
      <w:pPr>
        <w:pStyle w:val="ListBullet"/>
      </w:pPr>
      <w:r w:rsidRPr="00967638">
        <w:t>Purpose and types of automatic fire suppression systems</w:t>
      </w:r>
    </w:p>
    <w:p w:rsidR="00000000" w:rsidRPr="00967638" w:rsidP="00967638">
      <w:pPr>
        <w:pStyle w:val="ListBullet"/>
      </w:pPr>
      <w:r w:rsidRPr="00967638">
        <w:t>Purpose</w:t>
      </w:r>
      <w:r w:rsidRPr="00967638">
        <w:t xml:space="preserve"> and type of detection and alarm systems.</w:t>
      </w:r>
    </w:p>
    <w:p w:rsidR="00000000" w:rsidRPr="00967638" w:rsidP="00967638">
      <w:pPr>
        <w:pStyle w:val="ListBullet"/>
      </w:pPr>
      <w:r w:rsidRPr="00967638">
        <w:t>Purpose and types of hinged and non-hinged smoke and fire doors.</w:t>
      </w:r>
    </w:p>
    <w:p w:rsidR="00000000" w:rsidRPr="00967638" w:rsidP="00967638">
      <w:pPr>
        <w:pStyle w:val="ListBullet"/>
      </w:pPr>
      <w:r w:rsidRPr="00967638">
        <w:t>Awareness of other types of non-battery powered smoke alarms.</w:t>
      </w:r>
    </w:p>
    <w:p w:rsidR="00000000" w:rsidRPr="00967638" w:rsidP="00967638">
      <w:pPr>
        <w:pStyle w:val="BodyText"/>
      </w:pPr>
      <w:r w:rsidRPr="00967638">
        <w:rPr>
          <w:rStyle w:val="SpecialBold"/>
        </w:rPr>
        <w:t>Specific skills needed to achieve the performance criteria</w:t>
      </w:r>
    </w:p>
    <w:p w:rsidR="00000000" w:rsidRPr="00967638" w:rsidP="00967638">
      <w:pPr>
        <w:pStyle w:val="BodyText"/>
      </w:pPr>
      <w:r w:rsidRPr="00967638">
        <w:t>To achieve the performance c</w:t>
      </w:r>
      <w:r w:rsidRPr="00967638">
        <w:t>riteria, some complementary skills are required. These relate to the ability to:</w:t>
      </w:r>
    </w:p>
    <w:p w:rsidR="00000000" w:rsidRPr="00967638" w:rsidP="00967638">
      <w:pPr>
        <w:pStyle w:val="ListBullet"/>
      </w:pPr>
      <w:r w:rsidRPr="00967638">
        <w:t>use effective and appropriate questioning/listening techniques</w:t>
      </w:r>
    </w:p>
    <w:p w:rsidR="00000000" w:rsidRPr="00967638" w:rsidP="00967638">
      <w:pPr>
        <w:pStyle w:val="ListBullet"/>
      </w:pPr>
      <w:r w:rsidRPr="00967638">
        <w:t>recognise, analyse and identify portable fire equipment products and fixed automatic fire systems equipment</w:t>
      </w:r>
    </w:p>
    <w:p w:rsidR="00000000" w:rsidRPr="00967638" w:rsidP="00967638">
      <w:pPr>
        <w:pStyle w:val="ListBullet"/>
      </w:pPr>
      <w:r w:rsidRPr="00967638">
        <w:t>app</w:t>
      </w:r>
      <w:r w:rsidRPr="00967638">
        <w:t>ly language, literacy and numeracy skills to:</w:t>
      </w:r>
    </w:p>
    <w:p w:rsidR="00000000" w:rsidRPr="00967638" w:rsidP="00967638">
      <w:pPr>
        <w:pStyle w:val="ListBullet2"/>
      </w:pPr>
      <w:r w:rsidRPr="00967638">
        <w:t>communicate with others in a clear and concise manner in both written and verbal modes</w:t>
      </w:r>
    </w:p>
    <w:p w:rsidR="00000000" w:rsidRPr="00967638" w:rsidP="00967638">
      <w:pPr>
        <w:pStyle w:val="ListBullet2"/>
      </w:pPr>
      <w:r w:rsidRPr="00967638">
        <w:t>read, understand and comply with work instructions/specifications</w:t>
      </w:r>
    </w:p>
    <w:p w:rsidR="00000000" w:rsidRPr="00967638" w:rsidP="00967638">
      <w:pPr>
        <w:pStyle w:val="ListBullet2"/>
      </w:pPr>
      <w:r w:rsidRPr="00967638">
        <w:t>read, understand and record measurements.</w:t>
      </w:r>
    </w:p>
    <w:p w:rsidR="00000000" w:rsidRPr="00967638" w:rsidP="00967638">
      <w:pPr>
        <w:pStyle w:val="BodyText"/>
      </w:pPr>
      <w:r w:rsidRPr="00967638">
        <w:rPr>
          <w:rStyle w:val="SpecialBold"/>
        </w:rPr>
        <w:t>Other units of competency that could be assessed with this unit</w:t>
      </w:r>
    </w:p>
    <w:p w:rsidR="00000000" w:rsidRPr="00967638" w:rsidP="00967638">
      <w:pPr>
        <w:pStyle w:val="BodyText"/>
      </w:pPr>
      <w:r w:rsidRPr="00967638">
        <w:t>Competency in this unit underpins competency in other aspects of servicing fire protection equipment. This unit of competency is a prerequisite for the following technical fire protection unit</w:t>
      </w:r>
      <w:r w:rsidRPr="00967638">
        <w:t>s in the PRM04 Asset Maintenance Training Package:</w:t>
      </w:r>
    </w:p>
    <w:p w:rsidR="00000000" w:rsidRPr="00967638" w:rsidP="00967638">
      <w:pPr>
        <w:pStyle w:val="ListBullet"/>
      </w:pPr>
      <w:r w:rsidRPr="00967638">
        <w:t>PRMPFES09B Service portable fire extinguishers and fire blankets in the field</w:t>
      </w:r>
    </w:p>
    <w:p w:rsidR="00000000" w:rsidRPr="00967638" w:rsidP="00967638">
      <w:pPr>
        <w:pStyle w:val="ListBullet"/>
      </w:pPr>
      <w:r w:rsidRPr="00967638">
        <w:t>PRMPFES10B Inspect, test and replace fire hose reels in the field</w:t>
      </w:r>
    </w:p>
    <w:p w:rsidR="00000000" w:rsidRPr="00967638" w:rsidP="00967638">
      <w:pPr>
        <w:pStyle w:val="ListBullet"/>
      </w:pPr>
      <w:r w:rsidRPr="00967638">
        <w:t>PRMPFES11B Install portable fire extinguishers, fire blanket</w:t>
      </w:r>
      <w:r w:rsidRPr="00967638">
        <w:t>s and battery powered smoke alarms</w:t>
      </w:r>
    </w:p>
    <w:p w:rsidR="00000000" w:rsidRPr="00967638" w:rsidP="00967638">
      <w:pPr>
        <w:pStyle w:val="ListBullet"/>
      </w:pPr>
      <w:r w:rsidRPr="00967638">
        <w:t>PRMPFES14C Service portable fire extinguishers in the workshop</w:t>
      </w:r>
    </w:p>
    <w:p w:rsidR="00000000" w:rsidRPr="00967638" w:rsidP="00967638">
      <w:pPr>
        <w:pStyle w:val="ListBullet"/>
      </w:pPr>
      <w:r w:rsidRPr="00967638">
        <w:t>PRMPFES15B Service delivery lay flat fire hoses in the workshop</w:t>
      </w:r>
    </w:p>
    <w:p w:rsidR="00000000" w:rsidRPr="00967638" w:rsidP="00967638">
      <w:pPr>
        <w:pStyle w:val="ListBullet"/>
      </w:pPr>
      <w:r w:rsidRPr="00967638">
        <w:t>PRMPFES16B Inspect and service delivery lay flat fire hoses and nozzles in the field</w:t>
      </w:r>
    </w:p>
    <w:p w:rsidR="00000000" w:rsidRPr="00967638" w:rsidP="00967638">
      <w:pPr>
        <w:pStyle w:val="ListBullet"/>
      </w:pPr>
      <w:r w:rsidRPr="00967638">
        <w:t>PRMPFES19</w:t>
      </w:r>
      <w:r w:rsidRPr="00967638">
        <w:t>B Install and service portable foam liquid proportioning equipment</w:t>
      </w:r>
    </w:p>
    <w:p w:rsidR="00000000" w:rsidRPr="00967638" w:rsidP="00967638">
      <w:pPr>
        <w:pStyle w:val="ListBullet"/>
      </w:pPr>
      <w:r w:rsidRPr="00967638">
        <w:t>PRMPFES20B Service wheeled fire extinguishers in the field</w:t>
      </w:r>
    </w:p>
    <w:p w:rsidR="00000000" w:rsidRPr="00967638" w:rsidP="00967638">
      <w:pPr>
        <w:pStyle w:val="ListBullet"/>
      </w:pPr>
      <w:r w:rsidRPr="00967638">
        <w:t>PRMPFES21C Service wheeled fire extinguishers in the workshop</w:t>
      </w:r>
    </w:p>
    <w:p w:rsidR="00000000" w:rsidRPr="00967638" w:rsidP="00967638">
      <w:pPr>
        <w:pStyle w:val="ListBullet"/>
      </w:pPr>
      <w:r w:rsidRPr="00967638">
        <w:t>PRMPFES37A Inspect and maintain fire hydrants</w:t>
      </w:r>
    </w:p>
    <w:p w:rsidR="00000000" w:rsidRPr="00967638" w:rsidP="00967638">
      <w:pPr>
        <w:pStyle w:val="ListBullet"/>
      </w:pPr>
      <w:r w:rsidRPr="00967638">
        <w:t>PRMPFES38A Inspect and maintain portable fire monitors.</w:t>
      </w:r>
    </w:p>
    <w:p w:rsidR="00000000" w:rsidRPr="00967638" w:rsidP="00967638">
      <w:pPr>
        <w:pStyle w:val="BodyText"/>
      </w:pPr>
      <w:r w:rsidRPr="00967638">
        <w:t>This unit could be assessed on its own or in combination with other competencies relevant to the job function, for example:</w:t>
      </w:r>
    </w:p>
    <w:p w:rsidR="00000000" w:rsidRPr="00967638" w:rsidP="00967638">
      <w:pPr>
        <w:pStyle w:val="ListBullet"/>
      </w:pPr>
      <w:r w:rsidRPr="00967638">
        <w:t>PRMPFES05B Use portable fire fighting equipment</w:t>
      </w:r>
    </w:p>
    <w:p w:rsidR="00000000" w:rsidRPr="00967638" w:rsidP="00967638">
      <w:pPr>
        <w:pStyle w:val="ListBullet"/>
      </w:pPr>
      <w:r w:rsidRPr="00967638">
        <w:t xml:space="preserve"> PRMPFES06C Prepare for ins</w:t>
      </w:r>
      <w:r w:rsidRPr="00967638">
        <w:t>tallation and servicing operations.</w:t>
      </w:r>
    </w:p>
    <w:p w:rsidR="00000000" w:rsidRPr="00967638" w:rsidP="00967638">
      <w:pPr>
        <w:pStyle w:val="BodyText"/>
      </w:pPr>
      <w:r w:rsidRPr="00967638">
        <w:rPr>
          <w:rStyle w:val="SpecialBold"/>
        </w:rPr>
        <w:t>Resources required to assess this unit</w:t>
      </w:r>
    </w:p>
    <w:p w:rsidR="00000000" w:rsidRPr="00967638" w:rsidP="00967638">
      <w:pPr>
        <w:pStyle w:val="BodyText"/>
      </w:pPr>
      <w:r w:rsidRPr="00967638">
        <w:t>The candidate and the assessor should have access to the appropriate documentation and resources normally utilised in the workplace. This includes access to:</w:t>
      </w:r>
    </w:p>
    <w:p w:rsidR="00000000" w:rsidRPr="00967638" w:rsidP="00967638">
      <w:pPr>
        <w:pStyle w:val="ListBullet"/>
      </w:pPr>
      <w:r w:rsidRPr="00967638">
        <w:t>an actual or simulated</w:t>
      </w:r>
      <w:r w:rsidRPr="00967638">
        <w:t xml:space="preserve"> work environment</w:t>
      </w:r>
    </w:p>
    <w:p w:rsidR="00000000" w:rsidRPr="00967638" w:rsidP="00967638">
      <w:pPr>
        <w:pStyle w:val="ListBullet"/>
      </w:pPr>
      <w:r w:rsidRPr="00967638">
        <w:t>product examples or clear photographs/drawings of relevant products</w:t>
      </w:r>
    </w:p>
    <w:p w:rsidR="00000000" w:rsidRPr="00967638" w:rsidP="00967638">
      <w:pPr>
        <w:pStyle w:val="ListBullet"/>
      </w:pPr>
      <w:r w:rsidRPr="00967638">
        <w:t>assessment documentation</w:t>
      </w:r>
    </w:p>
    <w:p w:rsidR="00000000" w:rsidRPr="00967638" w:rsidP="00967638">
      <w:pPr>
        <w:pStyle w:val="ListBullet"/>
      </w:pPr>
      <w:r w:rsidRPr="00967638">
        <w:t>training and assessment record book.</w:t>
      </w:r>
    </w:p>
    <w:p w:rsidR="00000000" w:rsidRPr="00967638" w:rsidP="00967638">
      <w:pPr>
        <w:pStyle w:val="BodyText"/>
      </w:pPr>
      <w:r w:rsidRPr="00967638">
        <w:rPr>
          <w:rStyle w:val="SpecialBold"/>
        </w:rPr>
        <w:t>Gaining evidence to assess this unit</w:t>
      </w:r>
    </w:p>
    <w:p w:rsidR="00000000" w:rsidRPr="00967638" w:rsidP="00967638">
      <w:pPr>
        <w:pStyle w:val="BodyText"/>
      </w:pPr>
      <w:r w:rsidRPr="00967638">
        <w:t>For valid and reliable assessment of this unit, the competency should b</w:t>
      </w:r>
      <w:r w:rsidRPr="00967638">
        <w:t>e demonstrated over a period of time and be observed by the assessor (or assessment team working together to conduct the assessment). The competency is to be demonstrated in a range of situations, which may include customer/workplace interruptions and invo</w:t>
      </w:r>
      <w:r w:rsidRPr="00967638">
        <w:t>lvement in related activities normally experienced in the workplace.</w:t>
      </w:r>
    </w:p>
    <w:p w:rsidR="00000000" w:rsidRPr="00967638" w:rsidP="00967638">
      <w:pPr>
        <w:pStyle w:val="BodyText"/>
      </w:pPr>
      <w:r w:rsidRPr="00967638">
        <w:t>Assessment of underpinning knowledge is best obtained by either oral questioning or a written assessment. (In both assessment methods the questions should be identical in context.)</w:t>
      </w:r>
    </w:p>
    <w:p w:rsidR="00000000" w:rsidRPr="00967638" w:rsidP="00967638">
      <w:pPr>
        <w:pStyle w:val="BodyText"/>
      </w:pPr>
      <w:r w:rsidRPr="00967638">
        <w:t>Eviden</w:t>
      </w:r>
      <w:r w:rsidRPr="00967638">
        <w:t>ce of competency is based on the candidate's ability to identify and explain the purpose of each item described in the range statement.</w:t>
      </w:r>
    </w:p>
    <w:p w:rsidR="00000000" w:rsidRPr="00967638" w:rsidP="00967638">
      <w:pPr>
        <w:pStyle w:val="BodyText"/>
      </w:pPr>
      <w:r w:rsidRPr="00967638">
        <w:t>Assessment may be conducted in any environment that conforms to the basic principles of assessment (flexible, fair, etc)</w:t>
      </w:r>
      <w:r w:rsidRPr="00967638">
        <w:t>.</w:t>
      </w:r>
    </w:p>
    <w:p w:rsidR="00000000" w:rsidRPr="00967638" w:rsidP="00967638">
      <w:pPr>
        <w:pStyle w:val="BodyText"/>
      </w:pPr>
      <w:r w:rsidRPr="00967638">
        <w:t>Performance and assessment of this unit must be carried out within the relevant requirements of the following legislative and industry framework:</w:t>
      </w:r>
    </w:p>
    <w:p w:rsidR="00000000" w:rsidRPr="00967638" w:rsidP="00967638">
      <w:pPr>
        <w:pStyle w:val="ListBullet"/>
      </w:pPr>
      <w:r w:rsidRPr="00967638">
        <w:t>building Acts/regulations/codes</w:t>
      </w:r>
    </w:p>
    <w:p w:rsidR="00000000" w:rsidRPr="00967638" w:rsidP="00967638">
      <w:pPr>
        <w:pStyle w:val="ListBullet"/>
      </w:pPr>
      <w:r w:rsidRPr="00967638">
        <w:t>Australian Standards identified as relevant</w:t>
      </w:r>
    </w:p>
    <w:p w:rsidR="00000000" w:rsidRPr="00967638" w:rsidP="00967638">
      <w:pPr>
        <w:pStyle w:val="ListBullet"/>
      </w:pPr>
      <w:r w:rsidRPr="00967638">
        <w:t>environmental regulations</w:t>
      </w:r>
    </w:p>
    <w:p w:rsidR="00000000" w:rsidRPr="00967638" w:rsidP="00967638">
      <w:pPr>
        <w:pStyle w:val="ListBullet"/>
      </w:pPr>
      <w:r w:rsidRPr="00967638">
        <w:t>manuf</w:t>
      </w:r>
      <w:r w:rsidRPr="00967638">
        <w:t>acturers' specifications</w:t>
      </w:r>
    </w:p>
    <w:p w:rsidR="00000000" w:rsidRPr="00967638" w:rsidP="00967638">
      <w:pPr>
        <w:pStyle w:val="ListBullet"/>
      </w:pPr>
      <w:r w:rsidRPr="00967638">
        <w:t>organisational requirements, including OHS policies and procedures</w:t>
      </w:r>
    </w:p>
    <w:p w:rsidR="00000000" w:rsidRPr="00967638" w:rsidP="00967638">
      <w:pPr>
        <w:pStyle w:val="ListBullet"/>
      </w:pPr>
      <w:r w:rsidRPr="00967638">
        <w:t>OHS legislation, codes and regulations.</w:t>
      </w:r>
    </w:p>
    <w:p w:rsidR="00000000" w:rsidRPr="00967638" w:rsidP="00967638">
      <w:pPr>
        <w:pStyle w:val="BodyText"/>
      </w:pPr>
      <w:r w:rsidRPr="00967638">
        <w:rPr>
          <w:rStyle w:val="SpecialBold"/>
        </w:rPr>
        <w:t>Key competency levels</w:t>
      </w:r>
    </w:p>
    <w:p w:rsidR="00000000" w:rsidRPr="00967638" w:rsidP="00967638">
      <w:pPr>
        <w:pStyle w:val="BodyText"/>
      </w:pPr>
      <w:r w:rsidRPr="00967638">
        <w:t>There are a number of processes learnt throughout work and daily life that are required in all jobs. They are fundamental processes and generally transferable to other work environments. Some of these work processes are covered by the key competencies list</w:t>
      </w:r>
      <w:r w:rsidRPr="00967638">
        <w:t>ed below. Information provided to each question highlights how these processes are applied in this unit of competency.</w:t>
      </w:r>
    </w:p>
    <w:p w:rsidR="00000000" w:rsidRPr="00967638" w:rsidP="00967638">
      <w:pPr>
        <w:pStyle w:val="BodyText"/>
      </w:pPr>
      <w:r w:rsidRPr="00967638">
        <w:t>The number in brackets indicates the level to which the key competency should be demonstrated.</w:t>
      </w:r>
    </w:p>
    <w:tbl>
      <w:tblPr>
        <w:tblW w:w="0" w:type="auto"/>
        <w:tblLayout w:type="fixed"/>
        <w:tblCellMar>
          <w:left w:w="62" w:type="dxa"/>
          <w:right w:w="62" w:type="dxa"/>
        </w:tblCellMar>
        <w:tblLook w:val="0000"/>
      </w:tblPr>
      <w:tblGrid>
        <w:gridCol w:w="273"/>
        <w:gridCol w:w="2535"/>
        <w:gridCol w:w="435"/>
        <w:gridCol w:w="2625"/>
        <w:gridCol w:w="345"/>
        <w:gridCol w:w="2355"/>
        <w:gridCol w:w="360"/>
      </w:tblGrid>
      <w:tr w:rsidTr="00F44D60">
        <w:tblPrEx>
          <w:tblW w:w="0" w:type="auto"/>
          <w:tblLayout w:type="fixed"/>
          <w:tblCellMar>
            <w:left w:w="62" w:type="dxa"/>
            <w:right w:w="62" w:type="dxa"/>
          </w:tblCellMar>
          <w:tblLook w:val="0000"/>
        </w:tblPrEx>
        <w:tc>
          <w:tcPr>
            <w:tcW w:w="273" w:type="dxa"/>
            <w:tcBorders>
              <w:top w:val="nil"/>
              <w:left w:val="nil"/>
              <w:bottom w:val="nil"/>
              <w:right w:val="nil"/>
            </w:tcBorders>
            <w:tcMar>
              <w:top w:w="0" w:type="dxa"/>
              <w:left w:w="62" w:type="dxa"/>
              <w:bottom w:w="0" w:type="dxa"/>
              <w:right w:w="62" w:type="dxa"/>
            </w:tcMar>
          </w:tcPr>
          <w:p w:rsidR="00000000" w:rsidP="00967638">
            <w:pPr>
              <w:pStyle w:val="BodyText"/>
              <w:rPr>
                <w:lang w:val="en-NZ"/>
              </w:rPr>
            </w:pPr>
            <w:r w:rsidRPr="00967638">
              <w:rPr>
                <w:rStyle w:val="SpecialBold"/>
              </w:rPr>
              <w:t>1</w:t>
            </w:r>
          </w:p>
        </w:tc>
        <w:tc>
          <w:tcPr>
            <w:tcW w:w="2535" w:type="dxa"/>
            <w:tcBorders>
              <w:top w:val="nil"/>
              <w:left w:val="nil"/>
              <w:bottom w:val="nil"/>
              <w:right w:val="nil"/>
            </w:tcBorders>
            <w:tcMar>
              <w:top w:w="0" w:type="dxa"/>
              <w:left w:w="62" w:type="dxa"/>
              <w:bottom w:w="0" w:type="dxa"/>
              <w:right w:w="62" w:type="dxa"/>
            </w:tcMar>
          </w:tcPr>
          <w:p w:rsidR="00000000" w:rsidRPr="00967638" w:rsidP="00967638">
            <w:pPr>
              <w:pStyle w:val="BodyText"/>
            </w:pPr>
            <w:r w:rsidRPr="00967638">
              <w:t>Perform the process</w:t>
            </w:r>
          </w:p>
        </w:tc>
        <w:tc>
          <w:tcPr>
            <w:tcW w:w="435" w:type="dxa"/>
            <w:tcBorders>
              <w:top w:val="nil"/>
              <w:left w:val="nil"/>
              <w:bottom w:val="nil"/>
              <w:right w:val="nil"/>
            </w:tcBorders>
            <w:tcMar>
              <w:top w:w="0" w:type="dxa"/>
              <w:left w:w="62" w:type="dxa"/>
              <w:bottom w:w="0" w:type="dxa"/>
              <w:right w:w="62" w:type="dxa"/>
            </w:tcMar>
          </w:tcPr>
          <w:p w:rsidR="00000000" w:rsidP="00967638">
            <w:pPr>
              <w:pStyle w:val="BodyText"/>
              <w:rPr>
                <w:lang w:val="en-NZ"/>
              </w:rPr>
            </w:pPr>
            <w:r w:rsidRPr="00967638">
              <w:rPr>
                <w:rStyle w:val="SpecialBold"/>
              </w:rPr>
              <w:t>2</w:t>
            </w:r>
          </w:p>
        </w:tc>
        <w:tc>
          <w:tcPr>
            <w:tcW w:w="2625" w:type="dxa"/>
            <w:tcBorders>
              <w:top w:val="nil"/>
              <w:left w:val="nil"/>
              <w:bottom w:val="nil"/>
              <w:right w:val="nil"/>
            </w:tcBorders>
            <w:tcMar>
              <w:top w:w="0" w:type="dxa"/>
              <w:left w:w="62" w:type="dxa"/>
              <w:bottom w:w="0" w:type="dxa"/>
              <w:right w:w="62" w:type="dxa"/>
            </w:tcMar>
          </w:tcPr>
          <w:p w:rsidR="00000000" w:rsidRPr="00967638" w:rsidP="00967638">
            <w:pPr>
              <w:pStyle w:val="BodyText"/>
            </w:pPr>
            <w:r w:rsidRPr="00967638">
              <w:t>Perform and admini</w:t>
            </w:r>
            <w:r w:rsidRPr="00967638">
              <w:t>ster the process</w:t>
            </w:r>
          </w:p>
        </w:tc>
        <w:tc>
          <w:tcPr>
            <w:tcW w:w="345" w:type="dxa"/>
            <w:tcBorders>
              <w:top w:val="nil"/>
              <w:left w:val="nil"/>
              <w:bottom w:val="nil"/>
              <w:right w:val="nil"/>
            </w:tcBorders>
            <w:tcMar>
              <w:top w:w="0" w:type="dxa"/>
              <w:left w:w="62" w:type="dxa"/>
              <w:bottom w:w="0" w:type="dxa"/>
              <w:right w:w="62" w:type="dxa"/>
            </w:tcMar>
          </w:tcPr>
          <w:p w:rsidR="00000000" w:rsidP="00967638">
            <w:pPr>
              <w:pStyle w:val="BodyText"/>
              <w:rPr>
                <w:lang w:val="en-NZ"/>
              </w:rPr>
            </w:pPr>
            <w:r w:rsidRPr="00967638">
              <w:rPr>
                <w:rStyle w:val="SpecialBold"/>
              </w:rPr>
              <w:t>3</w:t>
            </w:r>
          </w:p>
        </w:tc>
        <w:tc>
          <w:tcPr>
            <w:tcW w:w="2715" w:type="dxa"/>
            <w:gridSpan w:val="2"/>
            <w:tcBorders>
              <w:top w:val="nil"/>
              <w:left w:val="nil"/>
              <w:bottom w:val="nil"/>
              <w:right w:val="nil"/>
            </w:tcBorders>
            <w:tcMar>
              <w:top w:w="0" w:type="dxa"/>
              <w:left w:w="62" w:type="dxa"/>
              <w:bottom w:w="0" w:type="dxa"/>
              <w:right w:w="62" w:type="dxa"/>
            </w:tcMar>
          </w:tcPr>
          <w:p w:rsidR="00000000" w:rsidP="00967638">
            <w:pPr>
              <w:pStyle w:val="BodyText"/>
              <w:rPr>
                <w:lang w:val="en-NZ"/>
              </w:rPr>
            </w:pPr>
            <w:r w:rsidRPr="00967638">
              <w:t>Perform, administer and design the process</w:t>
            </w:r>
          </w:p>
        </w:tc>
      </w:tr>
      <w:tr w:rsidTr="00F44D60">
        <w:tblPrEx>
          <w:tblW w:w="0" w:type="auto"/>
          <w:tblLayout w:type="fixed"/>
          <w:tblCellMar>
            <w:left w:w="62" w:type="dxa"/>
            <w:right w:w="62" w:type="dxa"/>
          </w:tblCellMar>
          <w:tblLook w:val="0000"/>
        </w:tblPrEx>
        <w:tc>
          <w:tcPr>
            <w:tcW w:w="273"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535"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35"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625"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45"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715" w:type="dxa"/>
            <w:gridSpan w:val="2"/>
            <w:tcBorders>
              <w:top w:val="nil"/>
              <w:left w:val="nil"/>
              <w:bottom w:val="nil"/>
              <w:right w:val="nil"/>
            </w:tcBorders>
            <w:tcMar>
              <w:top w:w="0" w:type="dxa"/>
              <w:left w:w="62" w:type="dxa"/>
              <w:bottom w:w="0" w:type="dxa"/>
              <w:right w:w="62" w:type="dxa"/>
            </w:tcMar>
          </w:tcPr>
          <w:p w:rsidR="00000000" w:rsidP="00967638">
            <w:pPr>
              <w:pStyle w:val="BodyText"/>
              <w:rPr>
                <w:lang w:val="en-NZ"/>
              </w:rPr>
            </w:pPr>
          </w:p>
        </w:tc>
      </w:tr>
      <w:tr w:rsidTr="00F44D60">
        <w:tblPrEx>
          <w:tblW w:w="0" w:type="auto"/>
          <w:tblLayout w:type="fixed"/>
          <w:tblCellMar>
            <w:left w:w="62" w:type="dxa"/>
            <w:right w:w="62" w:type="dxa"/>
          </w:tblCellMar>
          <w:tblLook w:val="0000"/>
        </w:tblPrEx>
        <w:trPr>
          <w:gridAfter w:val="1"/>
          <w:wAfter w:w="360" w:type="dxa"/>
        </w:trPr>
        <w:tc>
          <w:tcPr>
            <w:tcW w:w="3243" w:type="dxa"/>
            <w:gridSpan w:val="3"/>
            <w:tcBorders>
              <w:top w:val="single" w:sz="6" w:space="0" w:color="auto"/>
              <w:left w:val="nil"/>
              <w:bottom w:val="single" w:sz="6" w:space="0" w:color="auto"/>
              <w:right w:val="nil"/>
            </w:tcBorders>
            <w:tcMar>
              <w:top w:w="0" w:type="dxa"/>
              <w:left w:w="62" w:type="dxa"/>
              <w:bottom w:w="0" w:type="dxa"/>
              <w:right w:w="62" w:type="dxa"/>
            </w:tcMar>
          </w:tcPr>
          <w:p w:rsidR="00000000" w:rsidP="00967638">
            <w:pPr>
              <w:pStyle w:val="BodyText"/>
              <w:rPr>
                <w:lang w:val="en-NZ"/>
              </w:rPr>
            </w:pPr>
            <w:r w:rsidRPr="00967638">
              <w:t xml:space="preserve">How can </w:t>
            </w:r>
            <w:r w:rsidRPr="00967638">
              <w:rPr>
                <w:rStyle w:val="SpecialBold"/>
              </w:rPr>
              <w:t>information be collected</w:t>
            </w:r>
            <w:r w:rsidRPr="00967638">
              <w:t xml:space="preserve">, </w:t>
            </w:r>
            <w:r w:rsidRPr="00967638">
              <w:rPr>
                <w:rStyle w:val="SpecialBold"/>
              </w:rPr>
              <w:t>analysed and organised</w:t>
            </w:r>
            <w:r w:rsidRPr="00967638">
              <w:t xml:space="preserve"> (</w:t>
            </w:r>
            <w:r w:rsidRPr="00967638">
              <w:rPr>
                <w:rStyle w:val="SpecialBold"/>
              </w:rPr>
              <w:t>2</w:t>
            </w:r>
            <w:r w:rsidRPr="00967638">
              <w:t>)?</w:t>
            </w:r>
          </w:p>
        </w:tc>
        <w:tc>
          <w:tcPr>
            <w:tcW w:w="5325" w:type="dxa"/>
            <w:gridSpan w:val="3"/>
            <w:tcBorders>
              <w:top w:val="single" w:sz="6" w:space="0" w:color="auto"/>
              <w:left w:val="nil"/>
              <w:bottom w:val="single" w:sz="6" w:space="0" w:color="auto"/>
              <w:right w:val="nil"/>
            </w:tcBorders>
            <w:tcMar>
              <w:top w:w="0" w:type="dxa"/>
              <w:left w:w="62" w:type="dxa"/>
              <w:bottom w:w="0" w:type="dxa"/>
              <w:right w:w="62" w:type="dxa"/>
            </w:tcMar>
          </w:tcPr>
          <w:p w:rsidR="00000000" w:rsidP="00967638">
            <w:pPr>
              <w:pStyle w:val="BodyText"/>
              <w:rPr>
                <w:lang w:val="en-NZ"/>
              </w:rPr>
            </w:pPr>
            <w:r w:rsidRPr="00967638">
              <w:t>Gather information from a number of sources in the process of identifying fire protection equipment</w:t>
            </w:r>
          </w:p>
        </w:tc>
      </w:tr>
      <w:tr w:rsidTr="00F44D60">
        <w:tblPrEx>
          <w:tblW w:w="0" w:type="auto"/>
          <w:tblLayout w:type="fixed"/>
          <w:tblCellMar>
            <w:left w:w="62" w:type="dxa"/>
            <w:right w:w="62" w:type="dxa"/>
          </w:tblCellMar>
          <w:tblLook w:val="0000"/>
        </w:tblPrEx>
        <w:trPr>
          <w:gridAfter w:val="1"/>
          <w:wAfter w:w="360" w:type="dxa"/>
        </w:trPr>
        <w:tc>
          <w:tcPr>
            <w:tcW w:w="3243" w:type="dxa"/>
            <w:gridSpan w:val="3"/>
            <w:tcBorders>
              <w:top w:val="single" w:sz="6" w:space="0" w:color="auto"/>
              <w:left w:val="nil"/>
              <w:bottom w:val="single" w:sz="6" w:space="0" w:color="auto"/>
              <w:right w:val="nil"/>
            </w:tcBorders>
            <w:tcMar>
              <w:top w:w="0" w:type="dxa"/>
              <w:left w:w="62" w:type="dxa"/>
              <w:bottom w:w="0" w:type="dxa"/>
              <w:right w:w="62" w:type="dxa"/>
            </w:tcMar>
          </w:tcPr>
          <w:p w:rsidR="00000000" w:rsidP="00967638">
            <w:pPr>
              <w:pStyle w:val="BodyText"/>
              <w:rPr>
                <w:lang w:val="en-NZ"/>
              </w:rPr>
            </w:pPr>
            <w:r w:rsidRPr="00967638">
              <w:t xml:space="preserve">How can </w:t>
            </w:r>
            <w:r w:rsidRPr="00967638">
              <w:rPr>
                <w:rStyle w:val="SpecialBold"/>
              </w:rPr>
              <w:t>communication of ideas and information</w:t>
            </w:r>
            <w:r w:rsidRPr="00967638">
              <w:t xml:space="preserve"> (</w:t>
            </w:r>
            <w:r w:rsidRPr="00967638">
              <w:rPr>
                <w:rStyle w:val="SpecialBold"/>
              </w:rPr>
              <w:t>1</w:t>
            </w:r>
            <w:r w:rsidRPr="00967638">
              <w:t>) be applied?</w:t>
            </w:r>
          </w:p>
        </w:tc>
        <w:tc>
          <w:tcPr>
            <w:tcW w:w="5325" w:type="dxa"/>
            <w:gridSpan w:val="3"/>
            <w:tcBorders>
              <w:top w:val="single" w:sz="6" w:space="0" w:color="auto"/>
              <w:left w:val="nil"/>
              <w:bottom w:val="single" w:sz="6" w:space="0" w:color="auto"/>
              <w:right w:val="nil"/>
            </w:tcBorders>
            <w:tcMar>
              <w:top w:w="0" w:type="dxa"/>
              <w:left w:w="62" w:type="dxa"/>
              <w:bottom w:w="0" w:type="dxa"/>
              <w:right w:w="62" w:type="dxa"/>
            </w:tcMar>
          </w:tcPr>
          <w:p w:rsidR="00000000" w:rsidP="00967638">
            <w:pPr>
              <w:pStyle w:val="BodyText"/>
              <w:rPr>
                <w:lang w:val="en-NZ"/>
              </w:rPr>
            </w:pPr>
            <w:r w:rsidRPr="00967638">
              <w:t>Discuss identification processes and confirm with colleagues or supervisors compliance with relevant procedures.</w:t>
            </w:r>
          </w:p>
        </w:tc>
      </w:tr>
      <w:tr w:rsidTr="00F44D60">
        <w:tblPrEx>
          <w:tblW w:w="0" w:type="auto"/>
          <w:tblLayout w:type="fixed"/>
          <w:tblCellMar>
            <w:left w:w="62" w:type="dxa"/>
            <w:right w:w="62" w:type="dxa"/>
          </w:tblCellMar>
          <w:tblLook w:val="0000"/>
        </w:tblPrEx>
        <w:trPr>
          <w:gridAfter w:val="1"/>
          <w:wAfter w:w="360" w:type="dxa"/>
        </w:trPr>
        <w:tc>
          <w:tcPr>
            <w:tcW w:w="3243" w:type="dxa"/>
            <w:gridSpan w:val="3"/>
            <w:tcBorders>
              <w:top w:val="single" w:sz="6" w:space="0" w:color="auto"/>
              <w:left w:val="nil"/>
              <w:bottom w:val="single" w:sz="6" w:space="0" w:color="auto"/>
              <w:right w:val="nil"/>
            </w:tcBorders>
            <w:tcMar>
              <w:top w:w="0" w:type="dxa"/>
              <w:left w:w="62" w:type="dxa"/>
              <w:bottom w:w="0" w:type="dxa"/>
              <w:right w:w="62" w:type="dxa"/>
            </w:tcMar>
          </w:tcPr>
          <w:p w:rsidR="00000000" w:rsidP="00967638">
            <w:pPr>
              <w:pStyle w:val="BodyText"/>
              <w:rPr>
                <w:lang w:val="en-NZ"/>
              </w:rPr>
            </w:pPr>
            <w:r w:rsidRPr="00967638">
              <w:t xml:space="preserve">How are </w:t>
            </w:r>
            <w:r w:rsidRPr="00967638">
              <w:rPr>
                <w:rStyle w:val="SpecialBold"/>
              </w:rPr>
              <w:t>activities planned and organised</w:t>
            </w:r>
            <w:r w:rsidRPr="00967638">
              <w:t xml:space="preserve"> (</w:t>
            </w:r>
            <w:r w:rsidRPr="00967638">
              <w:rPr>
                <w:rStyle w:val="SpecialBold"/>
              </w:rPr>
              <w:t>2</w:t>
            </w:r>
            <w:r w:rsidRPr="00967638">
              <w:t>)?</w:t>
            </w:r>
          </w:p>
        </w:tc>
        <w:tc>
          <w:tcPr>
            <w:tcW w:w="5325" w:type="dxa"/>
            <w:gridSpan w:val="3"/>
            <w:tcBorders>
              <w:top w:val="single" w:sz="6" w:space="0" w:color="auto"/>
              <w:left w:val="nil"/>
              <w:bottom w:val="single" w:sz="6" w:space="0" w:color="auto"/>
              <w:right w:val="nil"/>
            </w:tcBorders>
            <w:tcMar>
              <w:top w:w="0" w:type="dxa"/>
              <w:left w:w="62" w:type="dxa"/>
              <w:bottom w:w="0" w:type="dxa"/>
              <w:right w:w="62" w:type="dxa"/>
            </w:tcMar>
          </w:tcPr>
          <w:p w:rsidR="00000000" w:rsidP="00967638">
            <w:pPr>
              <w:pStyle w:val="BodyText"/>
              <w:rPr>
                <w:lang w:val="en-NZ"/>
              </w:rPr>
            </w:pPr>
            <w:r w:rsidRPr="00967638">
              <w:t>Monitor work activities while ident</w:t>
            </w:r>
            <w:r w:rsidRPr="00967638">
              <w:t>ifying portable and fixed fire fighting, suppression, detection and alarm equipment and observing safety procedures.</w:t>
            </w:r>
          </w:p>
        </w:tc>
      </w:tr>
      <w:tr w:rsidTr="00F44D60">
        <w:tblPrEx>
          <w:tblW w:w="0" w:type="auto"/>
          <w:tblLayout w:type="fixed"/>
          <w:tblCellMar>
            <w:left w:w="62" w:type="dxa"/>
            <w:right w:w="62" w:type="dxa"/>
          </w:tblCellMar>
          <w:tblLook w:val="0000"/>
        </w:tblPrEx>
        <w:trPr>
          <w:gridAfter w:val="1"/>
          <w:wAfter w:w="360" w:type="dxa"/>
        </w:trPr>
        <w:tc>
          <w:tcPr>
            <w:tcW w:w="3243" w:type="dxa"/>
            <w:gridSpan w:val="3"/>
            <w:tcBorders>
              <w:top w:val="single" w:sz="6" w:space="0" w:color="auto"/>
              <w:left w:val="nil"/>
              <w:bottom w:val="single" w:sz="6" w:space="0" w:color="auto"/>
              <w:right w:val="nil"/>
            </w:tcBorders>
            <w:tcMar>
              <w:top w:w="0" w:type="dxa"/>
              <w:left w:w="62" w:type="dxa"/>
              <w:bottom w:w="0" w:type="dxa"/>
              <w:right w:w="62" w:type="dxa"/>
            </w:tcMar>
          </w:tcPr>
          <w:p w:rsidR="00000000" w:rsidP="00967638">
            <w:pPr>
              <w:pStyle w:val="BodyText"/>
              <w:rPr>
                <w:lang w:val="en-NZ"/>
              </w:rPr>
            </w:pPr>
            <w:r w:rsidRPr="00967638">
              <w:t xml:space="preserve">How can </w:t>
            </w:r>
            <w:r w:rsidRPr="00967638">
              <w:rPr>
                <w:rStyle w:val="SpecialBold"/>
              </w:rPr>
              <w:t>teamwork</w:t>
            </w:r>
            <w:r w:rsidRPr="00967638">
              <w:t xml:space="preserve"> (</w:t>
            </w:r>
            <w:r w:rsidRPr="00967638">
              <w:rPr>
                <w:rStyle w:val="SpecialBold"/>
              </w:rPr>
              <w:t>1</w:t>
            </w:r>
            <w:r w:rsidRPr="00967638">
              <w:t>) be applied?</w:t>
            </w:r>
          </w:p>
        </w:tc>
        <w:tc>
          <w:tcPr>
            <w:tcW w:w="5325" w:type="dxa"/>
            <w:gridSpan w:val="3"/>
            <w:tcBorders>
              <w:top w:val="single" w:sz="6" w:space="0" w:color="auto"/>
              <w:left w:val="nil"/>
              <w:bottom w:val="single" w:sz="6" w:space="0" w:color="auto"/>
              <w:right w:val="nil"/>
            </w:tcBorders>
            <w:tcMar>
              <w:top w:w="0" w:type="dxa"/>
              <w:left w:w="62" w:type="dxa"/>
              <w:bottom w:w="0" w:type="dxa"/>
              <w:right w:w="62" w:type="dxa"/>
            </w:tcMar>
          </w:tcPr>
          <w:p w:rsidR="00000000" w:rsidP="00967638">
            <w:pPr>
              <w:pStyle w:val="BodyText"/>
              <w:rPr>
                <w:lang w:val="en-NZ"/>
              </w:rPr>
            </w:pPr>
            <w:r w:rsidRPr="00967638">
              <w:t>Provide support and assistance within work groups.</w:t>
            </w:r>
          </w:p>
        </w:tc>
      </w:tr>
      <w:tr w:rsidTr="00F44D60">
        <w:tblPrEx>
          <w:tblW w:w="0" w:type="auto"/>
          <w:tblLayout w:type="fixed"/>
          <w:tblCellMar>
            <w:left w:w="62" w:type="dxa"/>
            <w:right w:w="62" w:type="dxa"/>
          </w:tblCellMar>
          <w:tblLook w:val="0000"/>
        </w:tblPrEx>
        <w:trPr>
          <w:gridAfter w:val="1"/>
          <w:wAfter w:w="360" w:type="dxa"/>
        </w:trPr>
        <w:tc>
          <w:tcPr>
            <w:tcW w:w="3243" w:type="dxa"/>
            <w:gridSpan w:val="3"/>
            <w:tcBorders>
              <w:top w:val="single" w:sz="6" w:space="0" w:color="auto"/>
              <w:left w:val="nil"/>
              <w:bottom w:val="single" w:sz="6" w:space="0" w:color="auto"/>
              <w:right w:val="nil"/>
            </w:tcBorders>
            <w:tcMar>
              <w:top w:w="0" w:type="dxa"/>
              <w:left w:w="62" w:type="dxa"/>
              <w:bottom w:w="0" w:type="dxa"/>
              <w:right w:w="62" w:type="dxa"/>
            </w:tcMar>
          </w:tcPr>
          <w:p w:rsidR="00000000" w:rsidP="00967638">
            <w:pPr>
              <w:pStyle w:val="BodyText"/>
              <w:rPr>
                <w:lang w:val="en-NZ"/>
              </w:rPr>
            </w:pPr>
            <w:r w:rsidRPr="00967638">
              <w:t xml:space="preserve">How can the use of </w:t>
            </w:r>
            <w:r w:rsidRPr="00967638">
              <w:rPr>
                <w:rStyle w:val="SpecialBold"/>
              </w:rPr>
              <w:t>mathematical ideas and techniques</w:t>
            </w:r>
            <w:r w:rsidRPr="00967638">
              <w:t xml:space="preserve"> (</w:t>
            </w:r>
            <w:r w:rsidRPr="00967638">
              <w:rPr>
                <w:rStyle w:val="SpecialBold"/>
              </w:rPr>
              <w:t>1</w:t>
            </w:r>
            <w:r w:rsidRPr="00967638">
              <w:t>) be applied?</w:t>
            </w:r>
          </w:p>
        </w:tc>
        <w:tc>
          <w:tcPr>
            <w:tcW w:w="5325" w:type="dxa"/>
            <w:gridSpan w:val="3"/>
            <w:tcBorders>
              <w:top w:val="single" w:sz="6" w:space="0" w:color="auto"/>
              <w:left w:val="nil"/>
              <w:bottom w:val="single" w:sz="6" w:space="0" w:color="auto"/>
              <w:right w:val="nil"/>
            </w:tcBorders>
            <w:tcMar>
              <w:top w:w="0" w:type="dxa"/>
              <w:left w:w="62" w:type="dxa"/>
              <w:bottom w:w="0" w:type="dxa"/>
              <w:right w:w="62" w:type="dxa"/>
            </w:tcMar>
          </w:tcPr>
          <w:p w:rsidR="00000000" w:rsidP="00967638">
            <w:pPr>
              <w:pStyle w:val="BodyText"/>
              <w:rPr>
                <w:lang w:val="en-NZ"/>
              </w:rPr>
            </w:pPr>
            <w:r w:rsidRPr="00967638">
              <w:t>Use basic mathematical techniques, including reading technical instructions, work schedules and building plans to locate and identify portable and fixed fire equipment.</w:t>
            </w:r>
          </w:p>
        </w:tc>
      </w:tr>
      <w:tr w:rsidTr="00F44D60">
        <w:tblPrEx>
          <w:tblW w:w="0" w:type="auto"/>
          <w:tblLayout w:type="fixed"/>
          <w:tblCellMar>
            <w:left w:w="62" w:type="dxa"/>
            <w:right w:w="62" w:type="dxa"/>
          </w:tblCellMar>
          <w:tblLook w:val="0000"/>
        </w:tblPrEx>
        <w:trPr>
          <w:gridAfter w:val="1"/>
          <w:wAfter w:w="360" w:type="dxa"/>
        </w:trPr>
        <w:tc>
          <w:tcPr>
            <w:tcW w:w="3243" w:type="dxa"/>
            <w:gridSpan w:val="3"/>
            <w:tcBorders>
              <w:top w:val="single" w:sz="6" w:space="0" w:color="auto"/>
              <w:left w:val="nil"/>
              <w:bottom w:val="single" w:sz="6" w:space="0" w:color="auto"/>
              <w:right w:val="nil"/>
            </w:tcBorders>
            <w:tcMar>
              <w:top w:w="0" w:type="dxa"/>
              <w:left w:w="62" w:type="dxa"/>
              <w:bottom w:w="0" w:type="dxa"/>
              <w:right w:w="62" w:type="dxa"/>
            </w:tcMar>
          </w:tcPr>
          <w:p w:rsidR="00000000" w:rsidP="00967638">
            <w:pPr>
              <w:pStyle w:val="BodyText"/>
              <w:rPr>
                <w:lang w:val="en-NZ"/>
              </w:rPr>
            </w:pPr>
            <w:r w:rsidRPr="00967638">
              <w:t xml:space="preserve">How can </w:t>
            </w:r>
            <w:r w:rsidRPr="00967638">
              <w:rPr>
                <w:rStyle w:val="SpecialBold"/>
              </w:rPr>
              <w:t>problem-solving skills</w:t>
            </w:r>
            <w:r w:rsidRPr="00967638">
              <w:t xml:space="preserve"> (</w:t>
            </w:r>
            <w:r w:rsidRPr="00967638">
              <w:rPr>
                <w:rStyle w:val="SpecialBold"/>
              </w:rPr>
              <w:t>1</w:t>
            </w:r>
            <w:r w:rsidRPr="00967638">
              <w:t>) be applied?</w:t>
            </w:r>
          </w:p>
        </w:tc>
        <w:tc>
          <w:tcPr>
            <w:tcW w:w="5325" w:type="dxa"/>
            <w:gridSpan w:val="3"/>
            <w:tcBorders>
              <w:top w:val="single" w:sz="6" w:space="0" w:color="auto"/>
              <w:left w:val="nil"/>
              <w:bottom w:val="single" w:sz="6" w:space="0" w:color="auto"/>
              <w:right w:val="nil"/>
            </w:tcBorders>
            <w:tcMar>
              <w:top w:w="0" w:type="dxa"/>
              <w:left w:w="62" w:type="dxa"/>
              <w:bottom w:w="0" w:type="dxa"/>
              <w:right w:w="62" w:type="dxa"/>
            </w:tcMar>
          </w:tcPr>
          <w:p w:rsidR="00000000" w:rsidP="00967638">
            <w:pPr>
              <w:pStyle w:val="BodyText"/>
              <w:rPr>
                <w:lang w:val="en-NZ"/>
              </w:rPr>
            </w:pPr>
            <w:r w:rsidRPr="00967638">
              <w:t>Discuss with colleagues/supervisor, straightforward problems which may arise throughout the identification process.</w:t>
            </w:r>
          </w:p>
        </w:tc>
      </w:tr>
      <w:tr w:rsidTr="00F44D60">
        <w:tblPrEx>
          <w:tblW w:w="0" w:type="auto"/>
          <w:tblLayout w:type="fixed"/>
          <w:tblCellMar>
            <w:left w:w="62" w:type="dxa"/>
            <w:right w:w="62" w:type="dxa"/>
          </w:tblCellMar>
          <w:tblLook w:val="0000"/>
        </w:tblPrEx>
        <w:trPr>
          <w:gridAfter w:val="1"/>
          <w:wAfter w:w="360" w:type="dxa"/>
        </w:trPr>
        <w:tc>
          <w:tcPr>
            <w:tcW w:w="3243" w:type="dxa"/>
            <w:gridSpan w:val="3"/>
            <w:tcBorders>
              <w:top w:val="single" w:sz="6" w:space="0" w:color="auto"/>
              <w:left w:val="nil"/>
              <w:bottom w:val="single" w:sz="6" w:space="0" w:color="auto"/>
              <w:right w:val="nil"/>
            </w:tcBorders>
            <w:tcMar>
              <w:top w:w="0" w:type="dxa"/>
              <w:left w:w="62" w:type="dxa"/>
              <w:bottom w:w="0" w:type="dxa"/>
              <w:right w:w="62" w:type="dxa"/>
            </w:tcMar>
          </w:tcPr>
          <w:p w:rsidR="00000000" w:rsidP="00967638">
            <w:pPr>
              <w:pStyle w:val="BodyText"/>
              <w:rPr>
                <w:lang w:val="en-NZ"/>
              </w:rPr>
            </w:pPr>
            <w:r w:rsidRPr="00967638">
              <w:t xml:space="preserve">How can the </w:t>
            </w:r>
            <w:r w:rsidRPr="00967638">
              <w:rPr>
                <w:rStyle w:val="SpecialBold"/>
              </w:rPr>
              <w:t>use of technology</w:t>
            </w:r>
            <w:r w:rsidRPr="00967638">
              <w:t xml:space="preserve"> (</w:t>
            </w:r>
            <w:r w:rsidRPr="00967638">
              <w:rPr>
                <w:rStyle w:val="SpecialBold"/>
              </w:rPr>
              <w:t>2</w:t>
            </w:r>
            <w:r w:rsidRPr="00967638">
              <w:t>) be applied?</w:t>
            </w:r>
          </w:p>
        </w:tc>
        <w:tc>
          <w:tcPr>
            <w:tcW w:w="5325" w:type="dxa"/>
            <w:gridSpan w:val="3"/>
            <w:tcBorders>
              <w:top w:val="single" w:sz="6" w:space="0" w:color="auto"/>
              <w:left w:val="nil"/>
              <w:bottom w:val="single" w:sz="6" w:space="0" w:color="auto"/>
              <w:right w:val="nil"/>
            </w:tcBorders>
            <w:tcMar>
              <w:top w:w="0" w:type="dxa"/>
              <w:left w:w="62" w:type="dxa"/>
              <w:bottom w:w="0" w:type="dxa"/>
              <w:right w:w="62" w:type="dxa"/>
            </w:tcMar>
          </w:tcPr>
          <w:p w:rsidR="00000000" w:rsidRPr="00967638" w:rsidP="00967638">
            <w:pPr>
              <w:pStyle w:val="BodyText"/>
            </w:pPr>
            <w:r w:rsidRPr="00967638">
              <w:t>Discuss technological principles as appropriate for the identification/product analysis process.</w:t>
            </w:r>
          </w:p>
        </w:tc>
      </w:tr>
    </w:tbl>
    <w:p w:rsidR="00F44D60" w:rsidP="00967638">
      <w:pPr>
        <w:pStyle w:val="BodyText"/>
      </w:pPr>
    </w:p>
    <w:p w:rsidR="00F44D60" w:rsidP="00967638">
      <w:pPr>
        <w:pStyle w:val="BodyText"/>
      </w:pPr>
    </w:p>
    <w:p w:rsidR="00000000" w:rsidRPr="00967638" w:rsidP="00967638">
      <w:pPr>
        <w:pStyle w:val="Heading1"/>
      </w:pPr>
      <w:bookmarkStart w:id="11" w:name="O_253579"/>
      <w:bookmarkEnd w:id="11"/>
      <w:r w:rsidRPr="00967638">
        <w:t>Range Statement</w:t>
      </w:r>
    </w:p>
    <w:p w:rsidR="00000000" w:rsidRPr="00967638" w:rsidP="00967638">
      <w:pPr>
        <w:pStyle w:val="BodyText"/>
      </w:pPr>
      <w:r w:rsidRPr="00967638">
        <w:rPr>
          <w:rStyle w:val="SpecialBold"/>
        </w:rPr>
        <w:t>RANGE STATEMENT</w:t>
      </w:r>
    </w:p>
    <w:p w:rsidR="00000000" w:rsidRPr="00967638" w:rsidP="00967638">
      <w:pPr>
        <w:pStyle w:val="BodyText"/>
      </w:pPr>
      <w:r w:rsidRPr="00967638">
        <w:t>The range statement links the required knowledge and organisational and technical requirements to the w</w:t>
      </w:r>
      <w:r w:rsidRPr="00967638">
        <w:t>orkplace context. It describes any contextual variables that will be used or encountered when applying the competency in work situations. It allows for different work practices and work and knowledge requirements as well as for differences between organisa</w:t>
      </w:r>
      <w:r w:rsidRPr="00967638">
        <w:t>tions and workplaces. The following variables may be present for this particular unit.</w:t>
      </w:r>
    </w:p>
    <w:p w:rsidR="00000000" w:rsidRPr="00967638" w:rsidP="00967638">
      <w:pPr>
        <w:pStyle w:val="BodyText"/>
      </w:pPr>
      <w:r w:rsidRPr="00967638">
        <w:rPr>
          <w:rStyle w:val="SpecialBold"/>
        </w:rPr>
        <w:t>Portable fire extinguisher</w:t>
      </w:r>
      <w:r w:rsidRPr="00967638">
        <w:t xml:space="preserve"> types include:</w:t>
      </w:r>
    </w:p>
    <w:p w:rsidR="00000000" w:rsidRPr="00967638" w:rsidP="00967638">
      <w:pPr>
        <w:pStyle w:val="ListBullet"/>
      </w:pPr>
      <w:r w:rsidRPr="00967638">
        <w:t>stored pressure</w:t>
      </w:r>
    </w:p>
    <w:p w:rsidR="00000000" w:rsidRPr="00967638" w:rsidP="00967638">
      <w:pPr>
        <w:pStyle w:val="ListBullet"/>
      </w:pPr>
      <w:r w:rsidRPr="00967638">
        <w:t>rechargeable/non-rechargeable</w:t>
      </w:r>
    </w:p>
    <w:p w:rsidR="00000000" w:rsidRPr="00967638" w:rsidP="00967638">
      <w:pPr>
        <w:pStyle w:val="ListBullet"/>
      </w:pPr>
      <w:r w:rsidRPr="00967638">
        <w:t>reversible</w:t>
      </w:r>
    </w:p>
    <w:p w:rsidR="00000000" w:rsidRPr="00967638" w:rsidP="00967638">
      <w:pPr>
        <w:pStyle w:val="ListBullet"/>
      </w:pPr>
      <w:r w:rsidRPr="00967638">
        <w:t>cartridge operated.</w:t>
      </w:r>
    </w:p>
    <w:p w:rsidR="00000000" w:rsidRPr="00967638" w:rsidP="00967638">
      <w:pPr>
        <w:pStyle w:val="BodyText"/>
      </w:pPr>
      <w:r w:rsidRPr="00967638">
        <w:rPr>
          <w:rStyle w:val="SpecialBold"/>
        </w:rPr>
        <w:t>Wheeled fire extinguisher</w:t>
      </w:r>
      <w:r w:rsidRPr="00967638">
        <w:t xml:space="preserve"> types include:</w:t>
      </w:r>
    </w:p>
    <w:p w:rsidR="00000000" w:rsidRPr="00967638" w:rsidP="00967638">
      <w:pPr>
        <w:pStyle w:val="ListBullet"/>
      </w:pPr>
      <w:r w:rsidRPr="00967638">
        <w:t>stored pressure</w:t>
      </w:r>
    </w:p>
    <w:p w:rsidR="00000000" w:rsidRPr="00967638" w:rsidP="00967638">
      <w:pPr>
        <w:pStyle w:val="ListBullet"/>
      </w:pPr>
      <w:r w:rsidRPr="00967638">
        <w:t>cartridge</w:t>
      </w:r>
    </w:p>
    <w:p w:rsidR="00000000" w:rsidRPr="00967638" w:rsidP="00967638">
      <w:pPr>
        <w:pStyle w:val="ListBullet"/>
      </w:pPr>
      <w:r w:rsidRPr="00967638">
        <w:t>reversible.</w:t>
      </w:r>
    </w:p>
    <w:p w:rsidR="00000000" w:rsidRPr="00967638" w:rsidP="00967638">
      <w:pPr>
        <w:pStyle w:val="BodyText"/>
      </w:pPr>
      <w:r w:rsidRPr="00967638">
        <w:rPr>
          <w:rStyle w:val="SpecialBold"/>
        </w:rPr>
        <w:t>Extinguishants</w:t>
      </w:r>
      <w:r w:rsidRPr="00967638">
        <w:t xml:space="preserve"> may include:</w:t>
      </w:r>
    </w:p>
    <w:p w:rsidR="00000000" w:rsidRPr="00967638" w:rsidP="00967638">
      <w:pPr>
        <w:pStyle w:val="ListBullet"/>
      </w:pPr>
      <w:r w:rsidRPr="00967638">
        <w:t>water</w:t>
      </w:r>
    </w:p>
    <w:p w:rsidR="00000000" w:rsidRPr="00967638" w:rsidP="00967638">
      <w:pPr>
        <w:pStyle w:val="ListBullet"/>
      </w:pPr>
      <w:r w:rsidRPr="00967638">
        <w:t>foam</w:t>
      </w:r>
    </w:p>
    <w:p w:rsidR="00000000" w:rsidRPr="00967638" w:rsidP="00967638">
      <w:pPr>
        <w:pStyle w:val="ListBullet"/>
      </w:pPr>
      <w:r w:rsidRPr="00967638">
        <w:t>wet chemical</w:t>
      </w:r>
    </w:p>
    <w:p w:rsidR="00000000" w:rsidRPr="00967638" w:rsidP="00967638">
      <w:pPr>
        <w:pStyle w:val="ListBullet"/>
      </w:pPr>
      <w:r w:rsidRPr="00967638">
        <w:t>powder</w:t>
      </w:r>
    </w:p>
    <w:p w:rsidR="00000000" w:rsidRPr="00967638" w:rsidP="00967638">
      <w:pPr>
        <w:pStyle w:val="ListBullet"/>
      </w:pPr>
      <w:r w:rsidRPr="00967638">
        <w:t>CO</w:t>
      </w:r>
      <w:r w:rsidRPr="00967638">
        <w:rPr>
          <w:rStyle w:val="Subscript"/>
        </w:rPr>
        <w:t>2</w:t>
      </w:r>
    </w:p>
    <w:p w:rsidR="00000000" w:rsidRPr="00967638" w:rsidP="00967638">
      <w:pPr>
        <w:pStyle w:val="ListBullet"/>
      </w:pPr>
      <w:r w:rsidRPr="00967638">
        <w:t>vaporising liquid.</w:t>
      </w:r>
    </w:p>
    <w:p w:rsidR="00000000" w:rsidRPr="00967638" w:rsidP="00967638">
      <w:pPr>
        <w:pStyle w:val="BodyText"/>
      </w:pPr>
      <w:r w:rsidRPr="00967638">
        <w:rPr>
          <w:rStyle w:val="SpecialBold"/>
        </w:rPr>
        <w:t>Expellants</w:t>
      </w:r>
      <w:r w:rsidRPr="00967638">
        <w:t xml:space="preserve"> may include:</w:t>
      </w:r>
    </w:p>
    <w:p w:rsidR="00000000" w:rsidRPr="00967638" w:rsidP="00967638">
      <w:pPr>
        <w:pStyle w:val="ListBullet"/>
      </w:pPr>
      <w:r w:rsidRPr="00967638">
        <w:t>CO</w:t>
      </w:r>
      <w:r w:rsidRPr="00967638">
        <w:rPr>
          <w:rStyle w:val="Subscript"/>
        </w:rPr>
        <w:t>2</w:t>
      </w:r>
    </w:p>
    <w:p w:rsidR="00000000" w:rsidRPr="00967638" w:rsidP="00967638">
      <w:pPr>
        <w:pStyle w:val="ListBullet"/>
      </w:pPr>
      <w:r w:rsidRPr="00967638">
        <w:t>nitrogen</w:t>
      </w:r>
    </w:p>
    <w:p w:rsidR="00000000" w:rsidRPr="00967638" w:rsidP="00967638">
      <w:pPr>
        <w:pStyle w:val="ListBullet"/>
      </w:pPr>
      <w:r w:rsidRPr="00967638">
        <w:t>dry air.</w:t>
      </w:r>
    </w:p>
    <w:p w:rsidR="00000000" w:rsidRPr="00967638" w:rsidP="00967638">
      <w:pPr>
        <w:pStyle w:val="BodyText"/>
      </w:pPr>
      <w:r w:rsidRPr="00967638">
        <w:rPr>
          <w:rStyle w:val="SpecialBold"/>
        </w:rPr>
        <w:t>Hose reel types</w:t>
      </w:r>
      <w:r w:rsidRPr="00967638">
        <w:t xml:space="preserve"> may include:</w:t>
      </w:r>
    </w:p>
    <w:p w:rsidR="00000000" w:rsidRPr="00967638" w:rsidP="00967638">
      <w:pPr>
        <w:pStyle w:val="ListBullet"/>
      </w:pPr>
      <w:r w:rsidRPr="00967638">
        <w:t>wall-mounted</w:t>
      </w:r>
    </w:p>
    <w:p w:rsidR="00000000" w:rsidRPr="00967638" w:rsidP="00967638">
      <w:pPr>
        <w:pStyle w:val="ListBullet"/>
      </w:pPr>
      <w:r w:rsidRPr="00967638">
        <w:t>swing-hinged</w:t>
      </w:r>
    </w:p>
    <w:p w:rsidR="00000000" w:rsidRPr="00967638" w:rsidP="00967638">
      <w:pPr>
        <w:pStyle w:val="ListBullet"/>
      </w:pPr>
      <w:r w:rsidRPr="00967638">
        <w:t>vehicle-mounted.</w:t>
      </w:r>
    </w:p>
    <w:p w:rsidR="00000000" w:rsidRPr="00967638" w:rsidP="00967638">
      <w:pPr>
        <w:pStyle w:val="BodyText"/>
      </w:pPr>
      <w:r w:rsidRPr="00967638">
        <w:rPr>
          <w:rStyle w:val="SpecialBold"/>
        </w:rPr>
        <w:t>Delivery lay flat fire hoses</w:t>
      </w:r>
      <w:r w:rsidRPr="00967638">
        <w:t xml:space="preserve"> may include:</w:t>
      </w:r>
    </w:p>
    <w:p w:rsidR="00000000" w:rsidRPr="00967638" w:rsidP="00967638">
      <w:pPr>
        <w:pStyle w:val="ListBullet"/>
      </w:pPr>
      <w:r w:rsidRPr="00967638">
        <w:t>percolating/non-percolating</w:t>
      </w:r>
    </w:p>
    <w:p w:rsidR="00000000" w:rsidRPr="00967638" w:rsidP="00967638">
      <w:pPr>
        <w:pStyle w:val="ListBullet"/>
      </w:pPr>
      <w:r w:rsidRPr="00967638">
        <w:t>low, medium and high classes</w:t>
      </w:r>
    </w:p>
    <w:p w:rsidR="00000000" w:rsidRPr="00967638" w:rsidP="00967638">
      <w:pPr>
        <w:pStyle w:val="ListBullet"/>
      </w:pPr>
      <w:r w:rsidRPr="00967638">
        <w:t>a range of different hose diameters.</w:t>
      </w:r>
    </w:p>
    <w:p w:rsidR="00000000" w:rsidRPr="00967638" w:rsidP="00967638">
      <w:pPr>
        <w:pStyle w:val="BodyText"/>
      </w:pPr>
      <w:r w:rsidRPr="00967638">
        <w:rPr>
          <w:rStyle w:val="SpecialBold"/>
        </w:rPr>
        <w:t>Delivery lay flat fire hose couplings</w:t>
      </w:r>
      <w:r w:rsidRPr="00967638">
        <w:t xml:space="preserve"> may include:</w:t>
      </w:r>
    </w:p>
    <w:p w:rsidR="00000000" w:rsidRPr="00967638" w:rsidP="00967638">
      <w:pPr>
        <w:pStyle w:val="ListBullet"/>
      </w:pPr>
      <w:r w:rsidRPr="00967638">
        <w:t>BIC</w:t>
      </w:r>
    </w:p>
    <w:p w:rsidR="00000000" w:rsidRPr="00967638" w:rsidP="00967638">
      <w:pPr>
        <w:pStyle w:val="ListBullet"/>
      </w:pPr>
      <w:r w:rsidRPr="00967638">
        <w:t>STORZ</w:t>
      </w:r>
    </w:p>
    <w:p w:rsidR="00000000" w:rsidRPr="00967638" w:rsidP="00967638">
      <w:pPr>
        <w:pStyle w:val="ListBullet"/>
      </w:pPr>
      <w:r w:rsidRPr="00967638">
        <w:t>threaded.</w:t>
      </w:r>
    </w:p>
    <w:p w:rsidR="00000000" w:rsidRPr="00967638" w:rsidP="00967638">
      <w:pPr>
        <w:pStyle w:val="BodyText"/>
      </w:pPr>
      <w:r w:rsidRPr="00967638">
        <w:rPr>
          <w:rStyle w:val="SpecialBold"/>
        </w:rPr>
        <w:t>Fire hydrant system components</w:t>
      </w:r>
      <w:r w:rsidRPr="00967638">
        <w:t xml:space="preserve"> may include:</w:t>
      </w:r>
    </w:p>
    <w:p w:rsidR="00000000" w:rsidRPr="00967638" w:rsidP="00967638">
      <w:pPr>
        <w:pStyle w:val="ListBullet"/>
      </w:pPr>
      <w:r w:rsidRPr="00967638">
        <w:t>in</w:t>
      </w:r>
      <w:r w:rsidRPr="00967638">
        <w:t>ternal hydrant valve (points, landing valves, outlets)</w:t>
      </w:r>
    </w:p>
    <w:p w:rsidR="00000000" w:rsidRPr="00967638" w:rsidP="00967638">
      <w:pPr>
        <w:pStyle w:val="ListBullet"/>
      </w:pPr>
      <w:r w:rsidRPr="00967638">
        <w:t>external hydrant valve</w:t>
      </w:r>
    </w:p>
    <w:p w:rsidR="00000000" w:rsidRPr="00967638" w:rsidP="00967638">
      <w:pPr>
        <w:pStyle w:val="ListBullet"/>
      </w:pPr>
      <w:r w:rsidRPr="00967638">
        <w:t>hydrant valves that are incorporated in a fire cabinet</w:t>
      </w:r>
    </w:p>
    <w:p w:rsidR="00000000" w:rsidRPr="00967638" w:rsidP="00967638">
      <w:pPr>
        <w:pStyle w:val="ListBullet"/>
      </w:pPr>
      <w:r w:rsidRPr="00967638">
        <w:t>pressure reducing valve (ratio valve)</w:t>
      </w:r>
    </w:p>
    <w:p w:rsidR="00000000" w:rsidRPr="00967638" w:rsidP="00967638">
      <w:pPr>
        <w:pStyle w:val="ListBullet"/>
      </w:pPr>
      <w:r w:rsidRPr="00967638">
        <w:t>water supply system (tanks, pump sets)</w:t>
      </w:r>
    </w:p>
    <w:p w:rsidR="00000000" w:rsidRPr="00967638" w:rsidP="00967638">
      <w:pPr>
        <w:pStyle w:val="ListBullet"/>
      </w:pPr>
      <w:r w:rsidRPr="00967638">
        <w:t>fire brigade booster connections</w:t>
      </w:r>
    </w:p>
    <w:p w:rsidR="00000000" w:rsidRPr="00967638" w:rsidP="00967638">
      <w:pPr>
        <w:pStyle w:val="ListBullet"/>
      </w:pPr>
      <w:r w:rsidRPr="00967638">
        <w:t xml:space="preserve">reticulating </w:t>
      </w:r>
      <w:r w:rsidRPr="00967638">
        <w:t>pipe work.</w:t>
      </w:r>
    </w:p>
    <w:p w:rsidR="00000000" w:rsidRPr="00967638" w:rsidP="00967638">
      <w:pPr>
        <w:pStyle w:val="BodyText"/>
      </w:pPr>
      <w:r w:rsidRPr="00967638">
        <w:rPr>
          <w:rStyle w:val="SpecialBold"/>
        </w:rPr>
        <w:t>Fire blanket containers</w:t>
      </w:r>
      <w:r w:rsidRPr="00967638">
        <w:t xml:space="preserve"> may include:</w:t>
      </w:r>
    </w:p>
    <w:p w:rsidR="00000000" w:rsidRPr="00967638" w:rsidP="00967638">
      <w:pPr>
        <w:pStyle w:val="ListBullet"/>
      </w:pPr>
      <w:r w:rsidRPr="00967638">
        <w:t>plastic/vinyl covers</w:t>
      </w:r>
    </w:p>
    <w:p w:rsidR="00000000" w:rsidRPr="00967638" w:rsidP="00967638">
      <w:pPr>
        <w:pStyle w:val="ListBullet"/>
      </w:pPr>
      <w:r w:rsidRPr="00967638">
        <w:t>metal tubes.</w:t>
      </w:r>
    </w:p>
    <w:p w:rsidR="00000000" w:rsidRPr="00967638" w:rsidP="00967638">
      <w:pPr>
        <w:pStyle w:val="BodyText"/>
      </w:pPr>
      <w:r w:rsidRPr="00967638">
        <w:rPr>
          <w:rStyle w:val="SpecialBold"/>
        </w:rPr>
        <w:t>Battery-operated smoke alarms</w:t>
      </w:r>
      <w:r w:rsidRPr="00967638">
        <w:t xml:space="preserve"> may include:</w:t>
      </w:r>
    </w:p>
    <w:p w:rsidR="00000000" w:rsidRPr="00967638" w:rsidP="00967638">
      <w:pPr>
        <w:pStyle w:val="ListBullet"/>
      </w:pPr>
      <w:r w:rsidRPr="00967638">
        <w:t>ionisation</w:t>
      </w:r>
    </w:p>
    <w:p w:rsidR="00000000" w:rsidRPr="00967638" w:rsidP="00967638">
      <w:pPr>
        <w:pStyle w:val="ListBullet"/>
      </w:pPr>
      <w:r w:rsidRPr="00967638">
        <w:t>photoelectric.</w:t>
      </w:r>
    </w:p>
    <w:p w:rsidR="00000000" w:rsidRPr="00967638" w:rsidP="00967638">
      <w:pPr>
        <w:pStyle w:val="BodyText"/>
      </w:pPr>
      <w:r w:rsidRPr="00967638">
        <w:rPr>
          <w:rStyle w:val="SpecialBold"/>
        </w:rPr>
        <w:t>Fire doors</w:t>
      </w:r>
      <w:r w:rsidRPr="00967638">
        <w:t xml:space="preserve"> may include:</w:t>
      </w:r>
    </w:p>
    <w:p w:rsidR="00000000" w:rsidRPr="00967638" w:rsidP="00967638">
      <w:pPr>
        <w:pStyle w:val="ListBullet"/>
      </w:pPr>
      <w:r w:rsidRPr="00967638">
        <w:t>1 hour or 2 hour fire rated assemblies</w:t>
      </w:r>
    </w:p>
    <w:p w:rsidR="00000000" w:rsidRPr="00967638" w:rsidP="00967638">
      <w:pPr>
        <w:pStyle w:val="ListBullet"/>
      </w:pPr>
      <w:r w:rsidRPr="00967638">
        <w:t>self-closing or sliding</w:t>
      </w:r>
    </w:p>
    <w:p w:rsidR="00000000" w:rsidRPr="00967638" w:rsidP="00967638">
      <w:pPr>
        <w:pStyle w:val="ListBullet"/>
      </w:pPr>
      <w:r w:rsidRPr="00967638">
        <w:t>automatic closing.</w:t>
      </w:r>
    </w:p>
    <w:p w:rsidR="00000000" w:rsidRPr="00967638" w:rsidP="00967638">
      <w:pPr>
        <w:pStyle w:val="BodyText"/>
      </w:pPr>
      <w:r w:rsidRPr="00967638">
        <w:rPr>
          <w:rStyle w:val="SpecialBold"/>
        </w:rPr>
        <w:t>Smoke doors</w:t>
      </w:r>
      <w:r w:rsidRPr="00967638">
        <w:t xml:space="preserve"> may include:</w:t>
      </w:r>
    </w:p>
    <w:p w:rsidR="00000000" w:rsidRPr="00967638" w:rsidP="00967638">
      <w:pPr>
        <w:pStyle w:val="ListBullet"/>
      </w:pPr>
      <w:r w:rsidRPr="00967638">
        <w:t>solid core or fire resistance rated</w:t>
      </w:r>
    </w:p>
    <w:p w:rsidR="00000000" w:rsidRPr="00967638" w:rsidP="00967638">
      <w:pPr>
        <w:pStyle w:val="ListBullet"/>
      </w:pPr>
      <w:r w:rsidRPr="00967638">
        <w:t>self-closing or sliding</w:t>
      </w:r>
    </w:p>
    <w:p w:rsidR="00000000" w:rsidRPr="00967638" w:rsidP="00967638">
      <w:pPr>
        <w:pStyle w:val="ListBullet"/>
      </w:pPr>
      <w:r w:rsidRPr="00967638">
        <w:t>automatic closing.</w:t>
      </w:r>
    </w:p>
    <w:p w:rsidR="00000000" w:rsidRPr="00967638" w:rsidP="00967638">
      <w:pPr>
        <w:pStyle w:val="BodyText"/>
      </w:pPr>
      <w:r w:rsidRPr="00967638">
        <w:rPr>
          <w:rStyle w:val="SpecialBold"/>
        </w:rPr>
        <w:t>Fire pump sets</w:t>
      </w:r>
      <w:r w:rsidRPr="00967638">
        <w:t xml:space="preserve"> may include dedicated pump set driven by electric or diesel or a combination of both motors that supply fire systems </w:t>
      </w:r>
      <w:r w:rsidRPr="00967638">
        <w:t>such as hydrants and sprinklers.</w:t>
      </w:r>
    </w:p>
    <w:p w:rsidR="00000000" w:rsidRPr="00967638" w:rsidP="00967638">
      <w:pPr>
        <w:pStyle w:val="BodyText"/>
      </w:pPr>
      <w:r w:rsidRPr="00967638">
        <w:rPr>
          <w:rStyle w:val="SpecialBold"/>
        </w:rPr>
        <w:t>Automatic fire suppression systems</w:t>
      </w:r>
      <w:r w:rsidRPr="00967638">
        <w:t xml:space="preserve"> may include:</w:t>
      </w:r>
    </w:p>
    <w:p w:rsidR="00000000" w:rsidRPr="00967638" w:rsidP="00967638">
      <w:pPr>
        <w:pStyle w:val="ListBullet"/>
      </w:pPr>
      <w:r w:rsidRPr="00967638">
        <w:t>automatic sprinkler systems</w:t>
      </w:r>
    </w:p>
    <w:p w:rsidR="00000000" w:rsidRPr="00967638" w:rsidP="00967638">
      <w:pPr>
        <w:pStyle w:val="ListBullet"/>
      </w:pPr>
      <w:r w:rsidRPr="00967638">
        <w:t>pre-engineered fire suppression systems</w:t>
      </w:r>
    </w:p>
    <w:p w:rsidR="00000000" w:rsidRPr="00967638" w:rsidP="00967638">
      <w:pPr>
        <w:pStyle w:val="ListBullet"/>
      </w:pPr>
      <w:r w:rsidRPr="00967638">
        <w:t>gaseous fire suppression systems.</w:t>
      </w:r>
    </w:p>
    <w:p w:rsidR="00000000" w:rsidRPr="00967638" w:rsidP="00967638">
      <w:pPr>
        <w:pStyle w:val="BodyText"/>
      </w:pPr>
      <w:r w:rsidRPr="00967638">
        <w:rPr>
          <w:rStyle w:val="SpecialBold"/>
        </w:rPr>
        <w:t>Automatic detection and alarm systems</w:t>
      </w:r>
      <w:r w:rsidRPr="00967638">
        <w:t xml:space="preserve"> may include:</w:t>
      </w:r>
    </w:p>
    <w:p w:rsidR="00000000" w:rsidRPr="00967638" w:rsidP="00967638">
      <w:pPr>
        <w:pStyle w:val="ListBullet"/>
      </w:pPr>
      <w:r w:rsidRPr="00967638">
        <w:t xml:space="preserve">automatic detection </w:t>
      </w:r>
      <w:r w:rsidRPr="00967638">
        <w:t>systems</w:t>
      </w:r>
    </w:p>
    <w:p w:rsidR="00F44D60" w:rsidP="00967638">
      <w:pPr>
        <w:pStyle w:val="ListBullet"/>
      </w:pPr>
      <w:r w:rsidRPr="00967638">
        <w:t>automatic evacuation and warning intercommunion systems.</w:t>
      </w:r>
    </w:p>
    <w:p w:rsidR="00F44D60" w:rsidP="00967638">
      <w:pPr>
        <w:pStyle w:val="ListBullet"/>
      </w:pPr>
    </w:p>
    <w:p w:rsidR="00000000" w:rsidRPr="00967638" w:rsidP="00967638">
      <w:pPr>
        <w:pStyle w:val="Heading1"/>
      </w:pPr>
      <w:bookmarkStart w:id="12" w:name="O_295456"/>
      <w:bookmarkEnd w:id="12"/>
      <w:r w:rsidRPr="00967638">
        <w:t>Unit Sector(s)</w:t>
      </w:r>
    </w:p>
    <w:p w:rsidR="00000000" w:rsidRPr="00967638" w:rsidP="00967638">
      <w:pPr>
        <w:pStyle w:val="BodyText"/>
      </w:pPr>
      <w:r w:rsidRPr="00967638">
        <w:t>Not Applicable</w:t>
      </w:r>
    </w:p>
    <w:p w:rsidR="00000000" w:rsidRPr="00967638" w:rsidP="00967638"/>
    <w:sectPr w:rsidSect="00967638">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67638">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F44D60" w:rsidP="00F44D60">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67638">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44D60" w:rsidP="00967638">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4</w:t>
    </w:r>
    <w:r>
      <w:fldChar w:fldCharType="end"/>
    </w:r>
    <w:r>
      <w:t xml:space="preserve"> of </w:t>
    </w:r>
    <w:r>
      <w:fldChar w:fldCharType="begin"/>
    </w:r>
    <w:r>
      <w:instrText xml:space="preserve"> NUMPAGES  \* Arabic  \* MERGEFORMAT </w:instrText>
    </w:r>
    <w:r>
      <w:fldChar w:fldCharType="separate"/>
    </w:r>
    <w:r>
      <w:rPr>
        <w:noProof/>
      </w:rPr>
      <w:t>6</w:t>
    </w:r>
    <w:r>
      <w:rPr>
        <w:noProof/>
      </w:rPr>
      <w:fldChar w:fldCharType="end"/>
    </w:r>
  </w:p>
  <w:p w:rsidR="00F44D60" w:rsidP="00967638">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Construction &amp; Property Services Industry Skills Council</w:t>
    </w:r>
    <w:r>
      <w:fldChar w:fldCharType="end"/>
    </w:r>
  </w:p>
  <w:p w:rsidR="00F44D60" w:rsidP="00967638">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67638">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F44D60" w:rsidP="00F44D60">
    <w:pPr>
      <w:pStyle w:val="BodyText"/>
    </w:pPr>
    <w:r>
      <w:rPr>
        <w:noProof/>
        <w:lang w:val="en-AU"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67638">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44D60" w:rsidP="00967638">
    <w:pPr>
      <w:pStyle w:val="Header"/>
      <w:framePr w:wrap="around"/>
    </w:pPr>
    <w:r>
      <w:fldChar w:fldCharType="begin"/>
    </w:r>
    <w:r>
      <w:instrText xml:space="preserve"> TITLE   \* MERGEFORMAT </w:instrText>
    </w:r>
    <w:r>
      <w:fldChar w:fldCharType="separate"/>
    </w:r>
    <w:r>
      <w:t>PRMPFES04B Identify fire protection equipment</w:t>
    </w:r>
    <w:r>
      <w:fldChar w:fldCharType="end"/>
    </w:r>
    <w:r>
      <w:tab/>
      <w:t xml:space="preserve">Date this document was generated: </w:t>
    </w:r>
    <w:r>
      <w:fldChar w:fldCharType="begin"/>
    </w:r>
    <w:r>
      <w:instrText xml:space="preserve"> CREATEDATE  \@ "d MMMM yyyy"  \* MERGEFORMAT </w:instrText>
    </w:r>
    <w:r>
      <w:fldChar w:fldCharType="separate"/>
    </w:r>
    <w:r>
      <w:rPr>
        <w:noProof/>
      </w:rPr>
      <w:t>27 May 2012</w:t>
    </w:r>
    <w:r>
      <w:rPr>
        <w:noProof/>
      </w:rPr>
      <w:fldChar w:fldCharType="end"/>
    </w:r>
  </w:p>
  <w:p w:rsidR="00F44D60" w:rsidP="00967638">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9EAE079C"/>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9CA27F9C"/>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3C76EEBC"/>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967638"/>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967638"/>
    <w:pPr>
      <w:spacing w:before="360" w:after="60"/>
      <w:outlineLvl w:val="0"/>
    </w:pPr>
    <w:rPr>
      <w:sz w:val="32"/>
    </w:rPr>
  </w:style>
  <w:style w:type="paragraph" w:styleId="Heading2">
    <w:name w:val="heading 2"/>
    <w:basedOn w:val="HeadingBase"/>
    <w:next w:val="BodyText"/>
    <w:link w:val="Heading2Char"/>
    <w:qFormat/>
    <w:rsid w:val="00967638"/>
    <w:pPr>
      <w:keepLines/>
      <w:spacing w:before="240" w:after="120"/>
      <w:outlineLvl w:val="1"/>
    </w:pPr>
    <w:rPr>
      <w:sz w:val="28"/>
      <w:szCs w:val="40"/>
    </w:rPr>
  </w:style>
  <w:style w:type="paragraph" w:styleId="Heading3">
    <w:name w:val="heading 3"/>
    <w:basedOn w:val="HeadingBase"/>
    <w:next w:val="BodyText"/>
    <w:link w:val="Heading3Char"/>
    <w:qFormat/>
    <w:rsid w:val="00967638"/>
    <w:pPr>
      <w:spacing w:before="180" w:after="120"/>
      <w:outlineLvl w:val="2"/>
    </w:pPr>
    <w:rPr>
      <w:spacing w:val="-10"/>
      <w:kern w:val="32"/>
    </w:rPr>
  </w:style>
  <w:style w:type="paragraph" w:styleId="Heading4">
    <w:name w:val="heading 4"/>
    <w:basedOn w:val="HeadingBase"/>
    <w:next w:val="BodyText"/>
    <w:link w:val="Heading4Char"/>
    <w:qFormat/>
    <w:rsid w:val="00967638"/>
    <w:pPr>
      <w:spacing w:before="160" w:after="120"/>
      <w:outlineLvl w:val="3"/>
    </w:pPr>
    <w:rPr>
      <w:sz w:val="22"/>
    </w:rPr>
  </w:style>
  <w:style w:type="paragraph" w:styleId="Heading5">
    <w:name w:val="heading 5"/>
    <w:basedOn w:val="HeadingBase"/>
    <w:next w:val="Normal"/>
    <w:link w:val="Heading5Char"/>
    <w:qFormat/>
    <w:rsid w:val="00967638"/>
    <w:pPr>
      <w:spacing w:before="80"/>
      <w:outlineLvl w:val="4"/>
    </w:pPr>
    <w:rPr>
      <w:color w:val="918585"/>
      <w:sz w:val="20"/>
    </w:rPr>
  </w:style>
  <w:style w:type="paragraph" w:styleId="Heading6">
    <w:name w:val="heading 6"/>
    <w:basedOn w:val="HeadingBase"/>
    <w:next w:val="Normal"/>
    <w:link w:val="Heading6Char"/>
    <w:qFormat/>
    <w:rsid w:val="00967638"/>
    <w:pPr>
      <w:spacing w:before="60"/>
      <w:outlineLvl w:val="5"/>
    </w:pPr>
    <w:rPr>
      <w:color w:val="918585"/>
      <w:sz w:val="20"/>
    </w:rPr>
  </w:style>
  <w:style w:type="paragraph" w:styleId="Heading7">
    <w:name w:val="heading 7"/>
    <w:basedOn w:val="Normal"/>
    <w:next w:val="Normal"/>
    <w:link w:val="Heading7Char"/>
    <w:qFormat/>
    <w:rsid w:val="00967638"/>
    <w:pPr>
      <w:ind w:left="720"/>
      <w:outlineLvl w:val="6"/>
    </w:pPr>
    <w:rPr>
      <w:i/>
    </w:rPr>
  </w:style>
  <w:style w:type="paragraph" w:styleId="Heading8">
    <w:name w:val="heading 8"/>
    <w:basedOn w:val="Normal"/>
    <w:next w:val="Normal"/>
    <w:link w:val="Heading8Char"/>
    <w:qFormat/>
    <w:rsid w:val="00967638"/>
    <w:pPr>
      <w:ind w:left="720"/>
      <w:outlineLvl w:val="7"/>
    </w:pPr>
    <w:rPr>
      <w:i/>
    </w:rPr>
  </w:style>
  <w:style w:type="paragraph" w:styleId="Heading9">
    <w:name w:val="heading 9"/>
    <w:basedOn w:val="Normal"/>
    <w:next w:val="Normal"/>
    <w:link w:val="Heading9Char"/>
    <w:qFormat/>
    <w:rsid w:val="00967638"/>
    <w:pPr>
      <w:ind w:left="720"/>
      <w:outlineLvl w:val="8"/>
    </w:pPr>
    <w:rPr>
      <w:i/>
    </w:rPr>
  </w:style>
  <w:style w:type="character" w:default="1" w:styleId="DefaultParagraphFont">
    <w:name w:val="Default Paragraph Font"/>
    <w:uiPriority w:val="1"/>
    <w:unhideWhenUsed/>
    <w:rsid w:val="00967638"/>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967638"/>
  </w:style>
  <w:style w:type="character" w:customStyle="1" w:styleId="Heading1Char">
    <w:name w:val="Heading 1 Char"/>
    <w:basedOn w:val="DefaultParagraphFont"/>
    <w:link w:val="Heading1"/>
    <w:rsid w:val="00967638"/>
    <w:rPr>
      <w:rFonts w:ascii="Times New Roman" w:eastAsia="Times New Roman" w:hAnsi="Times New Roman" w:cs="Times New Roman"/>
      <w:b/>
      <w:sz w:val="32"/>
      <w:szCs w:val="20"/>
      <w:lang w:eastAsia="en-US"/>
    </w:rPr>
  </w:style>
  <w:style w:type="paragraph" w:styleId="BodyText">
    <w:name w:val="Body Text"/>
    <w:basedOn w:val="Normal"/>
    <w:link w:val="BodyTextChar"/>
    <w:rsid w:val="00967638"/>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967638"/>
    <w:rPr>
      <w:rFonts w:ascii="Times New Roman" w:eastAsia="Times New Roman" w:hAnsi="Times New Roman" w:cs="Times New Roman"/>
      <w:sz w:val="24"/>
      <w:lang w:val="en-US" w:eastAsia="en-US"/>
    </w:rPr>
  </w:style>
  <w:style w:type="paragraph" w:styleId="Footer">
    <w:name w:val="footer"/>
    <w:basedOn w:val="Normal"/>
    <w:link w:val="FooterChar"/>
    <w:rsid w:val="00967638"/>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967638"/>
    <w:rPr>
      <w:rFonts w:ascii="Times New Roman" w:eastAsia="Times New Roman" w:hAnsi="Times New Roman" w:cs="Times New Roman"/>
      <w:sz w:val="16"/>
      <w:lang w:val="en-US" w:eastAsia="en-US"/>
    </w:rPr>
  </w:style>
  <w:style w:type="paragraph" w:styleId="List">
    <w:name w:val="List"/>
    <w:basedOn w:val="BodyText"/>
    <w:next w:val="BodyText"/>
    <w:rsid w:val="00967638"/>
    <w:pPr>
      <w:tabs>
        <w:tab w:val="left" w:pos="340"/>
      </w:tabs>
      <w:spacing w:before="60" w:after="60"/>
      <w:ind w:left="340" w:hanging="340"/>
    </w:pPr>
  </w:style>
  <w:style w:type="paragraph" w:styleId="ListBullet">
    <w:name w:val="List Bullet"/>
    <w:basedOn w:val="List"/>
    <w:rsid w:val="00967638"/>
    <w:pPr>
      <w:numPr>
        <w:numId w:val="13"/>
      </w:numPr>
      <w:tabs>
        <w:tab w:val="clear" w:pos="340"/>
      </w:tabs>
      <w:spacing w:before="40" w:after="40"/>
    </w:pPr>
  </w:style>
  <w:style w:type="character" w:customStyle="1" w:styleId="SpecialBold">
    <w:name w:val="Special Bold"/>
    <w:basedOn w:val="DefaultParagraphFont"/>
    <w:rsid w:val="00967638"/>
    <w:rPr>
      <w:b/>
      <w:spacing w:val="0"/>
    </w:rPr>
  </w:style>
  <w:style w:type="paragraph" w:styleId="ListBullet2">
    <w:name w:val="List Bullet 2"/>
    <w:basedOn w:val="List2"/>
    <w:rsid w:val="00967638"/>
    <w:pPr>
      <w:numPr>
        <w:numId w:val="14"/>
      </w:numPr>
      <w:tabs>
        <w:tab w:val="clear" w:pos="680"/>
      </w:tabs>
    </w:pPr>
  </w:style>
  <w:style w:type="paragraph" w:styleId="Header">
    <w:name w:val="header"/>
    <w:basedOn w:val="Normal"/>
    <w:link w:val="HeaderChar"/>
    <w:rsid w:val="00967638"/>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967638"/>
    <w:rPr>
      <w:rFonts w:ascii="Times New Roman" w:eastAsia="Times New Roman" w:hAnsi="Times New Roman" w:cs="Times New Roman"/>
      <w:sz w:val="16"/>
      <w:szCs w:val="20"/>
      <w:lang w:val="en-GB" w:eastAsia="en-US"/>
    </w:rPr>
  </w:style>
  <w:style w:type="character" w:styleId="Emphasis">
    <w:name w:val="Emphasis"/>
    <w:basedOn w:val="DefaultParagraphFont"/>
    <w:qFormat/>
    <w:rsid w:val="00967638"/>
    <w:rPr>
      <w:i/>
    </w:rPr>
  </w:style>
  <w:style w:type="paragraph" w:customStyle="1" w:styleId="SuperHeading">
    <w:name w:val="SuperHeading"/>
    <w:basedOn w:val="Normal"/>
    <w:rsid w:val="00967638"/>
    <w:pPr>
      <w:spacing w:before="240" w:after="120"/>
      <w:outlineLvl w:val="0"/>
    </w:pPr>
    <w:rPr>
      <w:rFonts w:ascii="Times New Roman" w:hAnsi="Times New Roman"/>
      <w:b/>
      <w:sz w:val="28"/>
    </w:rPr>
  </w:style>
  <w:style w:type="paragraph" w:customStyle="1" w:styleId="AllowPageBreak">
    <w:name w:val="AllowPageBreak"/>
    <w:rsid w:val="00967638"/>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Subscript">
    <w:name w:val="Subscript"/>
    <w:basedOn w:val="DefaultParagraphFont"/>
    <w:rsid w:val="00967638"/>
    <w:rPr>
      <w:sz w:val="16"/>
      <w:vertAlign w:val="subscript"/>
    </w:rPr>
  </w:style>
  <w:style w:type="character" w:customStyle="1" w:styleId="Heading2Char">
    <w:name w:val="Heading 2 Char"/>
    <w:basedOn w:val="DefaultParagraphFont"/>
    <w:link w:val="Heading2"/>
    <w:rsid w:val="00967638"/>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967638"/>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967638"/>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967638"/>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967638"/>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967638"/>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967638"/>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967638"/>
    <w:rPr>
      <w:rFonts w:ascii="Courier New" w:eastAsia="Times New Roman" w:hAnsi="Courier New" w:cs="Times New Roman"/>
      <w:i/>
      <w:szCs w:val="20"/>
      <w:lang w:val="en-US" w:eastAsia="en-US"/>
    </w:rPr>
  </w:style>
  <w:style w:type="paragraph" w:customStyle="1" w:styleId="HeadingBase">
    <w:name w:val="Heading Base"/>
    <w:rsid w:val="00967638"/>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967638"/>
    <w:pPr>
      <w:tabs>
        <w:tab w:val="right" w:leader="dot" w:pos="9072"/>
      </w:tabs>
      <w:ind w:left="567"/>
    </w:pPr>
    <w:rPr>
      <w:szCs w:val="22"/>
    </w:rPr>
  </w:style>
  <w:style w:type="paragraph" w:customStyle="1" w:styleId="TOCBase">
    <w:name w:val="TOC Base"/>
    <w:rsid w:val="00967638"/>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967638"/>
    <w:pPr>
      <w:tabs>
        <w:tab w:val="right" w:leader="dot" w:pos="9072"/>
      </w:tabs>
      <w:spacing w:before="40" w:after="40"/>
      <w:ind w:left="284"/>
    </w:pPr>
    <w:rPr>
      <w:rFonts w:ascii="Times New Roman" w:hAnsi="Times New Roman"/>
    </w:rPr>
  </w:style>
  <w:style w:type="paragraph" w:styleId="TOC1">
    <w:name w:val="toc 1"/>
    <w:basedOn w:val="TOCBase"/>
    <w:next w:val="Normal"/>
    <w:rsid w:val="00967638"/>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967638"/>
    <w:pPr>
      <w:spacing w:before="5040"/>
      <w:jc w:val="center"/>
    </w:pPr>
    <w:rPr>
      <w:sz w:val="48"/>
      <w:szCs w:val="72"/>
      <w:lang w:val="en-US"/>
    </w:rPr>
  </w:style>
  <w:style w:type="character" w:customStyle="1" w:styleId="TitleChar">
    <w:name w:val="Title Char"/>
    <w:basedOn w:val="DefaultParagraphFont"/>
    <w:link w:val="Title"/>
    <w:rsid w:val="00967638"/>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967638"/>
    <w:pPr>
      <w:tabs>
        <w:tab w:val="left" w:pos="3600"/>
        <w:tab w:val="left" w:pos="3958"/>
      </w:tabs>
    </w:pPr>
  </w:style>
  <w:style w:type="paragraph" w:customStyle="1" w:styleId="Note">
    <w:name w:val="Note"/>
    <w:basedOn w:val="BodyText"/>
    <w:rsid w:val="00967638"/>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967638"/>
    <w:pPr>
      <w:framePr w:wrap="auto" w:hAnchor="text" w:y="6049"/>
    </w:pPr>
    <w:rPr>
      <w:color w:val="000000"/>
      <w:sz w:val="40"/>
    </w:rPr>
  </w:style>
  <w:style w:type="paragraph" w:customStyle="1" w:styleId="TOCTitle">
    <w:name w:val="TOCTitle"/>
    <w:basedOn w:val="Heading1"/>
    <w:rsid w:val="00967638"/>
    <w:pPr>
      <w:spacing w:after="240"/>
      <w:jc w:val="center"/>
      <w:outlineLvl w:val="9"/>
    </w:pPr>
    <w:rPr>
      <w:caps/>
    </w:rPr>
  </w:style>
  <w:style w:type="paragraph" w:customStyle="1" w:styleId="Version">
    <w:name w:val="Version"/>
    <w:rsid w:val="00967638"/>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967638"/>
    <w:pPr>
      <w:keepNext w:val="0"/>
      <w:tabs>
        <w:tab w:val="right" w:pos="4176"/>
      </w:tabs>
      <w:ind w:left="198" w:hanging="198"/>
    </w:pPr>
    <w:rPr>
      <w:rFonts w:ascii="Garamond" w:hAnsi="Garamond"/>
    </w:rPr>
  </w:style>
  <w:style w:type="paragraph" w:styleId="IndexHeading">
    <w:name w:val="index heading"/>
    <w:basedOn w:val="Normal"/>
    <w:next w:val="Index1"/>
    <w:semiHidden/>
    <w:rsid w:val="00967638"/>
    <w:pPr>
      <w:spacing w:before="120" w:after="120"/>
    </w:pPr>
    <w:rPr>
      <w:rFonts w:ascii="Arial" w:hAnsi="Arial"/>
      <w:b/>
      <w:color w:val="918585"/>
      <w:sz w:val="24"/>
    </w:rPr>
  </w:style>
  <w:style w:type="paragraph" w:customStyle="1" w:styleId="Chapter">
    <w:name w:val="Chapter"/>
    <w:basedOn w:val="Normal"/>
    <w:rsid w:val="00967638"/>
    <w:pPr>
      <w:spacing w:before="240"/>
    </w:pPr>
    <w:rPr>
      <w:rFonts w:ascii="Times New Roman" w:hAnsi="Times New Roman"/>
      <w:smallCaps/>
      <w:spacing w:val="80"/>
      <w:sz w:val="28"/>
    </w:rPr>
  </w:style>
  <w:style w:type="paragraph" w:customStyle="1" w:styleId="InChapter">
    <w:name w:val="InChapter"/>
    <w:basedOn w:val="Heading3"/>
    <w:rsid w:val="00967638"/>
    <w:pPr>
      <w:spacing w:after="240"/>
      <w:outlineLvl w:val="9"/>
    </w:pPr>
    <w:rPr>
      <w:noProof/>
    </w:rPr>
  </w:style>
  <w:style w:type="paragraph" w:styleId="Index2">
    <w:name w:val="index 2"/>
    <w:basedOn w:val="Normal"/>
    <w:next w:val="Normal"/>
    <w:semiHidden/>
    <w:rsid w:val="00967638"/>
    <w:pPr>
      <w:tabs>
        <w:tab w:val="right" w:pos="4176"/>
      </w:tabs>
      <w:ind w:left="568" w:hanging="284"/>
    </w:pPr>
    <w:rPr>
      <w:rFonts w:ascii="Garamond" w:hAnsi="Garamond"/>
    </w:rPr>
  </w:style>
  <w:style w:type="paragraph" w:customStyle="1" w:styleId="Byline">
    <w:name w:val="Byline"/>
    <w:rsid w:val="00967638"/>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967638"/>
    <w:pPr>
      <w:tabs>
        <w:tab w:val="clear" w:pos="3600"/>
        <w:tab w:val="clear" w:pos="3958"/>
      </w:tabs>
      <w:jc w:val="right"/>
    </w:pPr>
  </w:style>
  <w:style w:type="paragraph" w:styleId="Caption">
    <w:name w:val="caption"/>
    <w:basedOn w:val="BodyText"/>
    <w:next w:val="Normal"/>
    <w:qFormat/>
    <w:rsid w:val="00967638"/>
    <w:pPr>
      <w:framePr w:w="2268" w:hSpace="181" w:vSpace="181" w:wrap="around" w:vAnchor="text" w:hAnchor="page" w:x="1135" w:y="285" w:anchorLock="1"/>
    </w:pPr>
    <w:rPr>
      <w:i/>
    </w:rPr>
  </w:style>
  <w:style w:type="paragraph" w:customStyle="1" w:styleId="MiniTOCTitle">
    <w:name w:val="MiniTOCTitle"/>
    <w:basedOn w:val="Heading4"/>
    <w:rsid w:val="00967638"/>
    <w:pPr>
      <w:spacing w:before="240"/>
      <w:outlineLvl w:val="9"/>
    </w:pPr>
    <w:rPr>
      <w:noProof/>
      <w:sz w:val="24"/>
    </w:rPr>
  </w:style>
  <w:style w:type="paragraph" w:customStyle="1" w:styleId="MiniTOCItem">
    <w:name w:val="MiniTOCItem"/>
    <w:basedOn w:val="ListBullet"/>
    <w:rsid w:val="00967638"/>
    <w:pPr>
      <w:numPr>
        <w:numId w:val="0"/>
      </w:numPr>
      <w:tabs>
        <w:tab w:val="right" w:leader="dot" w:pos="6521"/>
      </w:tabs>
      <w:spacing w:before="0" w:after="0"/>
    </w:pPr>
  </w:style>
  <w:style w:type="paragraph" w:customStyle="1" w:styleId="TOFTitle">
    <w:name w:val="TOFTitle"/>
    <w:basedOn w:val="TOCTitle"/>
    <w:rsid w:val="00967638"/>
  </w:style>
  <w:style w:type="paragraph" w:styleId="TableofFigures">
    <w:name w:val="table of figures"/>
    <w:basedOn w:val="Normal"/>
    <w:next w:val="Normal"/>
    <w:semiHidden/>
    <w:rsid w:val="00967638"/>
    <w:pPr>
      <w:tabs>
        <w:tab w:val="right" w:leader="dot" w:pos="9072"/>
      </w:tabs>
      <w:ind w:left="970" w:hanging="403"/>
    </w:pPr>
    <w:rPr>
      <w:rFonts w:ascii="Times New Roman" w:hAnsi="Times New Roman"/>
      <w:b/>
    </w:rPr>
  </w:style>
  <w:style w:type="paragraph" w:styleId="ListNumber">
    <w:name w:val="List Number"/>
    <w:basedOn w:val="List"/>
    <w:rsid w:val="00967638"/>
    <w:pPr>
      <w:numPr>
        <w:numId w:val="11"/>
      </w:numPr>
    </w:pPr>
  </w:style>
  <w:style w:type="character" w:customStyle="1" w:styleId="WingdingSymbols">
    <w:name w:val="Wingding Symbols"/>
    <w:rsid w:val="00967638"/>
    <w:rPr>
      <w:rFonts w:ascii="Wingdings" w:hAnsi="Wingdings"/>
    </w:rPr>
  </w:style>
  <w:style w:type="paragraph" w:customStyle="1" w:styleId="TableHeading">
    <w:name w:val="Table Heading"/>
    <w:basedOn w:val="HeadingBase"/>
    <w:rsid w:val="00967638"/>
    <w:pPr>
      <w:keepLines/>
      <w:pBdr>
        <w:bottom w:val="single" w:sz="6" w:space="1" w:color="918585"/>
      </w:pBdr>
      <w:spacing w:before="240"/>
    </w:pPr>
  </w:style>
  <w:style w:type="character" w:customStyle="1" w:styleId="HotSpot">
    <w:name w:val="HotSpot"/>
    <w:rsid w:val="00967638"/>
    <w:rPr>
      <w:color w:val="0033CC"/>
      <w:u w:val="none"/>
    </w:rPr>
  </w:style>
  <w:style w:type="paragraph" w:customStyle="1" w:styleId="BodyTextRight">
    <w:name w:val="Body Text Right"/>
    <w:basedOn w:val="BodyText"/>
    <w:rsid w:val="00967638"/>
    <w:pPr>
      <w:spacing w:before="0" w:after="0"/>
      <w:jc w:val="right"/>
    </w:pPr>
  </w:style>
  <w:style w:type="paragraph" w:styleId="Index3">
    <w:name w:val="index 3"/>
    <w:basedOn w:val="ListNumber2"/>
    <w:next w:val="Normal"/>
    <w:semiHidden/>
    <w:rsid w:val="00967638"/>
    <w:pPr>
      <w:numPr>
        <w:numId w:val="0"/>
      </w:numPr>
      <w:tabs>
        <w:tab w:val="right" w:leader="dot" w:pos="4176"/>
      </w:tabs>
    </w:pPr>
  </w:style>
  <w:style w:type="paragraph" w:styleId="ListNumber2">
    <w:name w:val="List Number 2"/>
    <w:basedOn w:val="List2"/>
    <w:rsid w:val="00967638"/>
    <w:pPr>
      <w:numPr>
        <w:numId w:val="10"/>
      </w:numPr>
      <w:tabs>
        <w:tab w:val="clear" w:pos="1060"/>
      </w:tabs>
    </w:pPr>
  </w:style>
  <w:style w:type="paragraph" w:customStyle="1" w:styleId="MarginNote">
    <w:name w:val="Margin Note"/>
    <w:basedOn w:val="BodyText"/>
    <w:rsid w:val="00967638"/>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967638"/>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967638"/>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967638"/>
    <w:rPr>
      <w:sz w:val="32"/>
    </w:rPr>
  </w:style>
  <w:style w:type="paragraph" w:customStyle="1" w:styleId="HeadingProcedure">
    <w:name w:val="Heading Procedure"/>
    <w:basedOn w:val="HeadingBase"/>
    <w:next w:val="Normal"/>
    <w:rsid w:val="00967638"/>
    <w:pPr>
      <w:tabs>
        <w:tab w:val="left" w:pos="0"/>
      </w:tabs>
      <w:spacing w:before="120" w:after="60"/>
    </w:pPr>
    <w:rPr>
      <w:i/>
      <w:color w:val="918585"/>
      <w:sz w:val="22"/>
    </w:rPr>
  </w:style>
  <w:style w:type="paragraph" w:customStyle="1" w:styleId="TableBodyText">
    <w:name w:val="Table Body Text"/>
    <w:basedOn w:val="BodyText"/>
    <w:rsid w:val="00967638"/>
    <w:pPr>
      <w:spacing w:before="60" w:after="60"/>
    </w:pPr>
  </w:style>
  <w:style w:type="paragraph" w:styleId="ListContinue">
    <w:name w:val="List Continue"/>
    <w:basedOn w:val="List"/>
    <w:rsid w:val="00967638"/>
    <w:pPr>
      <w:ind w:firstLine="0"/>
    </w:pPr>
  </w:style>
  <w:style w:type="paragraph" w:customStyle="1" w:styleId="ListNote">
    <w:name w:val="List Note"/>
    <w:basedOn w:val="List"/>
    <w:rsid w:val="00967638"/>
    <w:pPr>
      <w:pBdr>
        <w:top w:val="single" w:sz="6" w:space="2" w:color="918585"/>
        <w:bottom w:val="single" w:sz="6" w:space="2" w:color="918585"/>
      </w:pBdr>
      <w:tabs>
        <w:tab w:val="left" w:pos="1021"/>
      </w:tabs>
      <w:ind w:firstLine="0"/>
    </w:pPr>
  </w:style>
  <w:style w:type="paragraph" w:customStyle="1" w:styleId="Warning">
    <w:name w:val="Warning"/>
    <w:basedOn w:val="BodyText"/>
    <w:rsid w:val="00967638"/>
    <w:pPr>
      <w:shd w:val="clear" w:color="auto" w:fill="D9D9D9"/>
      <w:tabs>
        <w:tab w:val="left" w:pos="992"/>
      </w:tabs>
      <w:ind w:left="119" w:right="119"/>
    </w:pPr>
    <w:rPr>
      <w:sz w:val="20"/>
    </w:rPr>
  </w:style>
  <w:style w:type="paragraph" w:customStyle="1" w:styleId="MarginIcons">
    <w:name w:val="Margin Icons"/>
    <w:basedOn w:val="BodyText"/>
    <w:rsid w:val="00967638"/>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967638"/>
    <w:rPr>
      <w:rFonts w:ascii="Courier New" w:hAnsi="Courier New"/>
    </w:rPr>
  </w:style>
  <w:style w:type="paragraph" w:customStyle="1" w:styleId="NoteBullet">
    <w:name w:val="Note Bullet"/>
    <w:basedOn w:val="Note"/>
    <w:rsid w:val="00967638"/>
    <w:pPr>
      <w:tabs>
        <w:tab w:val="clear" w:pos="680"/>
      </w:tabs>
      <w:spacing w:before="60" w:after="60"/>
    </w:pPr>
  </w:style>
  <w:style w:type="paragraph" w:customStyle="1" w:styleId="SubHeading2">
    <w:name w:val="SubHeading2"/>
    <w:basedOn w:val="HeadingBase"/>
    <w:rsid w:val="00967638"/>
    <w:pPr>
      <w:spacing w:before="240" w:after="60"/>
    </w:pPr>
    <w:rPr>
      <w:sz w:val="20"/>
    </w:rPr>
  </w:style>
  <w:style w:type="paragraph" w:customStyle="1" w:styleId="SubHeading1">
    <w:name w:val="SubHeading1"/>
    <w:basedOn w:val="HeadingBase"/>
    <w:rsid w:val="00967638"/>
    <w:pPr>
      <w:spacing w:before="240" w:after="60"/>
    </w:pPr>
    <w:rPr>
      <w:color w:val="918585"/>
      <w:sz w:val="22"/>
    </w:rPr>
  </w:style>
  <w:style w:type="paragraph" w:customStyle="1" w:styleId="SideHeading">
    <w:name w:val="Side Heading"/>
    <w:basedOn w:val="HeadingBase"/>
    <w:rsid w:val="00967638"/>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967638"/>
    <w:pPr>
      <w:numPr>
        <w:numId w:val="12"/>
      </w:numPr>
    </w:pPr>
  </w:style>
  <w:style w:type="paragraph" w:styleId="PlainText">
    <w:name w:val="Plain Text"/>
    <w:basedOn w:val="Normal"/>
    <w:link w:val="PlainTextChar"/>
    <w:rsid w:val="00967638"/>
    <w:rPr>
      <w:sz w:val="20"/>
    </w:rPr>
  </w:style>
  <w:style w:type="character" w:customStyle="1" w:styleId="PlainTextChar">
    <w:name w:val="Plain Text Char"/>
    <w:basedOn w:val="DefaultParagraphFont"/>
    <w:link w:val="PlainText"/>
    <w:rsid w:val="00967638"/>
    <w:rPr>
      <w:rFonts w:ascii="Courier New" w:eastAsia="Times New Roman" w:hAnsi="Courier New" w:cs="Times New Roman"/>
      <w:sz w:val="20"/>
      <w:szCs w:val="20"/>
      <w:lang w:val="en-US" w:eastAsia="en-US"/>
    </w:rPr>
  </w:style>
  <w:style w:type="character" w:customStyle="1" w:styleId="MenuOption">
    <w:name w:val="Menu Option"/>
    <w:basedOn w:val="DefaultParagraphFont"/>
    <w:rsid w:val="00967638"/>
    <w:rPr>
      <w:b/>
      <w:smallCaps/>
    </w:rPr>
  </w:style>
  <w:style w:type="paragraph" w:customStyle="1" w:styleId="TableListNumber">
    <w:name w:val="Table List Number"/>
    <w:basedOn w:val="ListNumber"/>
    <w:rsid w:val="00967638"/>
    <w:pPr>
      <w:numPr>
        <w:numId w:val="0"/>
      </w:numPr>
    </w:pPr>
  </w:style>
  <w:style w:type="paragraph" w:styleId="TOC4">
    <w:name w:val="toc 4"/>
    <w:basedOn w:val="TOCBase"/>
    <w:next w:val="Normal"/>
    <w:semiHidden/>
    <w:rsid w:val="00967638"/>
    <w:pPr>
      <w:tabs>
        <w:tab w:val="right" w:leader="dot" w:pos="9071"/>
      </w:tabs>
      <w:ind w:left="1701"/>
    </w:pPr>
  </w:style>
  <w:style w:type="paragraph" w:customStyle="1" w:styleId="ListAlpha">
    <w:name w:val="List Alpha"/>
    <w:basedOn w:val="List"/>
    <w:rsid w:val="00967638"/>
    <w:pPr>
      <w:numPr>
        <w:numId w:val="9"/>
      </w:numPr>
    </w:pPr>
  </w:style>
  <w:style w:type="paragraph" w:customStyle="1" w:styleId="ListAlpha2">
    <w:name w:val="List Alpha 2"/>
    <w:basedOn w:val="List2"/>
    <w:rsid w:val="00967638"/>
    <w:pPr>
      <w:numPr>
        <w:numId w:val="8"/>
      </w:numPr>
    </w:pPr>
  </w:style>
  <w:style w:type="paragraph" w:styleId="List2">
    <w:name w:val="List 2"/>
    <w:basedOn w:val="BodyText"/>
    <w:rsid w:val="00967638"/>
    <w:pPr>
      <w:tabs>
        <w:tab w:val="left" w:pos="680"/>
      </w:tabs>
      <w:spacing w:before="60" w:after="60"/>
      <w:ind w:left="680" w:hanging="340"/>
    </w:pPr>
  </w:style>
  <w:style w:type="paragraph" w:styleId="List3">
    <w:name w:val="List 3"/>
    <w:basedOn w:val="BodyText"/>
    <w:rsid w:val="00967638"/>
    <w:pPr>
      <w:tabs>
        <w:tab w:val="left" w:pos="1021"/>
      </w:tabs>
      <w:spacing w:before="60" w:after="60"/>
      <w:ind w:left="1020" w:hanging="340"/>
    </w:pPr>
  </w:style>
  <w:style w:type="paragraph" w:styleId="List4">
    <w:name w:val="List 4"/>
    <w:basedOn w:val="BodyText"/>
    <w:rsid w:val="00967638"/>
    <w:pPr>
      <w:tabs>
        <w:tab w:val="left" w:pos="1361"/>
      </w:tabs>
      <w:spacing w:before="60" w:after="60"/>
      <w:ind w:left="1361" w:hanging="340"/>
    </w:pPr>
  </w:style>
  <w:style w:type="paragraph" w:styleId="List5">
    <w:name w:val="List 5"/>
    <w:basedOn w:val="BodyText"/>
    <w:rsid w:val="00967638"/>
    <w:pPr>
      <w:tabs>
        <w:tab w:val="left" w:pos="1701"/>
      </w:tabs>
      <w:spacing w:before="60" w:after="60"/>
      <w:ind w:left="1701" w:hanging="340"/>
    </w:pPr>
  </w:style>
  <w:style w:type="paragraph" w:styleId="ListBullet3">
    <w:name w:val="List Bullet 3"/>
    <w:basedOn w:val="List3"/>
    <w:rsid w:val="00967638"/>
    <w:pPr>
      <w:numPr>
        <w:numId w:val="15"/>
      </w:numPr>
      <w:tabs>
        <w:tab w:val="clear" w:pos="1021"/>
      </w:tabs>
      <w:ind w:left="1037" w:hanging="357"/>
    </w:pPr>
  </w:style>
  <w:style w:type="paragraph" w:styleId="ListBullet4">
    <w:name w:val="List Bullet 4"/>
    <w:basedOn w:val="List4"/>
    <w:rsid w:val="00967638"/>
    <w:pPr>
      <w:numPr>
        <w:numId w:val="3"/>
      </w:numPr>
    </w:pPr>
  </w:style>
  <w:style w:type="paragraph" w:styleId="ListBullet5">
    <w:name w:val="List Bullet 5"/>
    <w:basedOn w:val="List5"/>
    <w:rsid w:val="00967638"/>
    <w:pPr>
      <w:numPr>
        <w:numId w:val="4"/>
      </w:numPr>
    </w:pPr>
  </w:style>
  <w:style w:type="paragraph" w:styleId="ListContinue2">
    <w:name w:val="List Continue 2"/>
    <w:basedOn w:val="List2"/>
    <w:rsid w:val="00967638"/>
    <w:pPr>
      <w:ind w:firstLine="0"/>
    </w:pPr>
  </w:style>
  <w:style w:type="paragraph" w:styleId="ListContinue3">
    <w:name w:val="List Continue 3"/>
    <w:basedOn w:val="List3"/>
    <w:rsid w:val="00967638"/>
    <w:pPr>
      <w:ind w:left="1021" w:firstLine="0"/>
    </w:pPr>
  </w:style>
  <w:style w:type="paragraph" w:styleId="ListContinue4">
    <w:name w:val="List Continue 4"/>
    <w:basedOn w:val="List4"/>
    <w:rsid w:val="00967638"/>
    <w:pPr>
      <w:ind w:firstLine="0"/>
    </w:pPr>
  </w:style>
  <w:style w:type="paragraph" w:styleId="ListContinue5">
    <w:name w:val="List Continue 5"/>
    <w:basedOn w:val="List5"/>
    <w:rsid w:val="00967638"/>
    <w:pPr>
      <w:ind w:firstLine="0"/>
    </w:pPr>
  </w:style>
  <w:style w:type="paragraph" w:styleId="ListNumber3">
    <w:name w:val="List Number 3"/>
    <w:basedOn w:val="List3"/>
    <w:rsid w:val="00967638"/>
    <w:pPr>
      <w:numPr>
        <w:numId w:val="5"/>
      </w:numPr>
    </w:pPr>
  </w:style>
  <w:style w:type="paragraph" w:styleId="ListNumber4">
    <w:name w:val="List Number 4"/>
    <w:basedOn w:val="List4"/>
    <w:rsid w:val="00967638"/>
    <w:pPr>
      <w:numPr>
        <w:numId w:val="6"/>
      </w:numPr>
    </w:pPr>
  </w:style>
  <w:style w:type="paragraph" w:styleId="ListNumber5">
    <w:name w:val="List Number 5"/>
    <w:basedOn w:val="List5"/>
    <w:rsid w:val="00967638"/>
    <w:pPr>
      <w:numPr>
        <w:numId w:val="7"/>
      </w:numPr>
    </w:pPr>
  </w:style>
  <w:style w:type="paragraph" w:styleId="BlockText">
    <w:name w:val="Block Text"/>
    <w:basedOn w:val="Normal"/>
    <w:rsid w:val="00967638"/>
    <w:pPr>
      <w:spacing w:after="120"/>
      <w:ind w:left="1440" w:right="1440"/>
    </w:pPr>
  </w:style>
  <w:style w:type="character" w:customStyle="1" w:styleId="Superscript">
    <w:name w:val="Superscript"/>
    <w:basedOn w:val="DefaultParagraphFont"/>
    <w:rsid w:val="00967638"/>
    <w:rPr>
      <w:sz w:val="16"/>
      <w:vertAlign w:val="superscript"/>
    </w:rPr>
  </w:style>
  <w:style w:type="character" w:customStyle="1" w:styleId="Symbols">
    <w:name w:val="Symbols"/>
    <w:basedOn w:val="DefaultParagraphFont"/>
    <w:rsid w:val="00967638"/>
    <w:rPr>
      <w:rFonts w:ascii="Symbol" w:hAnsi="Symbol"/>
    </w:rPr>
  </w:style>
  <w:style w:type="character" w:customStyle="1" w:styleId="MenuOptions">
    <w:name w:val="Menu Options"/>
    <w:basedOn w:val="DefaultParagraphFont"/>
    <w:rsid w:val="00967638"/>
    <w:rPr>
      <w:rFonts w:ascii="Arial Narrow" w:hAnsi="Arial Narrow"/>
      <w:smallCaps/>
    </w:rPr>
  </w:style>
  <w:style w:type="character" w:customStyle="1" w:styleId="Buttons">
    <w:name w:val="Buttons"/>
    <w:basedOn w:val="DefaultParagraphFont"/>
    <w:rsid w:val="00967638"/>
    <w:rPr>
      <w:b/>
    </w:rPr>
  </w:style>
  <w:style w:type="character" w:customStyle="1" w:styleId="Underlined">
    <w:name w:val="Underlined"/>
    <w:basedOn w:val="DefaultParagraphFont"/>
    <w:rsid w:val="00967638"/>
    <w:rPr>
      <w:u w:val="single"/>
    </w:rPr>
  </w:style>
  <w:style w:type="paragraph" w:customStyle="1" w:styleId="TableBodyTextRight">
    <w:name w:val="Table Body Text Right"/>
    <w:basedOn w:val="TableBodyText"/>
    <w:rsid w:val="00967638"/>
    <w:pPr>
      <w:widowControl w:val="0"/>
      <w:autoSpaceDE w:val="0"/>
      <w:autoSpaceDN w:val="0"/>
      <w:adjustRightInd w:val="0"/>
      <w:jc w:val="right"/>
    </w:pPr>
    <w:rPr>
      <w:rFonts w:cs="Arial"/>
      <w:szCs w:val="18"/>
    </w:rPr>
  </w:style>
  <w:style w:type="paragraph" w:customStyle="1" w:styleId="CopyrightText">
    <w:name w:val="Copyright Text"/>
    <w:basedOn w:val="BodyText"/>
    <w:rsid w:val="00967638"/>
    <w:rPr>
      <w:sz w:val="18"/>
    </w:rPr>
  </w:style>
  <w:style w:type="paragraph" w:customStyle="1" w:styleId="BodySmallRight">
    <w:name w:val="Body Small Right"/>
    <w:basedOn w:val="BodyTextRight"/>
    <w:rsid w:val="00967638"/>
    <w:rPr>
      <w:sz w:val="18"/>
      <w:szCs w:val="18"/>
    </w:rPr>
  </w:style>
  <w:style w:type="paragraph" w:customStyle="1" w:styleId="MarginEdition">
    <w:name w:val="Margin Edition"/>
    <w:basedOn w:val="MarginNote"/>
    <w:rsid w:val="00967638"/>
    <w:pPr>
      <w:spacing w:before="0" w:after="0"/>
    </w:pPr>
    <w:rPr>
      <w:rFonts w:ascii="Times New Roman" w:hAnsi="Times New Roman"/>
      <w:color w:val="999999"/>
    </w:rPr>
  </w:style>
  <w:style w:type="paragraph" w:customStyle="1" w:styleId="Spacer">
    <w:name w:val="Spacer"/>
    <w:basedOn w:val="Normal"/>
    <w:rsid w:val="00967638"/>
    <w:rPr>
      <w:sz w:val="2"/>
      <w:szCs w:val="2"/>
    </w:rPr>
  </w:style>
  <w:style w:type="character" w:customStyle="1" w:styleId="Small">
    <w:name w:val="Small"/>
    <w:basedOn w:val="DefaultParagraphFont"/>
    <w:rsid w:val="00967638"/>
    <w:rPr>
      <w:sz w:val="16"/>
    </w:rPr>
  </w:style>
  <w:style w:type="paragraph" w:customStyle="1" w:styleId="WideTable">
    <w:name w:val="Wide Table"/>
    <w:basedOn w:val="Normal"/>
    <w:rsid w:val="00967638"/>
    <w:pPr>
      <w:ind w:left="-1418"/>
    </w:pPr>
    <w:rPr>
      <w:sz w:val="2"/>
      <w:szCs w:val="2"/>
    </w:rPr>
  </w:style>
  <w:style w:type="character" w:styleId="PageNumber">
    <w:name w:val="page number"/>
    <w:basedOn w:val="DefaultParagraphFont"/>
    <w:rsid w:val="00967638"/>
  </w:style>
  <w:style w:type="paragraph" w:styleId="Quote">
    <w:name w:val="Quote"/>
    <w:basedOn w:val="Heading1"/>
    <w:link w:val="QuoteChar"/>
    <w:qFormat/>
    <w:rsid w:val="00967638"/>
    <w:rPr>
      <w:b w:val="0"/>
      <w:sz w:val="72"/>
      <w:szCs w:val="72"/>
      <w:lang w:val="en-NZ"/>
    </w:rPr>
  </w:style>
  <w:style w:type="character" w:customStyle="1" w:styleId="QuoteChar">
    <w:name w:val="Quote Char"/>
    <w:basedOn w:val="DefaultParagraphFont"/>
    <w:link w:val="Quote"/>
    <w:rsid w:val="00967638"/>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967638"/>
    <w:pPr>
      <w:pageBreakBefore/>
    </w:pPr>
  </w:style>
  <w:style w:type="paragraph" w:customStyle="1" w:styleId="Border">
    <w:name w:val="Border"/>
    <w:basedOn w:val="Normal"/>
    <w:qFormat/>
    <w:rsid w:val="00967638"/>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967638"/>
    <w:rPr>
      <w:b/>
      <w:bCs/>
      <w:i/>
      <w:iCs/>
      <w:color w:val="auto"/>
    </w:rPr>
  </w:style>
  <w:style w:type="paragraph" w:styleId="IntenseQuote">
    <w:name w:val="Intense Quote"/>
    <w:basedOn w:val="Normal"/>
    <w:next w:val="Normal"/>
    <w:link w:val="IntenseQuoteChar"/>
    <w:uiPriority w:val="30"/>
    <w:qFormat/>
    <w:rsid w:val="00967638"/>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967638"/>
    <w:rPr>
      <w:rFonts w:ascii="Courier New" w:eastAsia="Times New Roman" w:hAnsi="Courier New" w:cs="Times New Roman"/>
      <w:b/>
      <w:bCs/>
      <w:i/>
      <w:iCs/>
      <w:szCs w:val="20"/>
      <w:lang w:val="en-US" w:eastAsia="en-US"/>
    </w:rPr>
  </w:style>
  <w:style w:type="character" w:styleId="SubtleReference">
    <w:name w:val="Subtle Reference"/>
    <w:basedOn w:val="DefaultParagraphFont"/>
    <w:uiPriority w:val="31"/>
    <w:qFormat/>
    <w:rsid w:val="00967638"/>
    <w:rPr>
      <w:smallCaps/>
      <w:color w:val="auto"/>
      <w:u w:val="single"/>
    </w:rPr>
  </w:style>
  <w:style w:type="character" w:styleId="IntenseReference">
    <w:name w:val="Intense Reference"/>
    <w:basedOn w:val="DefaultParagraphFont"/>
    <w:uiPriority w:val="32"/>
    <w:qFormat/>
    <w:rsid w:val="00967638"/>
    <w:rPr>
      <w:b/>
      <w:bCs/>
      <w:smallCaps/>
      <w:color w:val="auto"/>
      <w:spacing w:val="5"/>
      <w:u w:val="single"/>
    </w:rPr>
  </w:style>
  <w:style w:type="paragraph" w:customStyle="1" w:styleId="2ColumnHeading">
    <w:name w:val="2Column Heading"/>
    <w:basedOn w:val="BodyText"/>
    <w:qFormat/>
    <w:rsid w:val="00967638"/>
    <w:pPr>
      <w:spacing w:after="60"/>
      <w:ind w:left="-2268"/>
    </w:pPr>
    <w:rPr>
      <w:b/>
    </w:rPr>
  </w:style>
  <w:style w:type="paragraph" w:customStyle="1" w:styleId="Heading1TOC">
    <w:name w:val="Heading1 TOC"/>
    <w:basedOn w:val="Normal"/>
    <w:qFormat/>
    <w:rsid w:val="00967638"/>
    <w:pPr>
      <w:spacing w:before="240" w:after="120"/>
    </w:pPr>
    <w:rPr>
      <w:rFonts w:ascii="Times New Roman" w:hAnsi="Times New Roman"/>
      <w:b/>
      <w:sz w:val="32"/>
    </w:rPr>
  </w:style>
  <w:style w:type="paragraph" w:customStyle="1" w:styleId="Heading2TOC">
    <w:name w:val="Heading2 TOC"/>
    <w:basedOn w:val="Normal"/>
    <w:qFormat/>
    <w:rsid w:val="00967638"/>
    <w:pPr>
      <w:spacing w:before="240" w:after="60"/>
    </w:pPr>
    <w:rPr>
      <w:rFonts w:ascii="Times New Roman" w:hAnsi="Times New Roman"/>
      <w:b/>
      <w:sz w:val="28"/>
    </w:rPr>
  </w:style>
  <w:style w:type="character" w:customStyle="1" w:styleId="Underline">
    <w:name w:val="Underline"/>
    <w:basedOn w:val="DefaultParagraphFont"/>
    <w:qFormat/>
    <w:rsid w:val="00967638"/>
    <w:rPr>
      <w:u w:val="single"/>
    </w:rPr>
  </w:style>
  <w:style w:type="character" w:customStyle="1" w:styleId="BoldandItalics">
    <w:name w:val="Bold and Italics"/>
    <w:qFormat/>
    <w:rsid w:val="00967638"/>
    <w:rPr>
      <w:b/>
      <w:i/>
      <w:u w:val="none"/>
    </w:rPr>
  </w:style>
  <w:style w:type="paragraph" w:styleId="BalloonText">
    <w:name w:val="Balloon Text"/>
    <w:basedOn w:val="Normal"/>
    <w:link w:val="BalloonTextChar"/>
    <w:rsid w:val="00967638"/>
    <w:rPr>
      <w:rFonts w:ascii="Tahoma" w:hAnsi="Tahoma" w:cs="Tahoma"/>
      <w:sz w:val="16"/>
      <w:szCs w:val="16"/>
    </w:rPr>
  </w:style>
  <w:style w:type="character" w:customStyle="1" w:styleId="BalloonTextChar">
    <w:name w:val="Balloon Text Char"/>
    <w:basedOn w:val="DefaultParagraphFont"/>
    <w:link w:val="BalloonText"/>
    <w:rsid w:val="00967638"/>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967638"/>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967638"/>
    <w:rPr>
      <w:rFonts w:ascii="Courier New" w:eastAsia="Times New Roman" w:hAnsi="Courier New" w:cs="Times New Roman"/>
      <w:sz w:val="24"/>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6</Pages>
  <Words>1522</Words>
  <Characters>9440</Characters>
  <Application>Microsoft Office Word</Application>
  <DocSecurity>0</DocSecurity>
  <Lines>294</Lines>
  <Paragraphs>189</Paragraphs>
  <ScaleCrop>false</ScaleCrop>
  <Company>Author-it Software Corporation Ltd.</Company>
  <LinksUpToDate>false</LinksUpToDate>
  <CharactersWithSpaces>10862</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PRMPFES04B Identify fire protection equipment</dc:title>
  <dc:subject>Approved</dc:subject>
  <dc:creator>Construction &amp; Property Services Industry Skills Council</dc:creator>
  <cp:keywords>Release: 1</cp:keywords>
  <dc:description>Copyright © 1996-2007 Author-it Software Corporation Ltd., all rights reserved.</dc:description>
  <cp:lastModifiedBy>Windows User</cp:lastModifiedBy>
  <cp:revision>3</cp:revision>
  <dcterms:created xsi:type="dcterms:W3CDTF">2012-05-26T19:15:00Z</dcterms:created>
  <dcterms:modified xsi:type="dcterms:W3CDTF">2012-05-26T19:15:00Z</dcterms:modified>
</cp:coreProperties>
</file>