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3B22" w:rsidP="00833B22">
      <w:pPr>
        <w:pStyle w:val="Title"/>
      </w:pPr>
      <w:r>
        <w:fldChar w:fldCharType="begin"/>
      </w:r>
      <w:r>
        <w:instrText xml:space="preserve"> TITLE   \* MERGEFORMAT </w:instrText>
      </w:r>
      <w:r>
        <w:fldChar w:fldCharType="separate"/>
      </w:r>
      <w:r>
        <w:t>PRMCMN101A Follow workplace safety arrangements</w:t>
      </w:r>
      <w:r>
        <w:fldChar w:fldCharType="end"/>
      </w:r>
    </w:p>
    <w:p w:rsidR="00833B22" w:rsidP="00833B22">
      <w:pPr>
        <w:pStyle w:val="Version"/>
        <w:sectPr w:rsidSect="00CB65A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B65A2" w:rsidP="00CB65A2">
      <w:pPr>
        <w:pStyle w:val="SuperHeading"/>
      </w:pPr>
      <w:r w:rsidRPr="00CB65A2">
        <w:t>PRMCMN101A Follow workplace safety arrangements</w:t>
      </w:r>
    </w:p>
    <w:p w:rsidR="00000000" w:rsidRPr="00CB65A2" w:rsidP="00CB65A2">
      <w:pPr>
        <w:pStyle w:val="Heading1"/>
      </w:pPr>
      <w:bookmarkStart w:id="1" w:name="O_272879"/>
      <w:bookmarkEnd w:id="1"/>
      <w:r w:rsidRPr="00CB65A2">
        <w:t>Modification History</w:t>
      </w:r>
    </w:p>
    <w:p w:rsidR="00000000" w:rsidRPr="00CB65A2" w:rsidP="00CB65A2">
      <w:pPr>
        <w:pStyle w:val="BodyText"/>
      </w:pPr>
      <w:r w:rsidRPr="00CB65A2">
        <w:t>Not Applicable</w:t>
      </w:r>
    </w:p>
    <w:p w:rsidR="00000000" w:rsidRPr="00CB65A2" w:rsidP="00CB65A2">
      <w:pPr>
        <w:pStyle w:val="AllowPageBreak"/>
      </w:pPr>
    </w:p>
    <w:p w:rsidR="00000000" w:rsidRPr="00CB65A2" w:rsidP="00CB65A2">
      <w:pPr>
        <w:pStyle w:val="Heading1"/>
      </w:pPr>
      <w:bookmarkStart w:id="2" w:name="O_216383"/>
      <w:bookmarkEnd w:id="2"/>
      <w:r w:rsidRPr="00CB65A2">
        <w:t>Unit Descriptor</w:t>
      </w:r>
    </w:p>
    <w:p w:rsidR="00000000" w:rsidRPr="00CB65A2" w:rsidP="00CB65A2">
      <w:pPr>
        <w:pStyle w:val="BodyText"/>
      </w:pPr>
      <w:r w:rsidRPr="00CB65A2">
        <w:rPr>
          <w:rStyle w:val="SpecialBold"/>
        </w:rPr>
        <w:t>Unit descriptor</w:t>
      </w:r>
    </w:p>
    <w:p w:rsidR="00000000" w:rsidRPr="00CB65A2" w:rsidP="00CB65A2">
      <w:pPr>
        <w:pStyle w:val="BodyText"/>
      </w:pPr>
      <w:r w:rsidRPr="00CB65A2">
        <w:t>This unit of competency covers understanding and following workplace occupational health an</w:t>
      </w:r>
      <w:r w:rsidRPr="00CB65A2">
        <w:t>d safety (OHS) policies and procedures in order to ensure own safety and that of others in the workplace. It also covers recognising common hazards and following workplace emergency procedures.</w:t>
      </w:r>
    </w:p>
    <w:p w:rsidR="00000000" w:rsidRPr="00CB65A2" w:rsidP="00CB65A2">
      <w:pPr>
        <w:pStyle w:val="BodyText"/>
      </w:pPr>
      <w:r w:rsidRPr="00CB65A2">
        <w:t>This unit is relevant for employees without managerial or supe</w:t>
      </w:r>
      <w:r w:rsidRPr="00CB65A2">
        <w:t>rvisory responsibilities. Performance would usually be carried out under supervision, within company guidelines.</w:t>
      </w:r>
    </w:p>
    <w:p w:rsidR="00833B22" w:rsidP="00CB65A2">
      <w:pPr>
        <w:pStyle w:val="BodyText"/>
      </w:pPr>
      <w:r w:rsidRPr="00CB65A2">
        <w:t xml:space="preserve">The unit is based on Generic Competency A in the National Guidelines for Integrating Occupational Health and Safety Competencies into National </w:t>
      </w:r>
      <w:r w:rsidRPr="00CB65A2">
        <w:t>Industry Competency Standards (NOHSC:7025 [1998] 2nd edition).</w:t>
      </w:r>
    </w:p>
    <w:p w:rsidR="00833B22" w:rsidP="00CB65A2">
      <w:pPr>
        <w:pStyle w:val="BodyText"/>
      </w:pPr>
    </w:p>
    <w:p w:rsidR="00000000" w:rsidRPr="00CB65A2" w:rsidP="00CB65A2">
      <w:pPr>
        <w:pStyle w:val="Heading1"/>
      </w:pPr>
      <w:bookmarkStart w:id="3" w:name="O_275730"/>
      <w:bookmarkEnd w:id="3"/>
      <w:r w:rsidRPr="00CB65A2">
        <w:t>Application of the Unit</w:t>
      </w:r>
    </w:p>
    <w:p w:rsidR="00000000" w:rsidRPr="00CB65A2" w:rsidP="00CB65A2">
      <w:pPr>
        <w:pStyle w:val="BodyText"/>
      </w:pPr>
      <w:r w:rsidRPr="00CB65A2">
        <w:t>Not Applicable</w:t>
      </w:r>
    </w:p>
    <w:p w:rsidR="00000000" w:rsidRPr="00CB65A2" w:rsidP="00CB65A2">
      <w:pPr>
        <w:pStyle w:val="AllowPageBreak"/>
      </w:pPr>
    </w:p>
    <w:p w:rsidR="00000000" w:rsidRPr="00CB65A2" w:rsidP="00CB65A2">
      <w:pPr>
        <w:pStyle w:val="Heading1"/>
      </w:pPr>
      <w:bookmarkStart w:id="4" w:name="O_281139"/>
      <w:bookmarkEnd w:id="4"/>
      <w:r w:rsidRPr="00CB65A2">
        <w:t>Licensing/Regulatory Information</w:t>
      </w:r>
    </w:p>
    <w:p w:rsidR="00000000" w:rsidRPr="00CB65A2" w:rsidP="00CB65A2">
      <w:pPr>
        <w:pStyle w:val="BodyText"/>
      </w:pPr>
      <w:r w:rsidRPr="00CB65A2">
        <w:t>Not Applicable</w:t>
      </w:r>
    </w:p>
    <w:p w:rsidR="00000000" w:rsidRPr="00CB65A2" w:rsidP="00CB65A2">
      <w:pPr>
        <w:pStyle w:val="AllowPageBreak"/>
      </w:pPr>
    </w:p>
    <w:p w:rsidR="00000000" w:rsidRPr="00CB65A2" w:rsidP="00CB65A2">
      <w:pPr>
        <w:pStyle w:val="Heading1"/>
      </w:pPr>
      <w:bookmarkStart w:id="5" w:name="O_284444"/>
      <w:bookmarkEnd w:id="5"/>
      <w:r w:rsidRPr="00CB65A2">
        <w:t>Pre-Requisites</w:t>
      </w:r>
    </w:p>
    <w:p w:rsidR="00000000" w:rsidRPr="00CB65A2" w:rsidP="00CB65A2">
      <w:pPr>
        <w:pStyle w:val="BodyText"/>
      </w:pPr>
      <w:r w:rsidRPr="00CB65A2">
        <w:t>Not Applicable</w:t>
      </w:r>
    </w:p>
    <w:p w:rsidR="00000000" w:rsidRPr="00CB65A2" w:rsidP="00CB65A2">
      <w:pPr>
        <w:pStyle w:val="AllowPageBreak"/>
      </w:pPr>
    </w:p>
    <w:p w:rsidR="00000000" w:rsidRPr="00CB65A2" w:rsidP="00CB65A2">
      <w:pPr>
        <w:pStyle w:val="Heading1"/>
      </w:pPr>
      <w:bookmarkStart w:id="6" w:name="O_285189"/>
      <w:bookmarkEnd w:id="6"/>
      <w:r w:rsidRPr="00CB65A2">
        <w:t>Employability Skills Information</w:t>
      </w:r>
    </w:p>
    <w:p w:rsidR="00000000" w:rsidRPr="00CB65A2" w:rsidP="00CB65A2">
      <w:pPr>
        <w:pStyle w:val="BodyText"/>
      </w:pPr>
      <w:r w:rsidRPr="00CB65A2">
        <w:t>Not Applicable</w:t>
      </w:r>
    </w:p>
    <w:p w:rsidR="00000000" w:rsidRPr="00CB65A2" w:rsidP="00CB65A2">
      <w:pPr>
        <w:pStyle w:val="AllowPageBreak"/>
      </w:pPr>
    </w:p>
    <w:p w:rsidR="00000000" w:rsidRPr="00CB65A2" w:rsidP="00CB65A2">
      <w:pPr>
        <w:pStyle w:val="Heading1"/>
      </w:pPr>
      <w:bookmarkStart w:id="7" w:name="O_290925"/>
      <w:bookmarkEnd w:id="7"/>
      <w:r w:rsidRPr="00CB65A2">
        <w:t>Elements and Performance Criteria Pre-Content</w:t>
      </w:r>
    </w:p>
    <w:p w:rsidR="00000000" w:rsidRPr="00CB65A2" w:rsidP="00CB65A2">
      <w:pPr>
        <w:pStyle w:val="BodyText"/>
      </w:pPr>
      <w:r w:rsidRPr="00CB65A2">
        <w:t>Not Applicable</w:t>
      </w:r>
    </w:p>
    <w:p w:rsidR="00000000" w:rsidRPr="00CB65A2" w:rsidP="00CB65A2">
      <w:pPr>
        <w:pStyle w:val="AllowPageBreak"/>
      </w:pPr>
    </w:p>
    <w:p w:rsidR="00000000" w:rsidRPr="00CB65A2" w:rsidP="00CB65A2">
      <w:pPr>
        <w:pStyle w:val="Heading1"/>
      </w:pPr>
      <w:bookmarkStart w:id="8" w:name="O_237593"/>
      <w:bookmarkEnd w:id="8"/>
      <w:r w:rsidRPr="00CB65A2">
        <w:t>Elements and Performance Criteria</w:t>
      </w:r>
    </w:p>
    <w:tbl>
      <w:tblPr>
        <w:tblW w:w="0" w:type="auto"/>
        <w:tblLayout w:type="fixed"/>
        <w:tblCellMar>
          <w:left w:w="62" w:type="dxa"/>
          <w:right w:w="62" w:type="dxa"/>
        </w:tblCellMar>
        <w:tblLook w:val="0000"/>
      </w:tblPr>
      <w:tblGrid>
        <w:gridCol w:w="3720"/>
        <w:gridCol w:w="22"/>
        <w:gridCol w:w="4988"/>
        <w:gridCol w:w="29"/>
        <w:gridCol w:w="27"/>
      </w:tblGrid>
      <w:tr w:rsidTr="00833B22">
        <w:tblPrEx>
          <w:tblW w:w="0" w:type="auto"/>
          <w:tblLayout w:type="fixed"/>
          <w:tblCellMar>
            <w:left w:w="62" w:type="dxa"/>
            <w:right w:w="62" w:type="dxa"/>
          </w:tblCellMar>
          <w:tblLook w:val="0000"/>
        </w:tblPrEx>
        <w:trPr>
          <w:gridAfter w:val="1"/>
          <w:wAfter w:w="27" w:type="dxa"/>
          <w:tblHeader/>
        </w:trPr>
        <w:tc>
          <w:tcPr>
            <w:tcW w:w="3742" w:type="dxa"/>
            <w:gridSpan w:val="2"/>
            <w:tcBorders>
              <w:top w:val="nil"/>
              <w:left w:val="nil"/>
              <w:bottom w:val="nil"/>
              <w:right w:val="nil"/>
            </w:tcBorders>
            <w:tcMar>
              <w:top w:w="0" w:type="dxa"/>
              <w:left w:w="62" w:type="dxa"/>
              <w:bottom w:w="0" w:type="dxa"/>
              <w:right w:w="62" w:type="dxa"/>
            </w:tcMar>
          </w:tcPr>
          <w:p w:rsidR="00000000" w:rsidRPr="00CB65A2" w:rsidP="00CB65A2">
            <w:pPr>
              <w:pStyle w:val="List"/>
            </w:pPr>
            <w:r w:rsidRPr="00CB65A2">
              <w:rPr>
                <w:rStyle w:val="SpecialBold"/>
              </w:rPr>
              <w:t>ELEMENT</w:t>
            </w:r>
          </w:p>
        </w:tc>
        <w:tc>
          <w:tcPr>
            <w:tcW w:w="5017" w:type="dxa"/>
            <w:gridSpan w:val="2"/>
            <w:tcBorders>
              <w:top w:val="nil"/>
              <w:left w:val="nil"/>
              <w:bottom w:val="nil"/>
              <w:right w:val="nil"/>
            </w:tcBorders>
            <w:tcMar>
              <w:top w:w="0" w:type="dxa"/>
              <w:left w:w="62" w:type="dxa"/>
              <w:bottom w:w="0" w:type="dxa"/>
              <w:right w:w="62" w:type="dxa"/>
            </w:tcMar>
          </w:tcPr>
          <w:p w:rsidR="00000000" w:rsidP="00CB65A2">
            <w:pPr>
              <w:pStyle w:val="List"/>
              <w:rPr>
                <w:lang w:val="en-NZ"/>
              </w:rPr>
            </w:pPr>
            <w:r w:rsidRPr="00CB65A2">
              <w:rPr>
                <w:rStyle w:val="SpecialBold"/>
              </w:rPr>
              <w:t>PERFORMANCE CRITERIA</w:t>
            </w:r>
          </w:p>
        </w:tc>
      </w:tr>
      <w:tr w:rsidTr="00833B22">
        <w:tblPrEx>
          <w:tblW w:w="0" w:type="auto"/>
          <w:tblLayout w:type="fixed"/>
          <w:tblCellMar>
            <w:left w:w="62" w:type="dxa"/>
            <w:right w:w="62" w:type="dxa"/>
          </w:tblCellMar>
          <w:tblLook w:val="0000"/>
        </w:tblPrEx>
        <w:trPr>
          <w:gridAfter w:val="2"/>
          <w:wAfter w:w="56" w:type="dxa"/>
        </w:trPr>
        <w:tc>
          <w:tcPr>
            <w:tcW w:w="3720" w:type="dxa"/>
            <w:tcBorders>
              <w:top w:val="nil"/>
              <w:left w:val="nil"/>
              <w:bottom w:val="nil"/>
              <w:right w:val="nil"/>
            </w:tcBorders>
            <w:tcMar>
              <w:top w:w="0" w:type="dxa"/>
              <w:left w:w="62" w:type="dxa"/>
              <w:bottom w:w="0" w:type="dxa"/>
              <w:right w:w="62" w:type="dxa"/>
            </w:tcMar>
          </w:tcPr>
          <w:p w:rsidR="00000000" w:rsidP="00CB65A2">
            <w:pPr>
              <w:pStyle w:val="List"/>
              <w:rPr>
                <w:lang w:val="en-NZ"/>
              </w:rPr>
            </w:pPr>
            <w:r w:rsidRPr="00CB65A2">
              <w:t>1</w:t>
            </w:r>
            <w:r w:rsidRPr="00CB65A2">
              <w:tab/>
              <w:t>Fo</w:t>
            </w:r>
            <w:r w:rsidRPr="00CB65A2">
              <w:t>llow workplace safety and emergency procedures</w:t>
            </w:r>
          </w:p>
        </w:tc>
        <w:tc>
          <w:tcPr>
            <w:tcW w:w="5010" w:type="dxa"/>
            <w:gridSpan w:val="2"/>
            <w:tcBorders>
              <w:top w:val="nil"/>
              <w:left w:val="nil"/>
              <w:bottom w:val="nil"/>
              <w:right w:val="nil"/>
            </w:tcBorders>
            <w:tcMar>
              <w:top w:w="0" w:type="dxa"/>
              <w:left w:w="62" w:type="dxa"/>
              <w:bottom w:w="0" w:type="dxa"/>
              <w:right w:w="62" w:type="dxa"/>
            </w:tcMar>
          </w:tcPr>
          <w:p w:rsidR="00000000" w:rsidRPr="00CB65A2" w:rsidP="00CB65A2">
            <w:pPr>
              <w:pStyle w:val="List"/>
            </w:pPr>
            <w:r w:rsidRPr="00CB65A2">
              <w:t>1.1</w:t>
            </w:r>
            <w:r w:rsidRPr="00CB65A2">
              <w:tab/>
              <w:t xml:space="preserve">Identify </w:t>
            </w:r>
            <w:r w:rsidRPr="00CB65A2">
              <w:rPr>
                <w:rStyle w:val="Emphasis"/>
              </w:rPr>
              <w:t>hazards</w:t>
            </w:r>
            <w:r w:rsidRPr="00CB65A2">
              <w:t xml:space="preserve"> in the work area and report to </w:t>
            </w:r>
            <w:r w:rsidRPr="00CB65A2">
              <w:rPr>
                <w:rStyle w:val="Emphasis"/>
              </w:rPr>
              <w:t>appropriate personnel</w:t>
            </w:r>
            <w:r w:rsidRPr="00CB65A2">
              <w:t xml:space="preserve"> in accordance with </w:t>
            </w:r>
            <w:r w:rsidRPr="00CB65A2">
              <w:rPr>
                <w:rStyle w:val="Emphasis"/>
              </w:rPr>
              <w:t>workplace procedures</w:t>
            </w:r>
            <w:r w:rsidRPr="00CB65A2">
              <w:t xml:space="preserve"> and </w:t>
            </w:r>
            <w:r w:rsidRPr="00CB65A2">
              <w:rPr>
                <w:rStyle w:val="Emphasis"/>
              </w:rPr>
              <w:t>company requirements</w:t>
            </w:r>
          </w:p>
          <w:p w:rsidR="00000000" w:rsidRPr="00CB65A2" w:rsidP="00CB65A2">
            <w:pPr>
              <w:pStyle w:val="List"/>
            </w:pPr>
            <w:r w:rsidRPr="00CB65A2">
              <w:t>1.2</w:t>
            </w:r>
            <w:r w:rsidRPr="00CB65A2">
              <w:tab/>
              <w:t>Follow work instructions to assist in controlling risks in accorda</w:t>
            </w:r>
            <w:r w:rsidRPr="00CB65A2">
              <w:t xml:space="preserve">nce with </w:t>
            </w:r>
            <w:r w:rsidRPr="00CB65A2">
              <w:rPr>
                <w:rStyle w:val="Emphasis"/>
              </w:rPr>
              <w:t>workplace procedures</w:t>
            </w:r>
            <w:r w:rsidRPr="00CB65A2">
              <w:t xml:space="preserve"> and </w:t>
            </w:r>
            <w:r w:rsidRPr="00CB65A2">
              <w:rPr>
                <w:rStyle w:val="Emphasis"/>
              </w:rPr>
              <w:t>company requirements</w:t>
            </w:r>
          </w:p>
          <w:p w:rsidR="00000000" w:rsidRPr="00CB65A2" w:rsidP="00CB65A2">
            <w:pPr>
              <w:pStyle w:val="List"/>
            </w:pPr>
            <w:r w:rsidRPr="00CB65A2">
              <w:t>1.3</w:t>
            </w:r>
            <w:r w:rsidRPr="00CB65A2">
              <w:tab/>
              <w:t xml:space="preserve">Follow </w:t>
            </w:r>
            <w:r w:rsidRPr="00CB65A2">
              <w:rPr>
                <w:rStyle w:val="Emphasis"/>
              </w:rPr>
              <w:t>emergency procedures</w:t>
            </w:r>
            <w:r w:rsidRPr="00CB65A2">
              <w:t xml:space="preserve"> for dealing with </w:t>
            </w:r>
            <w:r w:rsidRPr="00CB65A2">
              <w:rPr>
                <w:rStyle w:val="Emphasis"/>
              </w:rPr>
              <w:t>emergencies</w:t>
            </w:r>
            <w:r w:rsidRPr="00CB65A2">
              <w:t xml:space="preserve"> whenever necessary within scope of own role and responsibilities and </w:t>
            </w:r>
            <w:r w:rsidRPr="00CB65A2">
              <w:rPr>
                <w:rStyle w:val="Emphasis"/>
              </w:rPr>
              <w:t>personal limitations</w:t>
            </w:r>
          </w:p>
          <w:p w:rsidR="00000000" w:rsidP="00CB65A2">
            <w:pPr>
              <w:pStyle w:val="List"/>
              <w:rPr>
                <w:lang w:val="en-NZ"/>
              </w:rPr>
            </w:pPr>
            <w:r w:rsidRPr="00CB65A2">
              <w:t>1.4</w:t>
            </w:r>
            <w:r w:rsidRPr="00CB65A2">
              <w:tab/>
              <w:t xml:space="preserve">Report details of </w:t>
            </w:r>
            <w:r w:rsidRPr="00CB65A2">
              <w:rPr>
                <w:rStyle w:val="Emphasis"/>
              </w:rPr>
              <w:t>emergencies</w:t>
            </w:r>
            <w:r w:rsidRPr="00CB65A2">
              <w:t xml:space="preserve"> to </w:t>
            </w:r>
            <w:r w:rsidRPr="00CB65A2">
              <w:rPr>
                <w:rStyle w:val="Emphasis"/>
              </w:rPr>
              <w:t>appropriate p</w:t>
            </w:r>
            <w:r w:rsidRPr="00CB65A2">
              <w:rPr>
                <w:rStyle w:val="Emphasis"/>
              </w:rPr>
              <w:t>ersonnel</w:t>
            </w:r>
            <w:r w:rsidRPr="00CB65A2">
              <w:t xml:space="preserve"> in accordance with </w:t>
            </w:r>
            <w:r w:rsidRPr="00CB65A2">
              <w:rPr>
                <w:rStyle w:val="Emphasis"/>
              </w:rPr>
              <w:t>company requirements</w:t>
            </w:r>
          </w:p>
        </w:tc>
      </w:tr>
      <w:tr w:rsidTr="00833B22">
        <w:tblPrEx>
          <w:tblW w:w="0" w:type="auto"/>
          <w:tblLayout w:type="fixed"/>
          <w:tblCellMar>
            <w:left w:w="62" w:type="dxa"/>
            <w:right w:w="62" w:type="dxa"/>
          </w:tblCellMar>
          <w:tblLook w:val="0000"/>
        </w:tblPrEx>
        <w:trPr>
          <w:gridAfter w:val="2"/>
          <w:wAfter w:w="56" w:type="dxa"/>
        </w:trPr>
        <w:tc>
          <w:tcPr>
            <w:tcW w:w="3720" w:type="dxa"/>
            <w:tcBorders>
              <w:top w:val="nil"/>
              <w:left w:val="nil"/>
              <w:bottom w:val="nil"/>
              <w:right w:val="nil"/>
            </w:tcBorders>
            <w:tcMar>
              <w:top w:w="0" w:type="dxa"/>
              <w:left w:w="62" w:type="dxa"/>
              <w:bottom w:w="0" w:type="dxa"/>
              <w:right w:w="62" w:type="dxa"/>
            </w:tcMar>
          </w:tcPr>
          <w:p w:rsidR="00000000" w:rsidP="00CB65A2">
            <w:pPr>
              <w:pStyle w:val="List"/>
              <w:rPr>
                <w:lang w:val="en-NZ"/>
              </w:rPr>
            </w:pPr>
            <w:r w:rsidRPr="00CB65A2">
              <w:t>2</w:t>
            </w:r>
            <w:r w:rsidRPr="00CB65A2">
              <w:tab/>
              <w:t>Access and share information regarding OHS in the workplace</w:t>
            </w:r>
          </w:p>
        </w:tc>
        <w:tc>
          <w:tcPr>
            <w:tcW w:w="5010" w:type="dxa"/>
            <w:gridSpan w:val="2"/>
            <w:tcBorders>
              <w:top w:val="nil"/>
              <w:left w:val="nil"/>
              <w:bottom w:val="nil"/>
              <w:right w:val="nil"/>
            </w:tcBorders>
            <w:tcMar>
              <w:top w:w="0" w:type="dxa"/>
              <w:left w:w="62" w:type="dxa"/>
              <w:bottom w:w="0" w:type="dxa"/>
              <w:right w:w="62" w:type="dxa"/>
            </w:tcMar>
          </w:tcPr>
          <w:p w:rsidR="00000000" w:rsidRPr="00CB65A2" w:rsidP="00CB65A2">
            <w:pPr>
              <w:pStyle w:val="List"/>
            </w:pPr>
            <w:r w:rsidRPr="00CB65A2">
              <w:t>2.1</w:t>
            </w:r>
            <w:r w:rsidRPr="00CB65A2">
              <w:tab/>
              <w:t xml:space="preserve">Outline OHS concerns with </w:t>
            </w:r>
            <w:r w:rsidRPr="00CB65A2">
              <w:rPr>
                <w:rStyle w:val="Emphasis"/>
              </w:rPr>
              <w:t>appropriate personnel</w:t>
            </w:r>
            <w:r w:rsidRPr="00CB65A2">
              <w:t xml:space="preserve"> in accordance with </w:t>
            </w:r>
            <w:r w:rsidRPr="00CB65A2">
              <w:rPr>
                <w:rStyle w:val="Emphasis"/>
              </w:rPr>
              <w:t>workplace procedures</w:t>
            </w:r>
            <w:r w:rsidRPr="00CB65A2">
              <w:t xml:space="preserve"> and </w:t>
            </w:r>
            <w:r w:rsidRPr="00CB65A2">
              <w:rPr>
                <w:rStyle w:val="Emphasis"/>
              </w:rPr>
              <w:t>company requirements</w:t>
            </w:r>
          </w:p>
          <w:p w:rsidR="00000000" w:rsidRPr="00CB65A2" w:rsidP="00CB65A2">
            <w:pPr>
              <w:pStyle w:val="List"/>
            </w:pPr>
            <w:r w:rsidRPr="00CB65A2">
              <w:t>2.2</w:t>
            </w:r>
            <w:r w:rsidRPr="00CB65A2">
              <w:tab/>
              <w:t>Obtain advice on how to</w:t>
            </w:r>
            <w:r w:rsidRPr="00CB65A2">
              <w:t xml:space="preserve"> access relevant </w:t>
            </w:r>
            <w:r w:rsidRPr="00CB65A2">
              <w:rPr>
                <w:rStyle w:val="Emphasis"/>
              </w:rPr>
              <w:t>OHS information</w:t>
            </w:r>
            <w:r w:rsidRPr="00CB65A2">
              <w:t xml:space="preserve"> in accordance with </w:t>
            </w:r>
            <w:r w:rsidRPr="00CB65A2">
              <w:rPr>
                <w:rStyle w:val="Emphasis"/>
              </w:rPr>
              <w:t>company requirements</w:t>
            </w:r>
          </w:p>
          <w:p w:rsidR="00000000" w:rsidP="00CB65A2">
            <w:pPr>
              <w:pStyle w:val="List"/>
              <w:rPr>
                <w:lang w:val="en-NZ"/>
              </w:rPr>
            </w:pPr>
            <w:r w:rsidRPr="00CB65A2">
              <w:t>2.3</w:t>
            </w:r>
            <w:r w:rsidRPr="00CB65A2">
              <w:tab/>
              <w:t xml:space="preserve">Join in </w:t>
            </w:r>
            <w:r w:rsidRPr="00CB65A2">
              <w:rPr>
                <w:rStyle w:val="Emphasis"/>
              </w:rPr>
              <w:t>participative arrangements</w:t>
            </w:r>
            <w:r w:rsidRPr="00CB65A2">
              <w:t xml:space="preserve"> for OHS management in the workplace within scope of own role and responsibilities in accordance with </w:t>
            </w:r>
            <w:r w:rsidRPr="00CB65A2">
              <w:rPr>
                <w:rStyle w:val="Emphasis"/>
              </w:rPr>
              <w:t>company requirements</w:t>
            </w:r>
          </w:p>
        </w:tc>
      </w:tr>
      <w:tr w:rsidTr="00833B22">
        <w:tblPrEx>
          <w:tblW w:w="0" w:type="auto"/>
          <w:tblLayout w:type="fixed"/>
          <w:tblCellMar>
            <w:left w:w="62" w:type="dxa"/>
            <w:right w:w="62" w:type="dxa"/>
          </w:tblCellMar>
          <w:tblLook w:val="0000"/>
        </w:tblPrEx>
        <w:tc>
          <w:tcPr>
            <w:tcW w:w="3742" w:type="dxa"/>
            <w:gridSpan w:val="2"/>
            <w:tcBorders>
              <w:top w:val="nil"/>
              <w:left w:val="nil"/>
              <w:bottom w:val="nil"/>
              <w:right w:val="nil"/>
            </w:tcBorders>
            <w:tcMar>
              <w:top w:w="0" w:type="dxa"/>
              <w:left w:w="62" w:type="dxa"/>
              <w:bottom w:w="0" w:type="dxa"/>
              <w:right w:w="62" w:type="dxa"/>
            </w:tcMar>
          </w:tcPr>
          <w:p w:rsidR="00000000" w:rsidP="00CB65A2">
            <w:pPr>
              <w:pStyle w:val="List"/>
              <w:rPr>
                <w:lang w:val="en-NZ"/>
              </w:rPr>
            </w:pPr>
            <w:r w:rsidRPr="00CB65A2">
              <w:t>3</w:t>
            </w:r>
            <w:r w:rsidRPr="00CB65A2">
              <w:tab/>
              <w:t>Employ safe work pr</w:t>
            </w:r>
            <w:r w:rsidRPr="00CB65A2">
              <w:t>actices</w:t>
            </w:r>
          </w:p>
        </w:tc>
        <w:tc>
          <w:tcPr>
            <w:tcW w:w="5044" w:type="dxa"/>
            <w:gridSpan w:val="3"/>
            <w:tcBorders>
              <w:top w:val="nil"/>
              <w:left w:val="nil"/>
              <w:bottom w:val="nil"/>
              <w:right w:val="nil"/>
            </w:tcBorders>
            <w:tcMar>
              <w:top w:w="0" w:type="dxa"/>
              <w:left w:w="62" w:type="dxa"/>
              <w:bottom w:w="0" w:type="dxa"/>
              <w:right w:w="62" w:type="dxa"/>
            </w:tcMar>
          </w:tcPr>
          <w:p w:rsidR="00000000" w:rsidRPr="00CB65A2" w:rsidP="00CB65A2">
            <w:pPr>
              <w:pStyle w:val="List"/>
            </w:pPr>
            <w:r w:rsidRPr="00CB65A2">
              <w:t>3.1</w:t>
            </w:r>
            <w:r w:rsidRPr="00CB65A2">
              <w:tab/>
              <w:t xml:space="preserve">Conduct all work using </w:t>
            </w:r>
            <w:r w:rsidRPr="00CB65A2">
              <w:rPr>
                <w:rStyle w:val="Emphasis"/>
              </w:rPr>
              <w:t>safe operating practices</w:t>
            </w:r>
            <w:r w:rsidRPr="00CB65A2">
              <w:t xml:space="preserve"> in accordance with </w:t>
            </w:r>
            <w:r w:rsidRPr="00CB65A2">
              <w:rPr>
                <w:rStyle w:val="Emphasis"/>
              </w:rPr>
              <w:t>OHS legislation</w:t>
            </w:r>
            <w:r w:rsidRPr="00CB65A2">
              <w:t xml:space="preserve"> and </w:t>
            </w:r>
            <w:r w:rsidRPr="00CB65A2">
              <w:rPr>
                <w:rStyle w:val="Emphasis"/>
              </w:rPr>
              <w:t>company requirements</w:t>
            </w:r>
          </w:p>
          <w:p w:rsidR="00000000" w:rsidRPr="00CB65A2" w:rsidP="00CB65A2">
            <w:pPr>
              <w:pStyle w:val="List"/>
            </w:pPr>
            <w:r w:rsidRPr="00CB65A2">
              <w:t>3.2</w:t>
            </w:r>
            <w:r w:rsidRPr="00CB65A2">
              <w:tab/>
              <w:t xml:space="preserve">Operate tools and equipment in accordance with </w:t>
            </w:r>
            <w:r w:rsidRPr="00CB65A2">
              <w:rPr>
                <w:rStyle w:val="Emphasis"/>
              </w:rPr>
              <w:t>manufacturers' specifications</w:t>
            </w:r>
            <w:r w:rsidRPr="00CB65A2">
              <w:t xml:space="preserve">, </w:t>
            </w:r>
            <w:r w:rsidRPr="00CB65A2">
              <w:rPr>
                <w:rStyle w:val="Emphasis"/>
              </w:rPr>
              <w:t>OHS legislation</w:t>
            </w:r>
            <w:r w:rsidRPr="00CB65A2">
              <w:t xml:space="preserve"> and </w:t>
            </w:r>
            <w:r w:rsidRPr="00CB65A2">
              <w:rPr>
                <w:rStyle w:val="Emphasis"/>
              </w:rPr>
              <w:t>company requirements</w:t>
            </w:r>
            <w:r w:rsidRPr="00CB65A2">
              <w:t xml:space="preserve"> </w:t>
            </w:r>
          </w:p>
        </w:tc>
      </w:tr>
    </w:tbl>
    <w:p w:rsidR="00833B22" w:rsidP="00CB65A2">
      <w:pPr>
        <w:pStyle w:val="BodyText"/>
      </w:pPr>
    </w:p>
    <w:p w:rsidR="00833B22" w:rsidP="00CB65A2">
      <w:pPr>
        <w:pStyle w:val="BodyText"/>
      </w:pPr>
    </w:p>
    <w:p w:rsidR="00000000" w:rsidRPr="00CB65A2" w:rsidP="00CB65A2">
      <w:pPr>
        <w:pStyle w:val="Heading1"/>
      </w:pPr>
      <w:bookmarkStart w:id="9" w:name="O_293687"/>
      <w:bookmarkEnd w:id="9"/>
      <w:r w:rsidRPr="00CB65A2">
        <w:t>Required Skills and Knowledge</w:t>
      </w:r>
    </w:p>
    <w:p w:rsidR="00000000" w:rsidRPr="00CB65A2" w:rsidP="00CB65A2">
      <w:pPr>
        <w:pStyle w:val="BodyText"/>
      </w:pPr>
      <w:r w:rsidRPr="00CB65A2">
        <w:t>Refer to Evidence Guide</w:t>
      </w:r>
    </w:p>
    <w:p w:rsidR="00000000" w:rsidRPr="00CB65A2" w:rsidP="00CB65A2">
      <w:pPr>
        <w:pStyle w:val="AllowPageBreak"/>
      </w:pPr>
    </w:p>
    <w:p w:rsidR="00000000" w:rsidRPr="00CB65A2" w:rsidP="00CB65A2">
      <w:pPr>
        <w:pStyle w:val="Heading1"/>
      </w:pPr>
      <w:bookmarkStart w:id="10" w:name="O_245577"/>
      <w:bookmarkEnd w:id="10"/>
      <w:r w:rsidRPr="00CB65A2">
        <w:t>Evidence Guide</w:t>
      </w:r>
    </w:p>
    <w:p w:rsidR="00000000" w:rsidRPr="00CB65A2" w:rsidP="00CB65A2">
      <w:pPr>
        <w:pStyle w:val="BodyText"/>
      </w:pPr>
      <w:r w:rsidRPr="00CB65A2">
        <w:rPr>
          <w:rStyle w:val="SpecialBold"/>
        </w:rPr>
        <w:t>EVIDENCE GUIDE</w:t>
      </w:r>
    </w:p>
    <w:p w:rsidR="00000000" w:rsidRPr="00CB65A2" w:rsidP="00CB65A2">
      <w:pPr>
        <w:pStyle w:val="BodyText"/>
      </w:pPr>
      <w:r w:rsidRPr="00CB65A2">
        <w:rPr>
          <w:rStyle w:val="SpecialBold"/>
        </w:rPr>
        <w:t>Critical aspects of competency</w:t>
      </w:r>
    </w:p>
    <w:p w:rsidR="00000000" w:rsidRPr="00CB65A2" w:rsidP="00CB65A2">
      <w:pPr>
        <w:pStyle w:val="ListBullet"/>
      </w:pPr>
      <w:r w:rsidRPr="00CB65A2">
        <w:t>Ability to accurately follow work instructions in order to minimise and control workplace risks.</w:t>
      </w:r>
    </w:p>
    <w:p w:rsidR="00000000" w:rsidRPr="00CB65A2" w:rsidP="00CB65A2">
      <w:pPr>
        <w:pStyle w:val="ListBullet"/>
      </w:pPr>
      <w:r w:rsidRPr="00CB65A2">
        <w:t>Ability to identif</w:t>
      </w:r>
      <w:r w:rsidRPr="00CB65A2">
        <w:t>y hazards and emergencies in the workplace and report such hazards and emergencies to appropriate personnel.</w:t>
      </w:r>
    </w:p>
    <w:p w:rsidR="00000000" w:rsidRPr="00CB65A2" w:rsidP="00CB65A2">
      <w:pPr>
        <w:pStyle w:val="ListBullet"/>
      </w:pPr>
      <w:r w:rsidRPr="00CB65A2">
        <w:t>Ability to correctly follow emergency procedures in emergency situations. Note that evidence in this area may be gathered through simulations.</w:t>
      </w:r>
    </w:p>
    <w:p w:rsidR="00000000" w:rsidRPr="00CB65A2" w:rsidP="00CB65A2">
      <w:pPr>
        <w:pStyle w:val="ListBullet"/>
      </w:pPr>
      <w:r w:rsidRPr="00CB65A2">
        <w:t>Abil</w:t>
      </w:r>
      <w:r w:rsidRPr="00CB65A2">
        <w:t>ity to operate tools and equipment safely.</w:t>
      </w:r>
    </w:p>
    <w:p w:rsidR="00000000" w:rsidRPr="00CB65A2" w:rsidP="00CB65A2">
      <w:pPr>
        <w:pStyle w:val="BodyText"/>
      </w:pPr>
      <w:r w:rsidRPr="00CB65A2">
        <w:rPr>
          <w:rStyle w:val="SpecialBold"/>
        </w:rPr>
        <w:t>Knowledge needed to achieve the performance criteria</w:t>
      </w:r>
    </w:p>
    <w:p w:rsidR="00000000" w:rsidRPr="00CB65A2" w:rsidP="00CB65A2">
      <w:pPr>
        <w:pStyle w:val="BodyText"/>
      </w:pPr>
      <w:r w:rsidRPr="00CB65A2">
        <w:t>Knowledge and understanding are essential to apply this unit in the workplace, to transfer the skills to other contexts and to deal with unplanned events. The k</w:t>
      </w:r>
      <w:r w:rsidRPr="00CB65A2">
        <w:t>nowledge requirements for this unit are listed below.</w:t>
      </w:r>
    </w:p>
    <w:p w:rsidR="00000000" w:rsidRPr="00CB65A2" w:rsidP="00CB65A2">
      <w:pPr>
        <w:pStyle w:val="ListBullet"/>
      </w:pPr>
      <w:r w:rsidRPr="00CB65A2">
        <w:t>Rights and responsibilities of parties in the workplace under relevant OHS Acts, regulations and codes of practice.</w:t>
      </w:r>
    </w:p>
    <w:p w:rsidR="00000000" w:rsidRPr="00CB65A2" w:rsidP="00CB65A2">
      <w:pPr>
        <w:pStyle w:val="ListBullet"/>
      </w:pPr>
      <w:r w:rsidRPr="00CB65A2">
        <w:t>Communication channels and procedures to report OHS concerns.</w:t>
      </w:r>
    </w:p>
    <w:p w:rsidR="00000000" w:rsidRPr="00CB65A2" w:rsidP="00CB65A2">
      <w:pPr>
        <w:pStyle w:val="ListBullet"/>
      </w:pPr>
      <w:r w:rsidRPr="00CB65A2">
        <w:t>Common workplace hazards and risk control measures including:</w:t>
      </w:r>
    </w:p>
    <w:p w:rsidR="00000000" w:rsidRPr="00CB65A2" w:rsidP="00CB65A2">
      <w:pPr>
        <w:pStyle w:val="ListBullet2"/>
      </w:pPr>
      <w:r w:rsidRPr="00CB65A2">
        <w:t>range and meanings of safety signs and symbols in the workplace</w:t>
      </w:r>
    </w:p>
    <w:p w:rsidR="00000000" w:rsidRPr="00CB65A2" w:rsidP="00CB65A2">
      <w:pPr>
        <w:pStyle w:val="ListBullet2"/>
      </w:pPr>
      <w:r w:rsidRPr="00CB65A2">
        <w:t>types and purpose of personal protective equipment</w:t>
      </w:r>
    </w:p>
    <w:p w:rsidR="00000000" w:rsidRPr="00CB65A2" w:rsidP="00CB65A2">
      <w:pPr>
        <w:pStyle w:val="ListBullet2"/>
      </w:pPr>
      <w:r w:rsidRPr="00CB65A2">
        <w:t>site safety plan</w:t>
      </w:r>
    </w:p>
    <w:p w:rsidR="00000000" w:rsidRPr="00CB65A2" w:rsidP="00CB65A2">
      <w:pPr>
        <w:pStyle w:val="ListBullet2"/>
      </w:pPr>
      <w:r w:rsidRPr="00CB65A2">
        <w:t>ways in which OHS is maintained in emergency situations</w:t>
      </w:r>
    </w:p>
    <w:p w:rsidR="00000000" w:rsidRPr="00CB65A2" w:rsidP="00CB65A2">
      <w:pPr>
        <w:pStyle w:val="ListBullet2"/>
      </w:pPr>
      <w:r w:rsidRPr="00CB65A2">
        <w:t>equip</w:t>
      </w:r>
      <w:r w:rsidRPr="00CB65A2">
        <w:t>ment and material use, storage, cleaning and disposal procedures.</w:t>
      </w:r>
    </w:p>
    <w:p w:rsidR="00000000" w:rsidRPr="00CB65A2" w:rsidP="00CB65A2">
      <w:pPr>
        <w:pStyle w:val="BodyText"/>
      </w:pPr>
      <w:r w:rsidRPr="00CB65A2">
        <w:rPr>
          <w:rStyle w:val="SpecialBold"/>
        </w:rPr>
        <w:t>Specific skills needed to achieve the performance criteria</w:t>
      </w:r>
    </w:p>
    <w:p w:rsidR="00000000" w:rsidRPr="00CB65A2" w:rsidP="00CB65A2">
      <w:pPr>
        <w:pStyle w:val="BodyText"/>
      </w:pPr>
      <w:r w:rsidRPr="00CB65A2">
        <w:t>To achieve the performance criteria, some complementary skills are required. These relate to the ability to:</w:t>
      </w:r>
    </w:p>
    <w:p w:rsidR="00000000" w:rsidRPr="00CB65A2" w:rsidP="00CB65A2">
      <w:pPr>
        <w:pStyle w:val="ListBullet"/>
      </w:pPr>
      <w:r w:rsidRPr="00CB65A2">
        <w:t>follow safe work proc</w:t>
      </w:r>
      <w:r w:rsidRPr="00CB65A2">
        <w:t>edures</w:t>
      </w:r>
    </w:p>
    <w:p w:rsidR="00000000" w:rsidRPr="00CB65A2" w:rsidP="00CB65A2">
      <w:pPr>
        <w:pStyle w:val="ListBullet"/>
      </w:pPr>
      <w:r w:rsidRPr="00CB65A2">
        <w:t>identify potential and existing risks or hazards</w:t>
      </w:r>
    </w:p>
    <w:p w:rsidR="00000000" w:rsidRPr="00CB65A2" w:rsidP="00CB65A2">
      <w:pPr>
        <w:pStyle w:val="ListBullet"/>
      </w:pPr>
      <w:r w:rsidRPr="00CB65A2">
        <w:t>follow emergency response procedures</w:t>
      </w:r>
    </w:p>
    <w:p w:rsidR="00000000" w:rsidRPr="00CB65A2" w:rsidP="00CB65A2">
      <w:pPr>
        <w:pStyle w:val="ListBullet"/>
      </w:pPr>
      <w:r w:rsidRPr="00CB65A2">
        <w:t>communicate OHS to appropriate personnel</w:t>
      </w:r>
    </w:p>
    <w:p w:rsidR="00000000" w:rsidRPr="00CB65A2" w:rsidP="00CB65A2">
      <w:pPr>
        <w:pStyle w:val="ListBullet"/>
      </w:pPr>
      <w:r w:rsidRPr="00CB65A2">
        <w:t>use tools, equipment and products safely</w:t>
      </w:r>
    </w:p>
    <w:p w:rsidR="00000000" w:rsidRPr="00CB65A2" w:rsidP="00CB65A2">
      <w:pPr>
        <w:pStyle w:val="ListBullet"/>
      </w:pPr>
      <w:r w:rsidRPr="00CB65A2">
        <w:t>use literacy and language skills to:</w:t>
      </w:r>
    </w:p>
    <w:p w:rsidR="00000000" w:rsidRPr="00CB65A2" w:rsidP="00CB65A2">
      <w:pPr>
        <w:pStyle w:val="ListBullet2"/>
      </w:pPr>
      <w:r w:rsidRPr="00CB65A2">
        <w:t>understand and comply with work instructions</w:t>
      </w:r>
    </w:p>
    <w:p w:rsidR="00000000" w:rsidRPr="00CB65A2" w:rsidP="00CB65A2">
      <w:pPr>
        <w:pStyle w:val="ListBullet2"/>
      </w:pPr>
      <w:r w:rsidRPr="00CB65A2">
        <w:t>interpret safety signs</w:t>
      </w:r>
    </w:p>
    <w:p w:rsidR="00000000" w:rsidRPr="00CB65A2" w:rsidP="00CB65A2">
      <w:pPr>
        <w:pStyle w:val="ListBullet2"/>
      </w:pPr>
      <w:r w:rsidRPr="00CB65A2">
        <w:t>read and comprehend product instructions</w:t>
      </w:r>
    </w:p>
    <w:p w:rsidR="00000000" w:rsidRPr="00CB65A2" w:rsidP="00CB65A2">
      <w:pPr>
        <w:pStyle w:val="ListBullet2"/>
      </w:pPr>
      <w:r w:rsidRPr="00CB65A2">
        <w:t>participate in OHS training.</w:t>
      </w:r>
    </w:p>
    <w:p w:rsidR="00000000" w:rsidRPr="00CB65A2" w:rsidP="00CB65A2">
      <w:pPr>
        <w:pStyle w:val="BodyText"/>
      </w:pPr>
      <w:r w:rsidRPr="00CB65A2">
        <w:rPr>
          <w:rStyle w:val="SpecialBold"/>
        </w:rPr>
        <w:t>Other units of competency that could be assessed with this unit</w:t>
      </w:r>
    </w:p>
    <w:p w:rsidR="00000000" w:rsidRPr="00CB65A2" w:rsidP="00CB65A2">
      <w:pPr>
        <w:pStyle w:val="BodyText"/>
      </w:pPr>
      <w:r w:rsidRPr="00CB65A2">
        <w:t>Competency in this unit will underpin competency in ot</w:t>
      </w:r>
      <w:r w:rsidRPr="00CB65A2">
        <w:t>her aspects of the candidate's role in managing their work tasks.</w:t>
      </w:r>
    </w:p>
    <w:p w:rsidR="00000000" w:rsidRPr="00CB65A2" w:rsidP="00CB65A2">
      <w:pPr>
        <w:pStyle w:val="BodyText"/>
      </w:pPr>
      <w:r w:rsidRPr="00CB65A2">
        <w:t>This unit could be assessed on its own or in combination with other competencies relevant to the job function.</w:t>
      </w:r>
    </w:p>
    <w:p w:rsidR="00000000" w:rsidRPr="00CB65A2" w:rsidP="00CB65A2">
      <w:pPr>
        <w:pStyle w:val="BodyText"/>
      </w:pPr>
      <w:r w:rsidRPr="00CB65A2">
        <w:rPr>
          <w:rStyle w:val="SpecialBold"/>
        </w:rPr>
        <w:t>Resources required to assess this unit</w:t>
      </w:r>
    </w:p>
    <w:p w:rsidR="00000000" w:rsidRPr="00CB65A2" w:rsidP="00CB65A2">
      <w:pPr>
        <w:pStyle w:val="BodyText"/>
      </w:pPr>
      <w:r w:rsidRPr="00CB65A2">
        <w:t>The candidate and the assessor should ha</w:t>
      </w:r>
      <w:r w:rsidRPr="00CB65A2">
        <w:t>ve access to the appropriate documentation and resources normally utilised in the workplace. This includes access to the following:</w:t>
      </w:r>
    </w:p>
    <w:p w:rsidR="00000000" w:rsidRPr="00CB65A2" w:rsidP="00CB65A2">
      <w:pPr>
        <w:pStyle w:val="ListBullet"/>
      </w:pPr>
      <w:r w:rsidRPr="00CB65A2">
        <w:t>a suitable work area or a simulated workplace environment that allows for identification of hazards</w:t>
      </w:r>
    </w:p>
    <w:p w:rsidR="00000000" w:rsidRPr="00CB65A2" w:rsidP="00CB65A2">
      <w:pPr>
        <w:pStyle w:val="ListBullet"/>
      </w:pPr>
      <w:r w:rsidRPr="00CB65A2">
        <w:t>personal protective equipment commonly used to reduce workplace risk</w:t>
      </w:r>
    </w:p>
    <w:p w:rsidR="00000000" w:rsidRPr="00CB65A2" w:rsidP="00CB65A2">
      <w:pPr>
        <w:pStyle w:val="ListBullet"/>
      </w:pPr>
      <w:r w:rsidRPr="00CB65A2">
        <w:t>relevant products, tools, specialist equipment and associated instructions</w:t>
      </w:r>
    </w:p>
    <w:p w:rsidR="00000000" w:rsidRPr="00CB65A2" w:rsidP="00CB65A2">
      <w:pPr>
        <w:pStyle w:val="ListBullet"/>
      </w:pPr>
      <w:r w:rsidRPr="00CB65A2">
        <w:t>manuals and relevant documentation including company health and safety policies and procedures</w:t>
      </w:r>
    </w:p>
    <w:p w:rsidR="00000000" w:rsidRPr="00CB65A2" w:rsidP="00CB65A2">
      <w:pPr>
        <w:pStyle w:val="ListBullet"/>
      </w:pPr>
      <w:r w:rsidRPr="00CB65A2">
        <w:t>assessment docume</w:t>
      </w:r>
      <w:r w:rsidRPr="00CB65A2">
        <w:t>ntation forms and record books.</w:t>
      </w:r>
    </w:p>
    <w:p w:rsidR="00000000" w:rsidRPr="00CB65A2" w:rsidP="00CB65A2">
      <w:pPr>
        <w:pStyle w:val="BodyText"/>
      </w:pPr>
      <w:r w:rsidRPr="00CB65A2">
        <w:rPr>
          <w:rStyle w:val="SpecialBold"/>
        </w:rPr>
        <w:t>Gaining evidence to assess this unit</w:t>
      </w:r>
    </w:p>
    <w:p w:rsidR="00000000" w:rsidRPr="00CB65A2" w:rsidP="00CB65A2">
      <w:pPr>
        <w:pStyle w:val="BodyText"/>
      </w:pPr>
      <w:r w:rsidRPr="00CB65A2">
        <w:t>For valid and reliable assessment of this unit, the competency should be demonstrated over a period of time and be observed by the assessor (or assessment team working together to conduct</w:t>
      </w:r>
      <w:r w:rsidRPr="00CB65A2">
        <w:t xml:space="preserve"> the assessment). The competency is to be demonstrated in a range of situations, which may include customer/workplace interruptions and involvement in related activities normally experienced in the workplace.</w:t>
      </w:r>
    </w:p>
    <w:p w:rsidR="00000000" w:rsidRPr="00CB65A2" w:rsidP="00CB65A2">
      <w:pPr>
        <w:pStyle w:val="BodyText"/>
      </w:pPr>
      <w:r w:rsidRPr="00CB65A2">
        <w:t>When assessing candidates, assessment technique</w:t>
      </w:r>
      <w:r w:rsidRPr="00CB65A2">
        <w:t>s that allow a collection of evidence from relevant workplace experience should be used. Assessment against this unit may involve the following:</w:t>
      </w:r>
    </w:p>
    <w:p w:rsidR="00000000" w:rsidRPr="00CB65A2" w:rsidP="00CB65A2">
      <w:pPr>
        <w:pStyle w:val="ListBullet"/>
      </w:pPr>
      <w:r w:rsidRPr="00CB65A2">
        <w:t>continuous assessment in the workplace (observation) or a setting that simulates the conditions of a workplace</w:t>
      </w:r>
      <w:r w:rsidRPr="00CB65A2">
        <w:t xml:space="preserve"> (simulation), taking into account the range of variables affecting performance</w:t>
      </w:r>
    </w:p>
    <w:p w:rsidR="00000000" w:rsidRPr="00CB65A2" w:rsidP="00CB65A2">
      <w:pPr>
        <w:pStyle w:val="ListBullet"/>
      </w:pPr>
      <w:r w:rsidRPr="00CB65A2">
        <w:t>self-assessment of performance on the same terms as those described above</w:t>
      </w:r>
    </w:p>
    <w:p w:rsidR="00000000" w:rsidRPr="00CB65A2" w:rsidP="00CB65A2">
      <w:pPr>
        <w:pStyle w:val="ListBullet"/>
      </w:pPr>
      <w:r w:rsidRPr="00CB65A2">
        <w:t>interviews and/or provision of learning activities to check underpinning knowledge requirements</w:t>
      </w:r>
    </w:p>
    <w:p w:rsidR="00000000" w:rsidRPr="00CB65A2" w:rsidP="00CB65A2">
      <w:pPr>
        <w:pStyle w:val="ListBullet"/>
      </w:pPr>
      <w:r w:rsidRPr="00CB65A2">
        <w:t>supple</w:t>
      </w:r>
      <w:r w:rsidRPr="00CB65A2">
        <w:t>mentary evidence that may be obtained from relevant authenticated correspondence or reports from supervisors or team leaders.</w:t>
      </w:r>
    </w:p>
    <w:p w:rsidR="00000000" w:rsidRPr="00CB65A2" w:rsidP="00CB65A2">
      <w:pPr>
        <w:pStyle w:val="BodyText"/>
      </w:pPr>
      <w:r w:rsidRPr="00CB65A2">
        <w:t>Performance and assessment of this unit must be carried out within the relevant requirements of the legislative and industry frame</w:t>
      </w:r>
      <w:r w:rsidRPr="00CB65A2">
        <w:t>work and as set out in company OHS policies and procedures.</w:t>
      </w:r>
    </w:p>
    <w:p w:rsidR="00000000" w:rsidRPr="00CB65A2" w:rsidP="00CB65A2">
      <w:pPr>
        <w:pStyle w:val="BodyText"/>
      </w:pPr>
      <w:r w:rsidRPr="00CB65A2">
        <w:rPr>
          <w:rStyle w:val="SpecialBold"/>
        </w:rPr>
        <w:t>Key competency levels</w:t>
      </w:r>
    </w:p>
    <w:p w:rsidR="00000000" w:rsidRPr="00CB65A2" w:rsidP="00CB65A2">
      <w:pPr>
        <w:pStyle w:val="BodyText"/>
      </w:pPr>
      <w:r w:rsidRPr="00CB65A2">
        <w:t>There are a number of processes learnt throughout work and daily life that are required in all jobs. They are fundamental processes and generally transferable to other work e</w:t>
      </w:r>
      <w:r w:rsidRPr="00CB65A2">
        <w:t>nvironments. Some of these work processes are covered by the key competencies listed below. Information provided to each question highlights how these processes are applied in this unit of competency.</w:t>
      </w:r>
    </w:p>
    <w:p w:rsidR="00000000" w:rsidRPr="00CB65A2" w:rsidP="00CB65A2">
      <w:pPr>
        <w:pStyle w:val="BodyText"/>
      </w:pPr>
      <w:r w:rsidRPr="00CB65A2">
        <w:t>The number in brackets indicates the level to which the</w:t>
      </w:r>
      <w:r w:rsidRPr="00CB65A2">
        <w:t xml:space="preserve"> key competency should be demonstrated.</w:t>
      </w:r>
    </w:p>
    <w:tbl>
      <w:tblPr>
        <w:tblW w:w="0" w:type="auto"/>
        <w:tblLayout w:type="fixed"/>
        <w:tblCellMar>
          <w:left w:w="62" w:type="dxa"/>
          <w:right w:w="62" w:type="dxa"/>
        </w:tblCellMar>
        <w:tblLook w:val="0000"/>
      </w:tblPr>
      <w:tblGrid>
        <w:gridCol w:w="276"/>
        <w:gridCol w:w="2567"/>
        <w:gridCol w:w="441"/>
        <w:gridCol w:w="2659"/>
        <w:gridCol w:w="349"/>
        <w:gridCol w:w="2276"/>
        <w:gridCol w:w="474"/>
      </w:tblGrid>
      <w:tr w:rsidTr="00833B22">
        <w:tblPrEx>
          <w:tblW w:w="0" w:type="auto"/>
          <w:tblLayout w:type="fixed"/>
          <w:tblCellMar>
            <w:left w:w="62" w:type="dxa"/>
            <w:right w:w="62" w:type="dxa"/>
          </w:tblCellMar>
          <w:tblLook w:val="0000"/>
        </w:tblPrEx>
        <w:tc>
          <w:tcPr>
            <w:tcW w:w="276" w:type="dxa"/>
            <w:tcBorders>
              <w:top w:val="nil"/>
              <w:left w:val="nil"/>
              <w:bottom w:val="nil"/>
              <w:right w:val="nil"/>
            </w:tcBorders>
            <w:tcMar>
              <w:top w:w="0" w:type="dxa"/>
              <w:left w:w="62" w:type="dxa"/>
              <w:bottom w:w="0" w:type="dxa"/>
              <w:right w:w="62" w:type="dxa"/>
            </w:tcMar>
          </w:tcPr>
          <w:p w:rsidR="00000000" w:rsidP="00CB65A2">
            <w:pPr>
              <w:pStyle w:val="BodyText"/>
              <w:rPr>
                <w:lang w:val="en-NZ"/>
              </w:rPr>
            </w:pPr>
            <w:r w:rsidRPr="00CB65A2">
              <w:rPr>
                <w:rStyle w:val="SpecialBold"/>
              </w:rPr>
              <w:t>1</w:t>
            </w:r>
          </w:p>
        </w:tc>
        <w:tc>
          <w:tcPr>
            <w:tcW w:w="2567" w:type="dxa"/>
            <w:tcBorders>
              <w:top w:val="nil"/>
              <w:left w:val="nil"/>
              <w:bottom w:val="nil"/>
              <w:right w:val="nil"/>
            </w:tcBorders>
            <w:tcMar>
              <w:top w:w="0" w:type="dxa"/>
              <w:left w:w="62" w:type="dxa"/>
              <w:bottom w:w="0" w:type="dxa"/>
              <w:right w:w="62" w:type="dxa"/>
            </w:tcMar>
          </w:tcPr>
          <w:p w:rsidR="00000000" w:rsidRPr="00CB65A2" w:rsidP="00CB65A2">
            <w:pPr>
              <w:pStyle w:val="BodyText"/>
            </w:pPr>
            <w:r w:rsidRPr="00CB65A2">
              <w:t>Perform the process</w:t>
            </w:r>
          </w:p>
        </w:tc>
        <w:tc>
          <w:tcPr>
            <w:tcW w:w="441" w:type="dxa"/>
            <w:tcBorders>
              <w:top w:val="nil"/>
              <w:left w:val="nil"/>
              <w:bottom w:val="nil"/>
              <w:right w:val="nil"/>
            </w:tcBorders>
            <w:tcMar>
              <w:top w:w="0" w:type="dxa"/>
              <w:left w:w="62" w:type="dxa"/>
              <w:bottom w:w="0" w:type="dxa"/>
              <w:right w:w="62" w:type="dxa"/>
            </w:tcMar>
          </w:tcPr>
          <w:p w:rsidR="00000000" w:rsidP="00CB65A2">
            <w:pPr>
              <w:pStyle w:val="BodyText"/>
              <w:rPr>
                <w:lang w:val="en-NZ"/>
              </w:rPr>
            </w:pPr>
            <w:r w:rsidRPr="00CB65A2">
              <w:rPr>
                <w:rStyle w:val="SpecialBold"/>
              </w:rPr>
              <w:t>2</w:t>
            </w:r>
          </w:p>
        </w:tc>
        <w:tc>
          <w:tcPr>
            <w:tcW w:w="2659" w:type="dxa"/>
            <w:tcBorders>
              <w:top w:val="nil"/>
              <w:left w:val="nil"/>
              <w:bottom w:val="nil"/>
              <w:right w:val="nil"/>
            </w:tcBorders>
            <w:tcMar>
              <w:top w:w="0" w:type="dxa"/>
              <w:left w:w="62" w:type="dxa"/>
              <w:bottom w:w="0" w:type="dxa"/>
              <w:right w:w="62" w:type="dxa"/>
            </w:tcMar>
          </w:tcPr>
          <w:p w:rsidR="00000000" w:rsidRPr="00CB65A2" w:rsidP="00CB65A2">
            <w:pPr>
              <w:pStyle w:val="BodyText"/>
            </w:pPr>
            <w:r w:rsidRPr="00CB65A2">
              <w:t>Perform and administer the process</w:t>
            </w:r>
          </w:p>
        </w:tc>
        <w:tc>
          <w:tcPr>
            <w:tcW w:w="349" w:type="dxa"/>
            <w:tcBorders>
              <w:top w:val="nil"/>
              <w:left w:val="nil"/>
              <w:bottom w:val="nil"/>
              <w:right w:val="nil"/>
            </w:tcBorders>
            <w:tcMar>
              <w:top w:w="0" w:type="dxa"/>
              <w:left w:w="62" w:type="dxa"/>
              <w:bottom w:w="0" w:type="dxa"/>
              <w:right w:w="62" w:type="dxa"/>
            </w:tcMar>
          </w:tcPr>
          <w:p w:rsidR="00000000" w:rsidP="00CB65A2">
            <w:pPr>
              <w:pStyle w:val="BodyText"/>
              <w:rPr>
                <w:lang w:val="en-NZ"/>
              </w:rPr>
            </w:pPr>
            <w:r w:rsidRPr="00CB65A2">
              <w:rPr>
                <w:rStyle w:val="SpecialBold"/>
              </w:rPr>
              <w:t>3</w:t>
            </w:r>
          </w:p>
        </w:tc>
        <w:tc>
          <w:tcPr>
            <w:tcW w:w="2750" w:type="dxa"/>
            <w:gridSpan w:val="2"/>
            <w:tcBorders>
              <w:top w:val="nil"/>
              <w:left w:val="nil"/>
              <w:bottom w:val="nil"/>
              <w:right w:val="nil"/>
            </w:tcBorders>
            <w:tcMar>
              <w:top w:w="0" w:type="dxa"/>
              <w:left w:w="62" w:type="dxa"/>
              <w:bottom w:w="0" w:type="dxa"/>
              <w:right w:w="62" w:type="dxa"/>
            </w:tcMar>
          </w:tcPr>
          <w:p w:rsidR="00000000" w:rsidP="00CB65A2">
            <w:pPr>
              <w:pStyle w:val="BodyText"/>
              <w:rPr>
                <w:lang w:val="en-NZ"/>
              </w:rPr>
            </w:pPr>
            <w:r w:rsidRPr="00CB65A2">
              <w:t>Perform, administer and design the process</w:t>
            </w:r>
          </w:p>
        </w:tc>
      </w:tr>
      <w:tr w:rsidTr="00833B22">
        <w:tblPrEx>
          <w:tblW w:w="0" w:type="auto"/>
          <w:tblLayout w:type="fixed"/>
          <w:tblCellMar>
            <w:left w:w="62" w:type="dxa"/>
            <w:right w:w="62" w:type="dxa"/>
          </w:tblCellMar>
          <w:tblLook w:val="0000"/>
        </w:tblPrEx>
        <w:tc>
          <w:tcPr>
            <w:tcW w:w="2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5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50" w:type="dxa"/>
            <w:gridSpan w:val="2"/>
            <w:tcBorders>
              <w:top w:val="nil"/>
              <w:left w:val="nil"/>
              <w:bottom w:val="nil"/>
              <w:right w:val="nil"/>
            </w:tcBorders>
            <w:tcMar>
              <w:top w:w="0" w:type="dxa"/>
              <w:left w:w="62" w:type="dxa"/>
              <w:bottom w:w="0" w:type="dxa"/>
              <w:right w:w="62" w:type="dxa"/>
            </w:tcMar>
          </w:tcPr>
          <w:p w:rsidR="00000000" w:rsidP="00CB65A2">
            <w:pPr>
              <w:pStyle w:val="BodyText"/>
              <w:rPr>
                <w:lang w:val="en-NZ"/>
              </w:rPr>
            </w:pPr>
          </w:p>
        </w:tc>
      </w:tr>
      <w:tr w:rsidTr="00833B22">
        <w:tblPrEx>
          <w:tblW w:w="0" w:type="auto"/>
          <w:tblLayout w:type="fixed"/>
          <w:tblCellMar>
            <w:left w:w="62" w:type="dxa"/>
            <w:right w:w="62" w:type="dxa"/>
          </w:tblCellMar>
          <w:tblLook w:val="0000"/>
        </w:tblPrEx>
        <w:trPr>
          <w:gridAfter w:val="1"/>
          <w:wAfter w:w="474" w:type="dxa"/>
        </w:trPr>
        <w:tc>
          <w:tcPr>
            <w:tcW w:w="3284"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CB65A2">
            <w:pPr>
              <w:pStyle w:val="BodyText"/>
              <w:rPr>
                <w:lang w:val="en-NZ"/>
              </w:rPr>
            </w:pPr>
            <w:r w:rsidRPr="00CB65A2">
              <w:t xml:space="preserve">How can </w:t>
            </w:r>
            <w:r w:rsidRPr="00CB65A2">
              <w:rPr>
                <w:rStyle w:val="SpecialBold"/>
              </w:rPr>
              <w:t>information be collected</w:t>
            </w:r>
            <w:r w:rsidRPr="00CB65A2">
              <w:t xml:space="preserve">, </w:t>
            </w:r>
            <w:r w:rsidRPr="00CB65A2">
              <w:rPr>
                <w:rStyle w:val="SpecialBold"/>
              </w:rPr>
              <w:t>analysed and organised</w:t>
            </w:r>
            <w:r w:rsidRPr="00CB65A2">
              <w:t xml:space="preserve"> (</w:t>
            </w:r>
            <w:r w:rsidRPr="00CB65A2">
              <w:rPr>
                <w:rStyle w:val="SpecialBold"/>
              </w:rPr>
              <w:t>1</w:t>
            </w:r>
            <w:r w:rsidRPr="00CB65A2">
              <w:t>)?</w:t>
            </w:r>
          </w:p>
        </w:tc>
        <w:tc>
          <w:tcPr>
            <w:tcW w:w="5284"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CB65A2">
            <w:pPr>
              <w:pStyle w:val="BodyText"/>
              <w:rPr>
                <w:lang w:val="en-NZ"/>
              </w:rPr>
            </w:pPr>
            <w:r w:rsidRPr="00CB65A2">
              <w:t>Compare information regarding the work environment against relevant policies and procedures.</w:t>
            </w:r>
          </w:p>
        </w:tc>
      </w:tr>
      <w:tr w:rsidTr="00833B22">
        <w:tblPrEx>
          <w:tblW w:w="0" w:type="auto"/>
          <w:tblLayout w:type="fixed"/>
          <w:tblCellMar>
            <w:left w:w="62" w:type="dxa"/>
            <w:right w:w="62" w:type="dxa"/>
          </w:tblCellMar>
          <w:tblLook w:val="0000"/>
        </w:tblPrEx>
        <w:trPr>
          <w:gridAfter w:val="1"/>
          <w:wAfter w:w="474" w:type="dxa"/>
        </w:trPr>
        <w:tc>
          <w:tcPr>
            <w:tcW w:w="3284"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CB65A2">
            <w:pPr>
              <w:pStyle w:val="BodyText"/>
              <w:rPr>
                <w:lang w:val="en-NZ"/>
              </w:rPr>
            </w:pPr>
            <w:r w:rsidRPr="00CB65A2">
              <w:t xml:space="preserve">How can </w:t>
            </w:r>
            <w:r w:rsidRPr="00CB65A2">
              <w:rPr>
                <w:rStyle w:val="SpecialBold"/>
              </w:rPr>
              <w:t>communication of ideas and information</w:t>
            </w:r>
            <w:r w:rsidRPr="00CB65A2">
              <w:t xml:space="preserve"> (</w:t>
            </w:r>
            <w:r w:rsidRPr="00CB65A2">
              <w:rPr>
                <w:rStyle w:val="SpecialBold"/>
              </w:rPr>
              <w:t>1</w:t>
            </w:r>
            <w:r w:rsidRPr="00CB65A2">
              <w:t>) be applied?</w:t>
            </w:r>
          </w:p>
        </w:tc>
        <w:tc>
          <w:tcPr>
            <w:tcW w:w="5284"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CB65A2">
            <w:pPr>
              <w:pStyle w:val="BodyText"/>
              <w:rPr>
                <w:lang w:val="en-NZ"/>
              </w:rPr>
            </w:pPr>
            <w:r w:rsidRPr="00CB65A2">
              <w:t>Report or discuss OHS issues with relevant or appropriate personnel.</w:t>
            </w:r>
          </w:p>
        </w:tc>
      </w:tr>
      <w:tr w:rsidTr="00833B22">
        <w:tblPrEx>
          <w:tblW w:w="0" w:type="auto"/>
          <w:tblLayout w:type="fixed"/>
          <w:tblCellMar>
            <w:left w:w="62" w:type="dxa"/>
            <w:right w:w="62" w:type="dxa"/>
          </w:tblCellMar>
          <w:tblLook w:val="0000"/>
        </w:tblPrEx>
        <w:trPr>
          <w:gridAfter w:val="1"/>
          <w:wAfter w:w="474" w:type="dxa"/>
        </w:trPr>
        <w:tc>
          <w:tcPr>
            <w:tcW w:w="3284"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CB65A2">
            <w:pPr>
              <w:pStyle w:val="BodyText"/>
              <w:rPr>
                <w:lang w:val="en-NZ"/>
              </w:rPr>
            </w:pPr>
            <w:r w:rsidRPr="00CB65A2">
              <w:t xml:space="preserve">How are </w:t>
            </w:r>
            <w:r w:rsidRPr="00CB65A2">
              <w:rPr>
                <w:rStyle w:val="SpecialBold"/>
              </w:rPr>
              <w:t>activities planned and organised</w:t>
            </w:r>
            <w:r w:rsidRPr="00CB65A2">
              <w:t xml:space="preserve"> (</w:t>
            </w:r>
            <w:r w:rsidRPr="00CB65A2">
              <w:rPr>
                <w:rStyle w:val="SpecialBold"/>
              </w:rPr>
              <w:t>1</w:t>
            </w:r>
            <w:r w:rsidRPr="00CB65A2">
              <w:t>)?</w:t>
            </w:r>
          </w:p>
        </w:tc>
        <w:tc>
          <w:tcPr>
            <w:tcW w:w="5284"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CB65A2">
            <w:pPr>
              <w:pStyle w:val="BodyText"/>
              <w:rPr>
                <w:lang w:val="en-NZ"/>
              </w:rPr>
            </w:pPr>
            <w:r w:rsidRPr="00CB65A2">
              <w:t>Organise work tasks according to safe work practices.</w:t>
            </w:r>
          </w:p>
        </w:tc>
      </w:tr>
      <w:tr w:rsidTr="00833B22">
        <w:tblPrEx>
          <w:tblW w:w="0" w:type="auto"/>
          <w:tblLayout w:type="fixed"/>
          <w:tblCellMar>
            <w:left w:w="62" w:type="dxa"/>
            <w:right w:w="62" w:type="dxa"/>
          </w:tblCellMar>
          <w:tblLook w:val="0000"/>
        </w:tblPrEx>
        <w:trPr>
          <w:gridAfter w:val="1"/>
          <w:wAfter w:w="474" w:type="dxa"/>
        </w:trPr>
        <w:tc>
          <w:tcPr>
            <w:tcW w:w="3284"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CB65A2">
            <w:pPr>
              <w:pStyle w:val="BodyText"/>
              <w:rPr>
                <w:lang w:val="en-NZ"/>
              </w:rPr>
            </w:pPr>
            <w:r w:rsidRPr="00CB65A2">
              <w:t xml:space="preserve">How can </w:t>
            </w:r>
            <w:r w:rsidRPr="00CB65A2">
              <w:rPr>
                <w:rStyle w:val="SpecialBold"/>
              </w:rPr>
              <w:t>teamwork</w:t>
            </w:r>
            <w:r w:rsidRPr="00CB65A2">
              <w:t xml:space="preserve"> (</w:t>
            </w:r>
            <w:r w:rsidRPr="00CB65A2">
              <w:rPr>
                <w:rStyle w:val="SpecialBold"/>
              </w:rPr>
              <w:t>1</w:t>
            </w:r>
            <w:r w:rsidRPr="00CB65A2">
              <w:t>) be applied?</w:t>
            </w:r>
          </w:p>
        </w:tc>
        <w:tc>
          <w:tcPr>
            <w:tcW w:w="5284"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CB65A2">
            <w:pPr>
              <w:pStyle w:val="BodyText"/>
              <w:rPr>
                <w:lang w:val="en-NZ"/>
              </w:rPr>
            </w:pPr>
            <w:r w:rsidRPr="00CB65A2">
              <w:t>Participate in ensuring a safe work environment.</w:t>
            </w:r>
          </w:p>
        </w:tc>
      </w:tr>
      <w:tr w:rsidTr="00833B22">
        <w:tblPrEx>
          <w:tblW w:w="0" w:type="auto"/>
          <w:tblLayout w:type="fixed"/>
          <w:tblCellMar>
            <w:left w:w="62" w:type="dxa"/>
            <w:right w:w="62" w:type="dxa"/>
          </w:tblCellMar>
          <w:tblLook w:val="0000"/>
        </w:tblPrEx>
        <w:trPr>
          <w:gridAfter w:val="1"/>
          <w:wAfter w:w="474" w:type="dxa"/>
        </w:trPr>
        <w:tc>
          <w:tcPr>
            <w:tcW w:w="3284"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CB65A2">
            <w:pPr>
              <w:pStyle w:val="BodyText"/>
              <w:rPr>
                <w:lang w:val="en-NZ"/>
              </w:rPr>
            </w:pPr>
            <w:r w:rsidRPr="00CB65A2">
              <w:t xml:space="preserve">How can the use of </w:t>
            </w:r>
            <w:r w:rsidRPr="00CB65A2">
              <w:rPr>
                <w:rStyle w:val="SpecialBold"/>
              </w:rPr>
              <w:t>mathematical ideas and techniques</w:t>
            </w:r>
            <w:r w:rsidRPr="00CB65A2">
              <w:t xml:space="preserve"> (</w:t>
            </w:r>
            <w:r w:rsidRPr="00CB65A2">
              <w:rPr>
                <w:rStyle w:val="SpecialBold"/>
              </w:rPr>
              <w:t>1</w:t>
            </w:r>
            <w:r w:rsidRPr="00CB65A2">
              <w:t>) be applied?</w:t>
            </w:r>
          </w:p>
        </w:tc>
        <w:tc>
          <w:tcPr>
            <w:tcW w:w="5284"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CB65A2">
            <w:pPr>
              <w:pStyle w:val="BodyText"/>
              <w:rPr>
                <w:lang w:val="en-NZ"/>
              </w:rPr>
            </w:pPr>
            <w:r w:rsidRPr="00CB65A2">
              <w:t>M</w:t>
            </w:r>
            <w:r w:rsidRPr="00CB65A2">
              <w:t>ix chemicals and follow equipment maintenance schedules.</w:t>
            </w:r>
          </w:p>
        </w:tc>
      </w:tr>
      <w:tr w:rsidTr="00833B22">
        <w:tblPrEx>
          <w:tblW w:w="0" w:type="auto"/>
          <w:tblLayout w:type="fixed"/>
          <w:tblCellMar>
            <w:left w:w="62" w:type="dxa"/>
            <w:right w:w="62" w:type="dxa"/>
          </w:tblCellMar>
          <w:tblLook w:val="0000"/>
        </w:tblPrEx>
        <w:trPr>
          <w:gridAfter w:val="1"/>
          <w:wAfter w:w="474" w:type="dxa"/>
        </w:trPr>
        <w:tc>
          <w:tcPr>
            <w:tcW w:w="3284"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CB65A2">
            <w:pPr>
              <w:pStyle w:val="BodyText"/>
              <w:rPr>
                <w:lang w:val="en-NZ"/>
              </w:rPr>
            </w:pPr>
            <w:r w:rsidRPr="00CB65A2">
              <w:t xml:space="preserve">How can </w:t>
            </w:r>
            <w:r w:rsidRPr="00CB65A2">
              <w:rPr>
                <w:rStyle w:val="SpecialBold"/>
              </w:rPr>
              <w:t>problem-solving skills</w:t>
            </w:r>
            <w:r w:rsidRPr="00CB65A2">
              <w:t xml:space="preserve"> (</w:t>
            </w:r>
            <w:r w:rsidRPr="00CB65A2">
              <w:rPr>
                <w:rStyle w:val="SpecialBold"/>
              </w:rPr>
              <w:t>1</w:t>
            </w:r>
            <w:r w:rsidRPr="00CB65A2">
              <w:t>) be applied?</w:t>
            </w:r>
          </w:p>
        </w:tc>
        <w:tc>
          <w:tcPr>
            <w:tcW w:w="5284"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CB65A2">
            <w:pPr>
              <w:pStyle w:val="BodyText"/>
              <w:rPr>
                <w:lang w:val="en-NZ"/>
              </w:rPr>
            </w:pPr>
            <w:r w:rsidRPr="00CB65A2">
              <w:t>Identify and report hazards.</w:t>
            </w:r>
          </w:p>
        </w:tc>
      </w:tr>
      <w:tr w:rsidTr="00833B22">
        <w:tblPrEx>
          <w:tblW w:w="0" w:type="auto"/>
          <w:tblLayout w:type="fixed"/>
          <w:tblCellMar>
            <w:left w:w="62" w:type="dxa"/>
            <w:right w:w="62" w:type="dxa"/>
          </w:tblCellMar>
          <w:tblLook w:val="0000"/>
        </w:tblPrEx>
        <w:trPr>
          <w:gridAfter w:val="1"/>
          <w:wAfter w:w="474" w:type="dxa"/>
        </w:trPr>
        <w:tc>
          <w:tcPr>
            <w:tcW w:w="3284"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CB65A2">
            <w:pPr>
              <w:pStyle w:val="BodyText"/>
              <w:rPr>
                <w:lang w:val="en-NZ"/>
              </w:rPr>
            </w:pPr>
            <w:r w:rsidRPr="00CB65A2">
              <w:t xml:space="preserve">How can the </w:t>
            </w:r>
            <w:r w:rsidRPr="00CB65A2">
              <w:rPr>
                <w:rStyle w:val="SpecialBold"/>
              </w:rPr>
              <w:t>use of technology</w:t>
            </w:r>
            <w:r w:rsidRPr="00CB65A2">
              <w:t xml:space="preserve"> (</w:t>
            </w:r>
            <w:r w:rsidRPr="00CB65A2">
              <w:rPr>
                <w:rStyle w:val="SpecialBold"/>
              </w:rPr>
              <w:t>1</w:t>
            </w:r>
            <w:r w:rsidRPr="00CB65A2">
              <w:t>) be applied?</w:t>
            </w:r>
          </w:p>
        </w:tc>
        <w:tc>
          <w:tcPr>
            <w:tcW w:w="5284"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CB65A2" w:rsidP="00CB65A2">
            <w:pPr>
              <w:pStyle w:val="BodyText"/>
            </w:pPr>
            <w:r w:rsidRPr="00CB65A2">
              <w:t>Use products and equipment.</w:t>
            </w:r>
          </w:p>
        </w:tc>
      </w:tr>
    </w:tbl>
    <w:p w:rsidR="00833B22" w:rsidP="00CB65A2">
      <w:pPr>
        <w:pStyle w:val="BodyText"/>
      </w:pPr>
    </w:p>
    <w:p w:rsidR="00833B22" w:rsidP="00CB65A2">
      <w:pPr>
        <w:pStyle w:val="BodyText"/>
      </w:pPr>
    </w:p>
    <w:p w:rsidR="00000000" w:rsidRPr="00CB65A2" w:rsidP="00CB65A2">
      <w:pPr>
        <w:pStyle w:val="Heading1"/>
      </w:pPr>
      <w:bookmarkStart w:id="11" w:name="O_253560"/>
      <w:bookmarkEnd w:id="11"/>
      <w:r w:rsidRPr="00CB65A2">
        <w:t>Range Statement</w:t>
      </w:r>
    </w:p>
    <w:p w:rsidR="00000000" w:rsidRPr="00CB65A2" w:rsidP="00CB65A2">
      <w:pPr>
        <w:pStyle w:val="BodyText"/>
      </w:pPr>
      <w:r w:rsidRPr="00CB65A2">
        <w:rPr>
          <w:rStyle w:val="SpecialBold"/>
        </w:rPr>
        <w:t>RANGE STATEMENT</w:t>
      </w:r>
    </w:p>
    <w:p w:rsidR="00000000" w:rsidRPr="00CB65A2" w:rsidP="00CB65A2">
      <w:pPr>
        <w:pStyle w:val="BodyText"/>
      </w:pPr>
      <w:r w:rsidRPr="00CB65A2">
        <w:t>The range statement links the required knowledge and organisational and technical requirements to the workplace context. It describes any contextual variables that will be used or encountered when applying the competency in work situations</w:t>
      </w:r>
      <w:r w:rsidRPr="00CB65A2">
        <w:t>. It allows for different work practices and work and knowledge requirements as well as for differences between organisations and workplaces. The following variables are listed alphabetically and may be present for this particular unit.</w:t>
      </w:r>
    </w:p>
    <w:p w:rsidR="00000000" w:rsidRPr="00CB65A2" w:rsidP="00CB65A2">
      <w:pPr>
        <w:pStyle w:val="BodyText"/>
      </w:pPr>
      <w:r w:rsidRPr="00CB65A2">
        <w:rPr>
          <w:rStyle w:val="SpecialBold"/>
        </w:rPr>
        <w:t>Appropriate personn</w:t>
      </w:r>
      <w:r w:rsidRPr="00CB65A2">
        <w:rPr>
          <w:rStyle w:val="SpecialBold"/>
        </w:rPr>
        <w:t>el</w:t>
      </w:r>
      <w:r w:rsidRPr="00CB65A2">
        <w:t xml:space="preserve"> may include:</w:t>
      </w:r>
    </w:p>
    <w:p w:rsidR="00000000" w:rsidRPr="00CB65A2" w:rsidP="00CB65A2">
      <w:pPr>
        <w:pStyle w:val="ListBullet"/>
      </w:pPr>
      <w:r w:rsidRPr="00CB65A2">
        <w:t>health and safety representatives</w:t>
      </w:r>
    </w:p>
    <w:p w:rsidR="00000000" w:rsidRPr="00CB65A2" w:rsidP="00CB65A2">
      <w:pPr>
        <w:pStyle w:val="ListBullet"/>
      </w:pPr>
      <w:r w:rsidRPr="00CB65A2">
        <w:t>managers</w:t>
      </w:r>
    </w:p>
    <w:p w:rsidR="00000000" w:rsidRPr="00CB65A2" w:rsidP="00CB65A2">
      <w:pPr>
        <w:pStyle w:val="ListBullet"/>
      </w:pPr>
      <w:r w:rsidRPr="00CB65A2">
        <w:t>OHS personnel</w:t>
      </w:r>
    </w:p>
    <w:p w:rsidR="00000000" w:rsidRPr="00CB65A2" w:rsidP="00CB65A2">
      <w:pPr>
        <w:pStyle w:val="ListBullet"/>
      </w:pPr>
      <w:r w:rsidRPr="00CB65A2">
        <w:t>other persons including emergency service personnel, authorised or nominated by the enterprise or industry to:</w:t>
      </w:r>
    </w:p>
    <w:p w:rsidR="00000000" w:rsidRPr="00CB65A2" w:rsidP="00CB65A2">
      <w:pPr>
        <w:pStyle w:val="ListBullet2"/>
      </w:pPr>
      <w:r w:rsidRPr="00CB65A2">
        <w:t>perform specified work/functions</w:t>
      </w:r>
    </w:p>
    <w:p w:rsidR="00000000" w:rsidRPr="00CB65A2" w:rsidP="00CB65A2">
      <w:pPr>
        <w:pStyle w:val="ListBullet2"/>
      </w:pPr>
      <w:r w:rsidRPr="00CB65A2">
        <w:t>approve specified work</w:t>
      </w:r>
    </w:p>
    <w:p w:rsidR="00000000" w:rsidRPr="00CB65A2" w:rsidP="00CB65A2">
      <w:pPr>
        <w:pStyle w:val="ListBullet2"/>
      </w:pPr>
      <w:r w:rsidRPr="00CB65A2">
        <w:t>inspect specified work</w:t>
      </w:r>
    </w:p>
    <w:p w:rsidR="00000000" w:rsidRPr="00CB65A2" w:rsidP="00CB65A2">
      <w:pPr>
        <w:pStyle w:val="ListBullet2"/>
      </w:pPr>
      <w:r w:rsidRPr="00CB65A2">
        <w:t>direct specified work/functions</w:t>
      </w:r>
    </w:p>
    <w:p w:rsidR="00000000" w:rsidRPr="00CB65A2" w:rsidP="00CB65A2">
      <w:pPr>
        <w:pStyle w:val="ListBullet"/>
      </w:pPr>
      <w:r w:rsidRPr="00CB65A2">
        <w:t>supervisors/team leaders.</w:t>
      </w:r>
    </w:p>
    <w:p w:rsidR="00000000" w:rsidRPr="00CB65A2" w:rsidP="00CB65A2">
      <w:pPr>
        <w:pStyle w:val="BodyText"/>
      </w:pPr>
      <w:r w:rsidRPr="00CB65A2">
        <w:rPr>
          <w:rStyle w:val="SpecialBold"/>
        </w:rPr>
        <w:t>Company requirements</w:t>
      </w:r>
      <w:r w:rsidRPr="00CB65A2">
        <w:t xml:space="preserve"> may include:</w:t>
      </w:r>
    </w:p>
    <w:p w:rsidR="00000000" w:rsidRPr="00CB65A2" w:rsidP="00CB65A2">
      <w:pPr>
        <w:pStyle w:val="ListBullet"/>
      </w:pPr>
      <w:r w:rsidRPr="00CB65A2">
        <w:t>counselling/disciplinary processes</w:t>
      </w:r>
    </w:p>
    <w:p w:rsidR="00000000" w:rsidRPr="00CB65A2" w:rsidP="00CB65A2">
      <w:pPr>
        <w:pStyle w:val="ListBullet"/>
      </w:pPr>
      <w:r w:rsidRPr="00CB65A2">
        <w:t>maintenance of plant and equipment</w:t>
      </w:r>
    </w:p>
    <w:p w:rsidR="00000000" w:rsidRPr="00CB65A2" w:rsidP="00CB65A2">
      <w:pPr>
        <w:pStyle w:val="ListBullet"/>
      </w:pPr>
      <w:r w:rsidRPr="00CB65A2">
        <w:t>purchasing of supplies and equipment</w:t>
      </w:r>
    </w:p>
    <w:p w:rsidR="00000000" w:rsidRPr="00CB65A2" w:rsidP="00CB65A2">
      <w:pPr>
        <w:pStyle w:val="ListBullet"/>
      </w:pPr>
      <w:r w:rsidRPr="00CB65A2">
        <w:t>work procedures and work instruc</w:t>
      </w:r>
      <w:r w:rsidRPr="00CB65A2">
        <w:t>tions.</w:t>
      </w:r>
    </w:p>
    <w:p w:rsidR="00000000" w:rsidRPr="00CB65A2" w:rsidP="00CB65A2">
      <w:pPr>
        <w:pStyle w:val="BodyText"/>
      </w:pPr>
      <w:r w:rsidRPr="00CB65A2">
        <w:rPr>
          <w:rStyle w:val="SpecialBold"/>
        </w:rPr>
        <w:t>Emergencies</w:t>
      </w:r>
      <w:r w:rsidRPr="00CB65A2">
        <w:t xml:space="preserve"> may include:</w:t>
      </w:r>
    </w:p>
    <w:p w:rsidR="00000000" w:rsidRPr="00CB65A2" w:rsidP="00CB65A2">
      <w:pPr>
        <w:pStyle w:val="ListBullet"/>
      </w:pPr>
      <w:r w:rsidRPr="00CB65A2">
        <w:t>accidents (including motor vehicle accidents)</w:t>
      </w:r>
    </w:p>
    <w:p w:rsidR="00000000" w:rsidRPr="00CB65A2" w:rsidP="00CB65A2">
      <w:pPr>
        <w:pStyle w:val="ListBullet"/>
      </w:pPr>
      <w:r w:rsidRPr="00CB65A2">
        <w:t>acts of violence</w:t>
      </w:r>
    </w:p>
    <w:p w:rsidR="00000000" w:rsidRPr="00CB65A2" w:rsidP="00CB65A2">
      <w:pPr>
        <w:pStyle w:val="ListBullet"/>
      </w:pPr>
      <w:r w:rsidRPr="00CB65A2">
        <w:t>bomb threats</w:t>
      </w:r>
    </w:p>
    <w:p w:rsidR="00000000" w:rsidRPr="00CB65A2" w:rsidP="00CB65A2">
      <w:pPr>
        <w:pStyle w:val="ListBullet"/>
      </w:pPr>
      <w:r w:rsidRPr="00CB65A2">
        <w:t>chemical spills</w:t>
      </w:r>
    </w:p>
    <w:p w:rsidR="00000000" w:rsidRPr="00CB65A2" w:rsidP="00CB65A2">
      <w:pPr>
        <w:pStyle w:val="ListBullet"/>
      </w:pPr>
      <w:r w:rsidRPr="00CB65A2">
        <w:t>fire and explosions</w:t>
      </w:r>
    </w:p>
    <w:p w:rsidR="00000000" w:rsidRPr="00CB65A2" w:rsidP="00CB65A2">
      <w:pPr>
        <w:pStyle w:val="ListBullet"/>
      </w:pPr>
      <w:r w:rsidRPr="00CB65A2">
        <w:t>inhalation of dangerous substances</w:t>
      </w:r>
    </w:p>
    <w:p w:rsidR="00000000" w:rsidRPr="00CB65A2" w:rsidP="00CB65A2">
      <w:pPr>
        <w:pStyle w:val="ListBullet"/>
      </w:pPr>
      <w:r w:rsidRPr="00CB65A2">
        <w:t>natural disasters.</w:t>
      </w:r>
    </w:p>
    <w:p w:rsidR="00000000" w:rsidRPr="00CB65A2" w:rsidP="00CB65A2">
      <w:pPr>
        <w:pStyle w:val="BodyText"/>
      </w:pPr>
      <w:r w:rsidRPr="00CB65A2">
        <w:rPr>
          <w:rStyle w:val="SpecialBold"/>
        </w:rPr>
        <w:t>Emergency procedures</w:t>
      </w:r>
      <w:r w:rsidRPr="00CB65A2">
        <w:t xml:space="preserve"> may include:</w:t>
      </w:r>
    </w:p>
    <w:p w:rsidR="00000000" w:rsidRPr="00CB65A2" w:rsidP="00CB65A2">
      <w:pPr>
        <w:pStyle w:val="ListBullet"/>
      </w:pPr>
      <w:r w:rsidRPr="00CB65A2">
        <w:t>accident/incident reporting</w:t>
      </w:r>
    </w:p>
    <w:p w:rsidR="00000000" w:rsidRPr="00CB65A2" w:rsidP="00CB65A2">
      <w:pPr>
        <w:pStyle w:val="ListBullet"/>
      </w:pPr>
      <w:r w:rsidRPr="00CB65A2">
        <w:t>chemical containment</w:t>
      </w:r>
    </w:p>
    <w:p w:rsidR="00000000" w:rsidRPr="00CB65A2" w:rsidP="00CB65A2">
      <w:pPr>
        <w:pStyle w:val="ListBullet"/>
      </w:pPr>
      <w:r w:rsidRPr="00CB65A2">
        <w:t>evacuations</w:t>
      </w:r>
    </w:p>
    <w:p w:rsidR="00000000" w:rsidRPr="00CB65A2" w:rsidP="00CB65A2">
      <w:pPr>
        <w:pStyle w:val="ListBullet"/>
      </w:pPr>
      <w:r w:rsidRPr="00CB65A2">
        <w:t>following instructions from authorised or appropriate personnel during hazardous events</w:t>
      </w:r>
    </w:p>
    <w:p w:rsidR="00000000" w:rsidRPr="00CB65A2" w:rsidP="00CB65A2">
      <w:pPr>
        <w:pStyle w:val="ListBullet"/>
      </w:pPr>
      <w:r w:rsidRPr="00CB65A2">
        <w:t>provision of First Aid.</w:t>
      </w:r>
    </w:p>
    <w:p w:rsidR="00000000" w:rsidRPr="00CB65A2" w:rsidP="00CB65A2">
      <w:pPr>
        <w:pStyle w:val="BodyText"/>
      </w:pPr>
      <w:r w:rsidRPr="00CB65A2">
        <w:rPr>
          <w:rStyle w:val="SpecialBold"/>
        </w:rPr>
        <w:t>Hazards</w:t>
      </w:r>
      <w:r w:rsidRPr="00CB65A2">
        <w:t xml:space="preserve"> may include:</w:t>
      </w:r>
    </w:p>
    <w:p w:rsidR="00000000" w:rsidRPr="00CB65A2" w:rsidP="00CB65A2">
      <w:pPr>
        <w:pStyle w:val="ListBullet"/>
      </w:pPr>
      <w:r w:rsidRPr="00CB65A2">
        <w:t>associated with electrical or mechanical faults</w:t>
      </w:r>
    </w:p>
    <w:p w:rsidR="00000000" w:rsidRPr="00CB65A2" w:rsidP="00CB65A2">
      <w:pPr>
        <w:pStyle w:val="ListBullet"/>
      </w:pPr>
      <w:r w:rsidRPr="00CB65A2">
        <w:t>environmental</w:t>
      </w:r>
      <w:r w:rsidRPr="00CB65A2">
        <w:t xml:space="preserve"> e.g. improper use of hazardous materials/chemicals</w:t>
      </w:r>
    </w:p>
    <w:p w:rsidR="00000000" w:rsidRPr="00CB65A2" w:rsidP="00CB65A2">
      <w:pPr>
        <w:pStyle w:val="ListBullet"/>
      </w:pPr>
      <w:r w:rsidRPr="00CB65A2">
        <w:t>ergonomic e.g. improper manual handling methods</w:t>
      </w:r>
    </w:p>
    <w:p w:rsidR="00000000" w:rsidRPr="00CB65A2" w:rsidP="00CB65A2">
      <w:pPr>
        <w:pStyle w:val="ListBullet"/>
      </w:pPr>
      <w:r w:rsidRPr="00CB65A2">
        <w:t>obstructive e.g. blocked access to emergency entry/exit points.</w:t>
      </w:r>
    </w:p>
    <w:p w:rsidR="00000000" w:rsidRPr="00CB65A2" w:rsidP="00CB65A2">
      <w:pPr>
        <w:pStyle w:val="BodyText"/>
      </w:pPr>
      <w:r w:rsidRPr="00CB65A2">
        <w:rPr>
          <w:rStyle w:val="SpecialBold"/>
        </w:rPr>
        <w:t>Manufacturers' specifications</w:t>
      </w:r>
      <w:r w:rsidRPr="00CB65A2">
        <w:t xml:space="preserve"> may include:</w:t>
      </w:r>
    </w:p>
    <w:p w:rsidR="00000000" w:rsidRPr="00CB65A2" w:rsidP="00CB65A2">
      <w:pPr>
        <w:pStyle w:val="ListBullet"/>
      </w:pPr>
      <w:r w:rsidRPr="00CB65A2">
        <w:t>equipment operational manuals</w:t>
      </w:r>
    </w:p>
    <w:p w:rsidR="00000000" w:rsidRPr="00CB65A2" w:rsidP="00CB65A2">
      <w:pPr>
        <w:pStyle w:val="ListBullet"/>
      </w:pPr>
      <w:r w:rsidRPr="00CB65A2">
        <w:t>instructional guides</w:t>
      </w:r>
    </w:p>
    <w:p w:rsidR="00000000" w:rsidRPr="00CB65A2" w:rsidP="00CB65A2">
      <w:pPr>
        <w:pStyle w:val="ListBullet"/>
      </w:pPr>
      <w:r w:rsidRPr="00CB65A2">
        <w:t>material safety data sheets (MSDS)</w:t>
      </w:r>
    </w:p>
    <w:p w:rsidR="00000000" w:rsidRPr="00CB65A2" w:rsidP="00CB65A2">
      <w:pPr>
        <w:pStyle w:val="ListBullet"/>
      </w:pPr>
      <w:r w:rsidRPr="00CB65A2">
        <w:t>other resources supplied by the manufacturer (such as laminated cards, notices and wall posters)</w:t>
      </w:r>
    </w:p>
    <w:p w:rsidR="00000000" w:rsidRPr="00CB65A2" w:rsidP="00CB65A2">
      <w:pPr>
        <w:pStyle w:val="ListBullet"/>
      </w:pPr>
      <w:r w:rsidRPr="00CB65A2">
        <w:t>product labels</w:t>
      </w:r>
    </w:p>
    <w:p w:rsidR="00000000" w:rsidRPr="00CB65A2" w:rsidP="00CB65A2">
      <w:pPr>
        <w:pStyle w:val="ListBullet"/>
      </w:pPr>
      <w:r w:rsidRPr="00CB65A2">
        <w:t>safety instructions pre-printed on equipment.</w:t>
      </w:r>
    </w:p>
    <w:p w:rsidR="00000000" w:rsidRPr="00CB65A2" w:rsidP="00CB65A2">
      <w:pPr>
        <w:pStyle w:val="BodyText"/>
      </w:pPr>
      <w:r w:rsidRPr="00CB65A2">
        <w:rPr>
          <w:rStyle w:val="SpecialBold"/>
        </w:rPr>
        <w:t>OHS information</w:t>
      </w:r>
      <w:r w:rsidRPr="00CB65A2">
        <w:t xml:space="preserve"> may include:</w:t>
      </w:r>
    </w:p>
    <w:p w:rsidR="00000000" w:rsidRPr="00CB65A2" w:rsidP="00CB65A2">
      <w:pPr>
        <w:pStyle w:val="ListBullet"/>
      </w:pPr>
      <w:r w:rsidRPr="00CB65A2">
        <w:t xml:space="preserve">hazards and </w:t>
      </w:r>
      <w:r w:rsidRPr="00CB65A2">
        <w:t>risk management procedures</w:t>
      </w:r>
    </w:p>
    <w:p w:rsidR="00000000" w:rsidRPr="00CB65A2" w:rsidP="00CB65A2">
      <w:pPr>
        <w:pStyle w:val="ListBullet"/>
      </w:pPr>
      <w:r w:rsidRPr="00CB65A2">
        <w:t>provisions relating to roles and responsibilities of health and safety representatives and/or OHS committees</w:t>
      </w:r>
    </w:p>
    <w:p w:rsidR="00000000" w:rsidRPr="00CB65A2" w:rsidP="00CB65A2">
      <w:pPr>
        <w:pStyle w:val="ListBullet"/>
      </w:pPr>
      <w:r w:rsidRPr="00CB65A2">
        <w:t>the induction of new workers</w:t>
      </w:r>
    </w:p>
    <w:p w:rsidR="00000000" w:rsidRPr="00CB65A2" w:rsidP="00CB65A2">
      <w:pPr>
        <w:pStyle w:val="ListBullet"/>
      </w:pPr>
      <w:r w:rsidRPr="00CB65A2">
        <w:t>the nature of work, tasks and procedures</w:t>
      </w:r>
    </w:p>
    <w:p w:rsidR="00000000" w:rsidRPr="00CB65A2" w:rsidP="00CB65A2">
      <w:pPr>
        <w:pStyle w:val="ListBullet"/>
      </w:pPr>
      <w:r w:rsidRPr="00CB65A2">
        <w:t>to assist in work tasks</w:t>
      </w:r>
    </w:p>
    <w:p w:rsidR="00000000" w:rsidRPr="00CB65A2" w:rsidP="00CB65A2">
      <w:pPr>
        <w:pStyle w:val="ListBullet"/>
      </w:pPr>
      <w:r w:rsidRPr="00CB65A2">
        <w:t>to communicate legislation</w:t>
      </w:r>
      <w:r w:rsidRPr="00CB65A2">
        <w:t xml:space="preserve"> and codes of practice e.g. relating to hazards in the work area</w:t>
      </w:r>
    </w:p>
    <w:p w:rsidR="00000000" w:rsidRPr="00CB65A2" w:rsidP="00CB65A2">
      <w:pPr>
        <w:pStyle w:val="ListBullet"/>
      </w:pPr>
      <w:r w:rsidRPr="00CB65A2">
        <w:t>workplace OHS policies and procedures.</w:t>
      </w:r>
    </w:p>
    <w:p w:rsidR="00000000" w:rsidRPr="00CB65A2" w:rsidP="00CB65A2">
      <w:pPr>
        <w:pStyle w:val="BodyText"/>
      </w:pPr>
      <w:r w:rsidRPr="00CB65A2">
        <w:rPr>
          <w:rStyle w:val="SpecialBold"/>
        </w:rPr>
        <w:t>OHS legislation</w:t>
      </w:r>
      <w:r w:rsidRPr="00CB65A2">
        <w:t xml:space="preserve"> may include:</w:t>
      </w:r>
    </w:p>
    <w:p w:rsidR="00000000" w:rsidRPr="00CB65A2" w:rsidP="00CB65A2">
      <w:pPr>
        <w:pStyle w:val="ListBullet"/>
      </w:pPr>
      <w:r w:rsidRPr="00CB65A2">
        <w:t>general duty of care under OHS legislation and common law</w:t>
      </w:r>
    </w:p>
    <w:p w:rsidR="00000000" w:rsidRPr="00CB65A2" w:rsidP="00CB65A2">
      <w:pPr>
        <w:pStyle w:val="ListBullet"/>
      </w:pPr>
      <w:r w:rsidRPr="00CB65A2">
        <w:t>provisions relating to OHS issue resolution</w:t>
      </w:r>
    </w:p>
    <w:p w:rsidR="00000000" w:rsidRPr="00CB65A2" w:rsidP="00CB65A2">
      <w:pPr>
        <w:pStyle w:val="ListBullet"/>
      </w:pPr>
      <w:r w:rsidRPr="00CB65A2">
        <w:t xml:space="preserve">provisions relating </w:t>
      </w:r>
      <w:r w:rsidRPr="00CB65A2">
        <w:t>to roles and responsibilities of health and safety representatives and/or OHS committees</w:t>
      </w:r>
    </w:p>
    <w:p w:rsidR="00000000" w:rsidRPr="00CB65A2" w:rsidP="00CB65A2">
      <w:pPr>
        <w:pStyle w:val="ListBullet"/>
      </w:pPr>
      <w:r w:rsidRPr="00CB65A2">
        <w:t>regulations and codes of practice including regulations and codes of practice relating to hazards present in the workplace or industry</w:t>
      </w:r>
    </w:p>
    <w:p w:rsidR="00000000" w:rsidRPr="00CB65A2" w:rsidP="00CB65A2">
      <w:pPr>
        <w:pStyle w:val="ListBullet"/>
      </w:pPr>
      <w:r w:rsidRPr="00CB65A2">
        <w:t>state/territory/Commonwealth OHS</w:t>
      </w:r>
      <w:r w:rsidRPr="00CB65A2">
        <w:t xml:space="preserve"> Acts.</w:t>
      </w:r>
    </w:p>
    <w:p w:rsidR="00000000" w:rsidRPr="00CB65A2" w:rsidP="00CB65A2">
      <w:pPr>
        <w:pStyle w:val="BodyText"/>
      </w:pPr>
      <w:r w:rsidRPr="00CB65A2">
        <w:rPr>
          <w:rStyle w:val="SpecialBold"/>
        </w:rPr>
        <w:t>Participative arrangements</w:t>
      </w:r>
      <w:r w:rsidRPr="00CB65A2">
        <w:t xml:space="preserve"> may include:</w:t>
      </w:r>
    </w:p>
    <w:p w:rsidR="00000000" w:rsidRPr="00CB65A2" w:rsidP="00CB65A2">
      <w:pPr>
        <w:pStyle w:val="ListBullet"/>
      </w:pPr>
      <w:r w:rsidRPr="00CB65A2">
        <w:t>formal and informal meetings of:</w:t>
      </w:r>
    </w:p>
    <w:p w:rsidR="00000000" w:rsidRPr="00CB65A2" w:rsidP="00CB65A2">
      <w:pPr>
        <w:pStyle w:val="ListBullet2"/>
      </w:pPr>
      <w:r w:rsidRPr="00CB65A2">
        <w:t>OHS committees</w:t>
      </w:r>
    </w:p>
    <w:p w:rsidR="00000000" w:rsidRPr="00CB65A2" w:rsidP="00CB65A2">
      <w:pPr>
        <w:pStyle w:val="ListBullet2"/>
      </w:pPr>
      <w:r w:rsidRPr="00CB65A2">
        <w:t>other committees e.g. consultative, planning and purchasing</w:t>
      </w:r>
    </w:p>
    <w:p w:rsidR="00000000" w:rsidRPr="00CB65A2" w:rsidP="00CB65A2">
      <w:pPr>
        <w:pStyle w:val="ListBullet"/>
      </w:pPr>
      <w:r w:rsidRPr="00CB65A2">
        <w:t>suggestions, requests and concerns put forward by employees to management.</w:t>
      </w:r>
    </w:p>
    <w:p w:rsidR="00000000" w:rsidRPr="00CB65A2" w:rsidP="00CB65A2">
      <w:pPr>
        <w:pStyle w:val="BodyText"/>
      </w:pPr>
      <w:r w:rsidRPr="00CB65A2">
        <w:rPr>
          <w:rStyle w:val="SpecialBold"/>
        </w:rPr>
        <w:t>Safe operating practices</w:t>
      </w:r>
      <w:r w:rsidRPr="00CB65A2">
        <w:t xml:space="preserve"> may include:</w:t>
      </w:r>
    </w:p>
    <w:p w:rsidR="00000000" w:rsidRPr="00CB65A2" w:rsidP="00CB65A2">
      <w:pPr>
        <w:pStyle w:val="ListBullet"/>
      </w:pPr>
      <w:r w:rsidRPr="00CB65A2">
        <w:t>awareness of electrical hazards</w:t>
      </w:r>
    </w:p>
    <w:p w:rsidR="00000000" w:rsidRPr="00CB65A2" w:rsidP="00CB65A2">
      <w:pPr>
        <w:pStyle w:val="ListBullet"/>
      </w:pPr>
      <w:r w:rsidRPr="00CB65A2">
        <w:t>emergency procedures</w:t>
      </w:r>
    </w:p>
    <w:p w:rsidR="00000000" w:rsidRPr="00CB65A2" w:rsidP="00CB65A2">
      <w:pPr>
        <w:pStyle w:val="ListBullet"/>
      </w:pPr>
      <w:r w:rsidRPr="00CB65A2">
        <w:t>First Aid</w:t>
      </w:r>
    </w:p>
    <w:p w:rsidR="00000000" w:rsidRPr="00CB65A2" w:rsidP="00CB65A2">
      <w:pPr>
        <w:pStyle w:val="ListBullet"/>
      </w:pPr>
      <w:r w:rsidRPr="00CB65A2">
        <w:t>follow confined space procedures</w:t>
      </w:r>
    </w:p>
    <w:p w:rsidR="00000000" w:rsidRPr="00CB65A2" w:rsidP="00CB65A2">
      <w:pPr>
        <w:pStyle w:val="ListBullet"/>
      </w:pPr>
      <w:r w:rsidRPr="00CB65A2">
        <w:t>risk and hazard recognition</w:t>
      </w:r>
    </w:p>
    <w:p w:rsidR="00000000" w:rsidRPr="00CB65A2" w:rsidP="00CB65A2">
      <w:pPr>
        <w:pStyle w:val="ListBullet"/>
      </w:pPr>
      <w:r w:rsidRPr="00CB65A2">
        <w:t>working safely around electrical wiring, cables and overhead power lines</w:t>
      </w:r>
    </w:p>
    <w:p w:rsidR="00000000" w:rsidRPr="00CB65A2" w:rsidP="00CB65A2">
      <w:pPr>
        <w:pStyle w:val="ListBullet"/>
      </w:pPr>
      <w:r w:rsidRPr="00CB65A2">
        <w:t>working safely aroun</w:t>
      </w:r>
      <w:r w:rsidRPr="00CB65A2">
        <w:t>d tools and equipment.</w:t>
      </w:r>
    </w:p>
    <w:p w:rsidR="00000000" w:rsidRPr="00CB65A2" w:rsidP="00CB65A2">
      <w:pPr>
        <w:pStyle w:val="BodyText"/>
      </w:pPr>
      <w:r w:rsidRPr="00CB65A2">
        <w:rPr>
          <w:rStyle w:val="SpecialBold"/>
        </w:rPr>
        <w:t>Workplace procedures</w:t>
      </w:r>
      <w:r w:rsidRPr="00CB65A2">
        <w:t xml:space="preserve"> may include specific OHS procedures and organisational policies and procedures relating to:</w:t>
      </w:r>
    </w:p>
    <w:p w:rsidR="00000000" w:rsidRPr="00CB65A2" w:rsidP="00CB65A2">
      <w:pPr>
        <w:pStyle w:val="ListBullet"/>
      </w:pPr>
      <w:r w:rsidRPr="00CB65A2">
        <w:t>assessing and controlling risks</w:t>
      </w:r>
    </w:p>
    <w:p w:rsidR="00000000" w:rsidRPr="00CB65A2" w:rsidP="00CB65A2">
      <w:pPr>
        <w:pStyle w:val="ListBullet"/>
      </w:pPr>
      <w:r w:rsidRPr="00CB65A2">
        <w:t>consultation and participation arrangements for employees</w:t>
      </w:r>
    </w:p>
    <w:p w:rsidR="00000000" w:rsidRPr="00CB65A2" w:rsidP="00CB65A2">
      <w:pPr>
        <w:pStyle w:val="ListBullet"/>
      </w:pPr>
      <w:r w:rsidRPr="00CB65A2">
        <w:t>emergency response</w:t>
      </w:r>
    </w:p>
    <w:p w:rsidR="00000000" w:rsidRPr="00CB65A2" w:rsidP="00CB65A2">
      <w:pPr>
        <w:pStyle w:val="ListBullet"/>
      </w:pPr>
      <w:r w:rsidRPr="00CB65A2">
        <w:t>OHS issue resolution</w:t>
      </w:r>
    </w:p>
    <w:p w:rsidR="00000000" w:rsidRPr="00CB65A2" w:rsidP="00CB65A2">
      <w:pPr>
        <w:pStyle w:val="ListBullet"/>
      </w:pPr>
      <w:r w:rsidRPr="00CB65A2">
        <w:t>safe operating procedures or instructions that cover:</w:t>
      </w:r>
    </w:p>
    <w:p w:rsidR="00000000" w:rsidRPr="00CB65A2" w:rsidP="00CB65A2">
      <w:pPr>
        <w:pStyle w:val="ListBullet2"/>
      </w:pPr>
      <w:r w:rsidRPr="00CB65A2">
        <w:t>awareness of electrical hazards</w:t>
      </w:r>
    </w:p>
    <w:p w:rsidR="00000000" w:rsidRPr="00CB65A2" w:rsidP="00CB65A2">
      <w:pPr>
        <w:pStyle w:val="ListBullet2"/>
      </w:pPr>
      <w:r w:rsidRPr="00CB65A2">
        <w:t>compliance with safety instructions contained in MSDS</w:t>
      </w:r>
    </w:p>
    <w:p w:rsidR="00000000" w:rsidRPr="00CB65A2" w:rsidP="00CB65A2">
      <w:pPr>
        <w:pStyle w:val="ListBullet2"/>
      </w:pPr>
      <w:r w:rsidRPr="00CB65A2">
        <w:t>confined space procedures</w:t>
      </w:r>
    </w:p>
    <w:p w:rsidR="00000000" w:rsidRPr="00CB65A2" w:rsidP="00CB65A2">
      <w:pPr>
        <w:pStyle w:val="ListBullet2"/>
      </w:pPr>
      <w:r w:rsidRPr="00CB65A2">
        <w:t>First Aid</w:t>
      </w:r>
    </w:p>
    <w:p w:rsidR="00000000" w:rsidRPr="00CB65A2" w:rsidP="00CB65A2">
      <w:pPr>
        <w:pStyle w:val="ListBullet2"/>
      </w:pPr>
      <w:r w:rsidRPr="00CB65A2">
        <w:t>safe use of tools and equipment</w:t>
      </w:r>
    </w:p>
    <w:p w:rsidR="00000000" w:rsidRPr="00CB65A2" w:rsidP="00CB65A2">
      <w:pPr>
        <w:pStyle w:val="ListBullet2"/>
      </w:pPr>
      <w:r w:rsidRPr="00CB65A2">
        <w:t>working safely around elec</w:t>
      </w:r>
      <w:r w:rsidRPr="00CB65A2">
        <w:t>trical wiring, cables and overhead power lines</w:t>
      </w:r>
    </w:p>
    <w:p w:rsidR="00000000" w:rsidRPr="00CB65A2" w:rsidP="00CB65A2">
      <w:pPr>
        <w:pStyle w:val="ListBullet"/>
      </w:pPr>
      <w:r w:rsidRPr="00CB65A2">
        <w:t>reporting OHS issues</w:t>
      </w:r>
    </w:p>
    <w:p w:rsidR="00000000" w:rsidRPr="00CB65A2" w:rsidP="00CB65A2">
      <w:pPr>
        <w:pStyle w:val="ListBullet"/>
      </w:pPr>
      <w:r w:rsidRPr="00CB65A2">
        <w:t>specific hazards</w:t>
      </w:r>
    </w:p>
    <w:p w:rsidR="00000000" w:rsidRPr="00CB65A2" w:rsidP="00CB65A2">
      <w:pPr>
        <w:pStyle w:val="ListBullet"/>
      </w:pPr>
      <w:r w:rsidRPr="00CB65A2">
        <w:t>use of personal protective equipment</w:t>
      </w:r>
    </w:p>
    <w:p w:rsidR="00833B22" w:rsidP="00CB65A2">
      <w:pPr>
        <w:pStyle w:val="ListBullet"/>
      </w:pPr>
      <w:r w:rsidRPr="00CB65A2">
        <w:t>workplace safety inspections.</w:t>
      </w:r>
    </w:p>
    <w:p w:rsidR="00833B22" w:rsidP="00CB65A2">
      <w:pPr>
        <w:pStyle w:val="ListBullet"/>
      </w:pPr>
    </w:p>
    <w:p w:rsidR="00000000" w:rsidRPr="00CB65A2" w:rsidP="00CB65A2">
      <w:pPr>
        <w:pStyle w:val="Heading1"/>
      </w:pPr>
      <w:bookmarkStart w:id="12" w:name="O_295438"/>
      <w:bookmarkEnd w:id="12"/>
      <w:r w:rsidRPr="00CB65A2">
        <w:t>Unit Sector(s)</w:t>
      </w:r>
    </w:p>
    <w:p w:rsidR="00000000" w:rsidRPr="00CB65A2" w:rsidP="00CB65A2">
      <w:pPr>
        <w:pStyle w:val="BodyText"/>
      </w:pPr>
      <w:r w:rsidRPr="00CB65A2">
        <w:t>Not Applicable</w:t>
      </w:r>
    </w:p>
    <w:p w:rsidR="00000000" w:rsidRPr="00CB65A2" w:rsidP="00CB65A2"/>
    <w:sectPr w:rsidSect="00CB65A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5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33B22" w:rsidP="00833B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5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B22" w:rsidP="00CB65A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33B22" w:rsidP="00CB65A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833B22" w:rsidP="00CB65A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5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33B22" w:rsidP="00833B22">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5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B22" w:rsidP="00CB65A2">
    <w:pPr>
      <w:pStyle w:val="Header"/>
      <w:framePr w:wrap="around"/>
    </w:pPr>
    <w:r>
      <w:fldChar w:fldCharType="begin"/>
    </w:r>
    <w:r>
      <w:instrText xml:space="preserve"> TITLE   \* MERGEFORMAT </w:instrText>
    </w:r>
    <w:r>
      <w:fldChar w:fldCharType="separate"/>
    </w:r>
    <w:r>
      <w:t>PRMCMN101A Follow workplace safety arrangements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33B22" w:rsidP="00CB65A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73201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044CE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E0682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65A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B65A2"/>
    <w:pPr>
      <w:spacing w:before="360" w:after="60"/>
      <w:outlineLvl w:val="0"/>
    </w:pPr>
    <w:rPr>
      <w:sz w:val="32"/>
    </w:rPr>
  </w:style>
  <w:style w:type="paragraph" w:styleId="Heading2">
    <w:name w:val="heading 2"/>
    <w:basedOn w:val="HeadingBase"/>
    <w:next w:val="BodyText"/>
    <w:link w:val="Heading2Char"/>
    <w:qFormat/>
    <w:rsid w:val="00CB65A2"/>
    <w:pPr>
      <w:keepLines/>
      <w:spacing w:before="240" w:after="120"/>
      <w:outlineLvl w:val="1"/>
    </w:pPr>
    <w:rPr>
      <w:sz w:val="28"/>
      <w:szCs w:val="40"/>
    </w:rPr>
  </w:style>
  <w:style w:type="paragraph" w:styleId="Heading3">
    <w:name w:val="heading 3"/>
    <w:basedOn w:val="HeadingBase"/>
    <w:next w:val="BodyText"/>
    <w:link w:val="Heading3Char"/>
    <w:qFormat/>
    <w:rsid w:val="00CB65A2"/>
    <w:pPr>
      <w:spacing w:before="180" w:after="120"/>
      <w:outlineLvl w:val="2"/>
    </w:pPr>
    <w:rPr>
      <w:spacing w:val="-10"/>
      <w:kern w:val="32"/>
    </w:rPr>
  </w:style>
  <w:style w:type="paragraph" w:styleId="Heading4">
    <w:name w:val="heading 4"/>
    <w:basedOn w:val="HeadingBase"/>
    <w:next w:val="BodyText"/>
    <w:link w:val="Heading4Char"/>
    <w:qFormat/>
    <w:rsid w:val="00CB65A2"/>
    <w:pPr>
      <w:spacing w:before="160" w:after="120"/>
      <w:outlineLvl w:val="3"/>
    </w:pPr>
    <w:rPr>
      <w:sz w:val="22"/>
    </w:rPr>
  </w:style>
  <w:style w:type="paragraph" w:styleId="Heading5">
    <w:name w:val="heading 5"/>
    <w:basedOn w:val="HeadingBase"/>
    <w:next w:val="Normal"/>
    <w:link w:val="Heading5Char"/>
    <w:qFormat/>
    <w:rsid w:val="00CB65A2"/>
    <w:pPr>
      <w:spacing w:before="80"/>
      <w:outlineLvl w:val="4"/>
    </w:pPr>
    <w:rPr>
      <w:color w:val="918585"/>
      <w:sz w:val="20"/>
    </w:rPr>
  </w:style>
  <w:style w:type="paragraph" w:styleId="Heading6">
    <w:name w:val="heading 6"/>
    <w:basedOn w:val="HeadingBase"/>
    <w:next w:val="Normal"/>
    <w:link w:val="Heading6Char"/>
    <w:qFormat/>
    <w:rsid w:val="00CB65A2"/>
    <w:pPr>
      <w:spacing w:before="60"/>
      <w:outlineLvl w:val="5"/>
    </w:pPr>
    <w:rPr>
      <w:color w:val="918585"/>
      <w:sz w:val="20"/>
    </w:rPr>
  </w:style>
  <w:style w:type="paragraph" w:styleId="Heading7">
    <w:name w:val="heading 7"/>
    <w:basedOn w:val="Normal"/>
    <w:next w:val="Normal"/>
    <w:link w:val="Heading7Char"/>
    <w:qFormat/>
    <w:rsid w:val="00CB65A2"/>
    <w:pPr>
      <w:ind w:left="720"/>
      <w:outlineLvl w:val="6"/>
    </w:pPr>
    <w:rPr>
      <w:i/>
    </w:rPr>
  </w:style>
  <w:style w:type="paragraph" w:styleId="Heading8">
    <w:name w:val="heading 8"/>
    <w:basedOn w:val="Normal"/>
    <w:next w:val="Normal"/>
    <w:link w:val="Heading8Char"/>
    <w:qFormat/>
    <w:rsid w:val="00CB65A2"/>
    <w:pPr>
      <w:ind w:left="720"/>
      <w:outlineLvl w:val="7"/>
    </w:pPr>
    <w:rPr>
      <w:i/>
    </w:rPr>
  </w:style>
  <w:style w:type="paragraph" w:styleId="Heading9">
    <w:name w:val="heading 9"/>
    <w:basedOn w:val="Normal"/>
    <w:next w:val="Normal"/>
    <w:link w:val="Heading9Char"/>
    <w:qFormat/>
    <w:rsid w:val="00CB65A2"/>
    <w:pPr>
      <w:ind w:left="720"/>
      <w:outlineLvl w:val="8"/>
    </w:pPr>
    <w:rPr>
      <w:i/>
    </w:rPr>
  </w:style>
  <w:style w:type="character" w:default="1" w:styleId="DefaultParagraphFont">
    <w:name w:val="Default Paragraph Font"/>
    <w:uiPriority w:val="1"/>
    <w:unhideWhenUsed/>
    <w:rsid w:val="00CB65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65A2"/>
  </w:style>
  <w:style w:type="character" w:customStyle="1" w:styleId="Heading1Char">
    <w:name w:val="Heading 1 Char"/>
    <w:link w:val="Heading1"/>
    <w:rsid w:val="00CB65A2"/>
    <w:rPr>
      <w:rFonts w:ascii="Times New Roman" w:eastAsia="Times New Roman" w:hAnsi="Times New Roman" w:cs="Times New Roman"/>
      <w:b/>
      <w:sz w:val="32"/>
      <w:szCs w:val="20"/>
      <w:lang w:eastAsia="en-US"/>
    </w:rPr>
  </w:style>
  <w:style w:type="paragraph" w:styleId="BodyText">
    <w:name w:val="Body Text"/>
    <w:basedOn w:val="Normal"/>
    <w:link w:val="BodyTextChar"/>
    <w:rsid w:val="00CB65A2"/>
    <w:pPr>
      <w:spacing w:before="120" w:after="120"/>
      <w:contextualSpacing/>
    </w:pPr>
    <w:rPr>
      <w:rFonts w:ascii="Times New Roman" w:hAnsi="Times New Roman"/>
      <w:sz w:val="24"/>
      <w:szCs w:val="22"/>
    </w:rPr>
  </w:style>
  <w:style w:type="character" w:customStyle="1" w:styleId="BodyTextChar">
    <w:name w:val="Body Text Char"/>
    <w:link w:val="BodyText"/>
    <w:rsid w:val="00CB65A2"/>
    <w:rPr>
      <w:rFonts w:ascii="Times New Roman" w:eastAsia="Times New Roman" w:hAnsi="Times New Roman" w:cs="Times New Roman"/>
      <w:sz w:val="24"/>
      <w:lang w:val="en-US" w:eastAsia="en-US"/>
    </w:rPr>
  </w:style>
  <w:style w:type="paragraph" w:styleId="Footer">
    <w:name w:val="footer"/>
    <w:basedOn w:val="Normal"/>
    <w:link w:val="FooterChar"/>
    <w:rsid w:val="00CB65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CB65A2"/>
    <w:rPr>
      <w:rFonts w:ascii="Times New Roman" w:eastAsia="Times New Roman" w:hAnsi="Times New Roman" w:cs="Times New Roman"/>
      <w:sz w:val="16"/>
      <w:lang w:val="en-US" w:eastAsia="en-US"/>
    </w:rPr>
  </w:style>
  <w:style w:type="paragraph" w:styleId="List">
    <w:name w:val="List"/>
    <w:basedOn w:val="BodyText"/>
    <w:next w:val="BodyText"/>
    <w:rsid w:val="00CB65A2"/>
    <w:pPr>
      <w:tabs>
        <w:tab w:val="left" w:pos="340"/>
      </w:tabs>
      <w:spacing w:before="60" w:after="60"/>
      <w:ind w:left="340" w:hanging="340"/>
    </w:pPr>
  </w:style>
  <w:style w:type="paragraph" w:styleId="ListBullet">
    <w:name w:val="List Bullet"/>
    <w:basedOn w:val="List"/>
    <w:rsid w:val="00CB65A2"/>
    <w:pPr>
      <w:numPr>
        <w:numId w:val="13"/>
      </w:numPr>
      <w:tabs>
        <w:tab w:val="clear" w:pos="340"/>
      </w:tabs>
      <w:spacing w:before="40" w:after="40"/>
    </w:pPr>
  </w:style>
  <w:style w:type="character" w:customStyle="1" w:styleId="SpecialBold">
    <w:name w:val="Special Bold"/>
    <w:rsid w:val="00CB65A2"/>
    <w:rPr>
      <w:b/>
      <w:spacing w:val="0"/>
    </w:rPr>
  </w:style>
  <w:style w:type="paragraph" w:styleId="ListBullet2">
    <w:name w:val="List Bullet 2"/>
    <w:basedOn w:val="List2"/>
    <w:rsid w:val="00CB65A2"/>
    <w:pPr>
      <w:numPr>
        <w:numId w:val="14"/>
      </w:numPr>
      <w:tabs>
        <w:tab w:val="clear" w:pos="680"/>
      </w:tabs>
    </w:pPr>
  </w:style>
  <w:style w:type="paragraph" w:styleId="Header">
    <w:name w:val="header"/>
    <w:basedOn w:val="Normal"/>
    <w:link w:val="HeaderChar"/>
    <w:rsid w:val="00CB65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CB65A2"/>
    <w:rPr>
      <w:rFonts w:ascii="Times New Roman" w:eastAsia="Times New Roman" w:hAnsi="Times New Roman" w:cs="Times New Roman"/>
      <w:sz w:val="16"/>
      <w:szCs w:val="20"/>
      <w:lang w:val="en-GB" w:eastAsia="en-US"/>
    </w:rPr>
  </w:style>
  <w:style w:type="character" w:styleId="Emphasis">
    <w:name w:val="Emphasis"/>
    <w:qFormat/>
    <w:rsid w:val="00CB65A2"/>
    <w:rPr>
      <w:i/>
    </w:rPr>
  </w:style>
  <w:style w:type="paragraph" w:customStyle="1" w:styleId="SuperHeading">
    <w:name w:val="SuperHeading"/>
    <w:basedOn w:val="Normal"/>
    <w:rsid w:val="00CB65A2"/>
    <w:pPr>
      <w:spacing w:before="240" w:after="120"/>
      <w:outlineLvl w:val="0"/>
    </w:pPr>
    <w:rPr>
      <w:rFonts w:ascii="Times New Roman" w:hAnsi="Times New Roman"/>
      <w:b/>
      <w:sz w:val="28"/>
    </w:rPr>
  </w:style>
  <w:style w:type="paragraph" w:customStyle="1" w:styleId="AllowPageBreak">
    <w:name w:val="AllowPageBreak"/>
    <w:rsid w:val="00CB65A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CB65A2"/>
    <w:rPr>
      <w:rFonts w:ascii="Times New Roman" w:eastAsia="Times New Roman" w:hAnsi="Times New Roman" w:cs="Times New Roman"/>
      <w:b/>
      <w:sz w:val="28"/>
      <w:szCs w:val="40"/>
      <w:lang w:eastAsia="en-US"/>
    </w:rPr>
  </w:style>
  <w:style w:type="character" w:customStyle="1" w:styleId="Heading3Char">
    <w:name w:val="Heading 3 Char"/>
    <w:link w:val="Heading3"/>
    <w:rsid w:val="00CB65A2"/>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CB65A2"/>
    <w:rPr>
      <w:rFonts w:ascii="Times New Roman" w:eastAsia="Times New Roman" w:hAnsi="Times New Roman" w:cs="Times New Roman"/>
      <w:b/>
      <w:szCs w:val="20"/>
      <w:lang w:eastAsia="en-US"/>
    </w:rPr>
  </w:style>
  <w:style w:type="character" w:customStyle="1" w:styleId="Heading5Char">
    <w:name w:val="Heading 5 Char"/>
    <w:link w:val="Heading5"/>
    <w:rsid w:val="00CB65A2"/>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CB65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65A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B65A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B65A2"/>
    <w:rPr>
      <w:rFonts w:ascii="Courier New" w:eastAsia="Times New Roman" w:hAnsi="Courier New" w:cs="Times New Roman"/>
      <w:i/>
      <w:szCs w:val="20"/>
      <w:lang w:val="en-US" w:eastAsia="en-US"/>
    </w:rPr>
  </w:style>
  <w:style w:type="paragraph" w:customStyle="1" w:styleId="HeadingBase">
    <w:name w:val="Heading Base"/>
    <w:rsid w:val="00CB65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65A2"/>
    <w:pPr>
      <w:tabs>
        <w:tab w:val="right" w:leader="dot" w:pos="9072"/>
      </w:tabs>
      <w:ind w:left="567"/>
    </w:pPr>
    <w:rPr>
      <w:szCs w:val="22"/>
    </w:rPr>
  </w:style>
  <w:style w:type="paragraph" w:customStyle="1" w:styleId="TOCBase">
    <w:name w:val="TOC Base"/>
    <w:rsid w:val="00CB65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65A2"/>
    <w:pPr>
      <w:tabs>
        <w:tab w:val="right" w:leader="dot" w:pos="9072"/>
      </w:tabs>
      <w:spacing w:before="40" w:after="40"/>
      <w:ind w:left="284"/>
    </w:pPr>
    <w:rPr>
      <w:rFonts w:ascii="Times New Roman" w:hAnsi="Times New Roman"/>
    </w:rPr>
  </w:style>
  <w:style w:type="paragraph" w:styleId="TOC1">
    <w:name w:val="toc 1"/>
    <w:basedOn w:val="TOCBase"/>
    <w:next w:val="Normal"/>
    <w:rsid w:val="00CB65A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B65A2"/>
    <w:pPr>
      <w:spacing w:before="5040"/>
      <w:jc w:val="center"/>
    </w:pPr>
    <w:rPr>
      <w:sz w:val="48"/>
      <w:szCs w:val="72"/>
      <w:lang w:val="en-US"/>
    </w:rPr>
  </w:style>
  <w:style w:type="character" w:customStyle="1" w:styleId="TitleChar">
    <w:name w:val="Title Char"/>
    <w:link w:val="Title"/>
    <w:rsid w:val="00CB65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65A2"/>
    <w:pPr>
      <w:tabs>
        <w:tab w:val="left" w:pos="3600"/>
        <w:tab w:val="left" w:pos="3958"/>
      </w:tabs>
    </w:pPr>
  </w:style>
  <w:style w:type="paragraph" w:customStyle="1" w:styleId="Note">
    <w:name w:val="Note"/>
    <w:basedOn w:val="BodyText"/>
    <w:rsid w:val="00CB65A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65A2"/>
    <w:pPr>
      <w:framePr w:wrap="auto" w:hAnchor="text" w:y="6049"/>
    </w:pPr>
    <w:rPr>
      <w:color w:val="000000"/>
      <w:sz w:val="40"/>
    </w:rPr>
  </w:style>
  <w:style w:type="paragraph" w:customStyle="1" w:styleId="TOCTitle">
    <w:name w:val="TOCTitle"/>
    <w:basedOn w:val="Heading1"/>
    <w:rsid w:val="00CB65A2"/>
    <w:pPr>
      <w:spacing w:after="240"/>
      <w:jc w:val="center"/>
      <w:outlineLvl w:val="9"/>
    </w:pPr>
    <w:rPr>
      <w:caps/>
    </w:rPr>
  </w:style>
  <w:style w:type="paragraph" w:customStyle="1" w:styleId="Version">
    <w:name w:val="Version"/>
    <w:rsid w:val="00CB65A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B65A2"/>
    <w:pPr>
      <w:keepNext w:val="0"/>
      <w:tabs>
        <w:tab w:val="right" w:pos="4176"/>
      </w:tabs>
      <w:ind w:left="198" w:hanging="198"/>
    </w:pPr>
    <w:rPr>
      <w:rFonts w:ascii="Garamond" w:hAnsi="Garamond"/>
    </w:rPr>
  </w:style>
  <w:style w:type="paragraph" w:styleId="IndexHeading">
    <w:name w:val="index heading"/>
    <w:basedOn w:val="Normal"/>
    <w:next w:val="Index1"/>
    <w:semiHidden/>
    <w:rsid w:val="00CB65A2"/>
    <w:pPr>
      <w:spacing w:before="120" w:after="120"/>
    </w:pPr>
    <w:rPr>
      <w:rFonts w:ascii="Arial" w:hAnsi="Arial"/>
      <w:b/>
      <w:color w:val="918585"/>
      <w:sz w:val="24"/>
    </w:rPr>
  </w:style>
  <w:style w:type="paragraph" w:customStyle="1" w:styleId="Chapter">
    <w:name w:val="Chapter"/>
    <w:basedOn w:val="Normal"/>
    <w:rsid w:val="00CB65A2"/>
    <w:pPr>
      <w:spacing w:before="240"/>
    </w:pPr>
    <w:rPr>
      <w:rFonts w:ascii="Times New Roman" w:hAnsi="Times New Roman"/>
      <w:smallCaps/>
      <w:spacing w:val="80"/>
      <w:sz w:val="28"/>
    </w:rPr>
  </w:style>
  <w:style w:type="paragraph" w:customStyle="1" w:styleId="InChapter">
    <w:name w:val="InChapter"/>
    <w:basedOn w:val="Heading3"/>
    <w:rsid w:val="00CB65A2"/>
    <w:pPr>
      <w:spacing w:after="240"/>
      <w:outlineLvl w:val="9"/>
    </w:pPr>
    <w:rPr>
      <w:noProof/>
    </w:rPr>
  </w:style>
  <w:style w:type="paragraph" w:styleId="Index2">
    <w:name w:val="index 2"/>
    <w:basedOn w:val="Normal"/>
    <w:next w:val="Normal"/>
    <w:semiHidden/>
    <w:rsid w:val="00CB65A2"/>
    <w:pPr>
      <w:tabs>
        <w:tab w:val="right" w:pos="4176"/>
      </w:tabs>
      <w:ind w:left="568" w:hanging="284"/>
    </w:pPr>
    <w:rPr>
      <w:rFonts w:ascii="Garamond" w:hAnsi="Garamond"/>
    </w:rPr>
  </w:style>
  <w:style w:type="paragraph" w:customStyle="1" w:styleId="Byline">
    <w:name w:val="Byline"/>
    <w:rsid w:val="00CB65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65A2"/>
    <w:pPr>
      <w:tabs>
        <w:tab w:val="clear" w:pos="3600"/>
        <w:tab w:val="clear" w:pos="3958"/>
      </w:tabs>
      <w:jc w:val="right"/>
    </w:pPr>
  </w:style>
  <w:style w:type="paragraph" w:styleId="Caption">
    <w:name w:val="caption"/>
    <w:basedOn w:val="BodyText"/>
    <w:next w:val="Normal"/>
    <w:qFormat/>
    <w:rsid w:val="00CB65A2"/>
    <w:pPr>
      <w:framePr w:w="2268" w:hSpace="181" w:vSpace="181" w:wrap="around" w:vAnchor="text" w:hAnchor="page" w:x="1135" w:y="285" w:anchorLock="1"/>
    </w:pPr>
    <w:rPr>
      <w:i/>
    </w:rPr>
  </w:style>
  <w:style w:type="paragraph" w:customStyle="1" w:styleId="MiniTOCTitle">
    <w:name w:val="MiniTOCTitle"/>
    <w:basedOn w:val="Heading4"/>
    <w:rsid w:val="00CB65A2"/>
    <w:pPr>
      <w:spacing w:before="240"/>
      <w:outlineLvl w:val="9"/>
    </w:pPr>
    <w:rPr>
      <w:noProof/>
      <w:sz w:val="24"/>
    </w:rPr>
  </w:style>
  <w:style w:type="paragraph" w:customStyle="1" w:styleId="MiniTOCItem">
    <w:name w:val="MiniTOCItem"/>
    <w:basedOn w:val="ListBullet"/>
    <w:rsid w:val="00CB65A2"/>
    <w:pPr>
      <w:numPr>
        <w:numId w:val="0"/>
      </w:numPr>
      <w:tabs>
        <w:tab w:val="right" w:leader="dot" w:pos="6521"/>
      </w:tabs>
      <w:spacing w:before="0" w:after="0"/>
    </w:pPr>
  </w:style>
  <w:style w:type="paragraph" w:customStyle="1" w:styleId="TOFTitle">
    <w:name w:val="TOFTitle"/>
    <w:basedOn w:val="TOCTitle"/>
    <w:rsid w:val="00CB65A2"/>
  </w:style>
  <w:style w:type="paragraph" w:styleId="TableofFigures">
    <w:name w:val="table of figures"/>
    <w:basedOn w:val="Normal"/>
    <w:next w:val="Normal"/>
    <w:semiHidden/>
    <w:rsid w:val="00CB65A2"/>
    <w:pPr>
      <w:tabs>
        <w:tab w:val="right" w:leader="dot" w:pos="9072"/>
      </w:tabs>
      <w:ind w:left="970" w:hanging="403"/>
    </w:pPr>
    <w:rPr>
      <w:rFonts w:ascii="Times New Roman" w:hAnsi="Times New Roman"/>
      <w:b/>
    </w:rPr>
  </w:style>
  <w:style w:type="paragraph" w:styleId="ListNumber">
    <w:name w:val="List Number"/>
    <w:basedOn w:val="List"/>
    <w:rsid w:val="00CB65A2"/>
    <w:pPr>
      <w:numPr>
        <w:numId w:val="11"/>
      </w:numPr>
    </w:pPr>
  </w:style>
  <w:style w:type="character" w:customStyle="1" w:styleId="WingdingSymbols">
    <w:name w:val="Wingding Symbols"/>
    <w:rsid w:val="00CB65A2"/>
    <w:rPr>
      <w:rFonts w:ascii="Wingdings" w:hAnsi="Wingdings"/>
    </w:rPr>
  </w:style>
  <w:style w:type="paragraph" w:customStyle="1" w:styleId="TableHeading">
    <w:name w:val="Table Heading"/>
    <w:basedOn w:val="HeadingBase"/>
    <w:rsid w:val="00CB65A2"/>
    <w:pPr>
      <w:keepLines/>
      <w:pBdr>
        <w:bottom w:val="single" w:sz="6" w:space="1" w:color="918585"/>
      </w:pBdr>
      <w:spacing w:before="240"/>
    </w:pPr>
  </w:style>
  <w:style w:type="character" w:customStyle="1" w:styleId="HotSpot">
    <w:name w:val="HotSpot"/>
    <w:rsid w:val="00CB65A2"/>
    <w:rPr>
      <w:color w:val="0033CC"/>
      <w:u w:val="none"/>
    </w:rPr>
  </w:style>
  <w:style w:type="paragraph" w:customStyle="1" w:styleId="BodyTextRight">
    <w:name w:val="Body Text Right"/>
    <w:basedOn w:val="BodyText"/>
    <w:rsid w:val="00CB65A2"/>
    <w:pPr>
      <w:spacing w:before="0" w:after="0"/>
      <w:jc w:val="right"/>
    </w:pPr>
  </w:style>
  <w:style w:type="paragraph" w:styleId="Index3">
    <w:name w:val="index 3"/>
    <w:basedOn w:val="ListNumber2"/>
    <w:next w:val="Normal"/>
    <w:semiHidden/>
    <w:rsid w:val="00CB65A2"/>
    <w:pPr>
      <w:numPr>
        <w:numId w:val="0"/>
      </w:numPr>
      <w:tabs>
        <w:tab w:val="right" w:leader="dot" w:pos="4176"/>
      </w:tabs>
    </w:pPr>
  </w:style>
  <w:style w:type="paragraph" w:styleId="ListNumber2">
    <w:name w:val="List Number 2"/>
    <w:basedOn w:val="List2"/>
    <w:rsid w:val="00CB65A2"/>
    <w:pPr>
      <w:numPr>
        <w:numId w:val="10"/>
      </w:numPr>
      <w:tabs>
        <w:tab w:val="clear" w:pos="1060"/>
      </w:tabs>
    </w:pPr>
  </w:style>
  <w:style w:type="paragraph" w:customStyle="1" w:styleId="MarginNote">
    <w:name w:val="Margin Note"/>
    <w:basedOn w:val="BodyText"/>
    <w:rsid w:val="00CB65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65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CB65A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B65A2"/>
    <w:rPr>
      <w:sz w:val="32"/>
    </w:rPr>
  </w:style>
  <w:style w:type="paragraph" w:customStyle="1" w:styleId="HeadingProcedure">
    <w:name w:val="Heading Procedure"/>
    <w:basedOn w:val="HeadingBase"/>
    <w:next w:val="Normal"/>
    <w:rsid w:val="00CB65A2"/>
    <w:pPr>
      <w:tabs>
        <w:tab w:val="left" w:pos="0"/>
      </w:tabs>
      <w:spacing w:before="120" w:after="60"/>
    </w:pPr>
    <w:rPr>
      <w:i/>
      <w:color w:val="918585"/>
      <w:sz w:val="22"/>
    </w:rPr>
  </w:style>
  <w:style w:type="paragraph" w:customStyle="1" w:styleId="TableBodyText">
    <w:name w:val="Table Body Text"/>
    <w:basedOn w:val="BodyText"/>
    <w:rsid w:val="00CB65A2"/>
    <w:pPr>
      <w:spacing w:before="60" w:after="60"/>
    </w:pPr>
  </w:style>
  <w:style w:type="paragraph" w:styleId="ListContinue">
    <w:name w:val="List Continue"/>
    <w:basedOn w:val="List"/>
    <w:rsid w:val="00CB65A2"/>
    <w:pPr>
      <w:ind w:firstLine="0"/>
    </w:pPr>
  </w:style>
  <w:style w:type="paragraph" w:customStyle="1" w:styleId="ListNote">
    <w:name w:val="List Note"/>
    <w:basedOn w:val="List"/>
    <w:rsid w:val="00CB65A2"/>
    <w:pPr>
      <w:pBdr>
        <w:top w:val="single" w:sz="6" w:space="2" w:color="918585"/>
        <w:bottom w:val="single" w:sz="6" w:space="2" w:color="918585"/>
      </w:pBdr>
      <w:tabs>
        <w:tab w:val="left" w:pos="1021"/>
      </w:tabs>
      <w:ind w:firstLine="0"/>
    </w:pPr>
  </w:style>
  <w:style w:type="paragraph" w:customStyle="1" w:styleId="Warning">
    <w:name w:val="Warning"/>
    <w:basedOn w:val="BodyText"/>
    <w:rsid w:val="00CB65A2"/>
    <w:pPr>
      <w:shd w:val="clear" w:color="auto" w:fill="D9D9D9"/>
      <w:tabs>
        <w:tab w:val="left" w:pos="992"/>
      </w:tabs>
      <w:ind w:left="119" w:right="119"/>
    </w:pPr>
    <w:rPr>
      <w:sz w:val="20"/>
    </w:rPr>
  </w:style>
  <w:style w:type="paragraph" w:customStyle="1" w:styleId="MarginIcons">
    <w:name w:val="Margin Icons"/>
    <w:basedOn w:val="BodyText"/>
    <w:rsid w:val="00CB65A2"/>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CB65A2"/>
    <w:rPr>
      <w:rFonts w:ascii="Courier New" w:hAnsi="Courier New"/>
    </w:rPr>
  </w:style>
  <w:style w:type="paragraph" w:customStyle="1" w:styleId="NoteBullet">
    <w:name w:val="Note Bullet"/>
    <w:basedOn w:val="Note"/>
    <w:rsid w:val="00CB65A2"/>
    <w:pPr>
      <w:tabs>
        <w:tab w:val="clear" w:pos="680"/>
      </w:tabs>
      <w:spacing w:before="60" w:after="60"/>
    </w:pPr>
  </w:style>
  <w:style w:type="paragraph" w:customStyle="1" w:styleId="SubHeading2">
    <w:name w:val="SubHeading2"/>
    <w:basedOn w:val="HeadingBase"/>
    <w:rsid w:val="00CB65A2"/>
    <w:pPr>
      <w:spacing w:before="240" w:after="60"/>
    </w:pPr>
    <w:rPr>
      <w:sz w:val="20"/>
    </w:rPr>
  </w:style>
  <w:style w:type="paragraph" w:customStyle="1" w:styleId="SubHeading1">
    <w:name w:val="SubHeading1"/>
    <w:basedOn w:val="HeadingBase"/>
    <w:rsid w:val="00CB65A2"/>
    <w:pPr>
      <w:spacing w:before="240" w:after="60"/>
    </w:pPr>
    <w:rPr>
      <w:color w:val="918585"/>
      <w:sz w:val="22"/>
    </w:rPr>
  </w:style>
  <w:style w:type="paragraph" w:customStyle="1" w:styleId="SideHeading">
    <w:name w:val="Side Heading"/>
    <w:basedOn w:val="HeadingBase"/>
    <w:rsid w:val="00CB65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65A2"/>
    <w:pPr>
      <w:numPr>
        <w:numId w:val="12"/>
      </w:numPr>
    </w:pPr>
  </w:style>
  <w:style w:type="paragraph" w:styleId="PlainText">
    <w:name w:val="Plain Text"/>
    <w:basedOn w:val="Normal"/>
    <w:link w:val="PlainTextChar"/>
    <w:rsid w:val="00CB65A2"/>
    <w:rPr>
      <w:sz w:val="20"/>
    </w:rPr>
  </w:style>
  <w:style w:type="character" w:customStyle="1" w:styleId="PlainTextChar">
    <w:name w:val="Plain Text Char"/>
    <w:basedOn w:val="DefaultParagraphFont"/>
    <w:link w:val="PlainText"/>
    <w:rsid w:val="00CB65A2"/>
    <w:rPr>
      <w:rFonts w:ascii="Courier New" w:eastAsia="Times New Roman" w:hAnsi="Courier New" w:cs="Times New Roman"/>
      <w:sz w:val="20"/>
      <w:szCs w:val="20"/>
      <w:lang w:val="en-US" w:eastAsia="en-US"/>
    </w:rPr>
  </w:style>
  <w:style w:type="character" w:customStyle="1" w:styleId="MenuOption">
    <w:name w:val="Menu Option"/>
    <w:rsid w:val="00CB65A2"/>
    <w:rPr>
      <w:b/>
      <w:smallCaps/>
    </w:rPr>
  </w:style>
  <w:style w:type="paragraph" w:customStyle="1" w:styleId="TableListNumber">
    <w:name w:val="Table List Number"/>
    <w:basedOn w:val="ListNumber"/>
    <w:rsid w:val="00CB65A2"/>
    <w:pPr>
      <w:numPr>
        <w:numId w:val="0"/>
      </w:numPr>
    </w:pPr>
  </w:style>
  <w:style w:type="paragraph" w:styleId="TOC4">
    <w:name w:val="toc 4"/>
    <w:basedOn w:val="TOCBase"/>
    <w:next w:val="Normal"/>
    <w:semiHidden/>
    <w:rsid w:val="00CB65A2"/>
    <w:pPr>
      <w:tabs>
        <w:tab w:val="right" w:leader="dot" w:pos="9071"/>
      </w:tabs>
      <w:ind w:left="1701"/>
    </w:pPr>
  </w:style>
  <w:style w:type="paragraph" w:customStyle="1" w:styleId="ListAlpha">
    <w:name w:val="List Alpha"/>
    <w:basedOn w:val="List"/>
    <w:rsid w:val="00CB65A2"/>
    <w:pPr>
      <w:numPr>
        <w:numId w:val="9"/>
      </w:numPr>
    </w:pPr>
  </w:style>
  <w:style w:type="paragraph" w:customStyle="1" w:styleId="ListAlpha2">
    <w:name w:val="List Alpha 2"/>
    <w:basedOn w:val="List2"/>
    <w:rsid w:val="00CB65A2"/>
    <w:pPr>
      <w:numPr>
        <w:numId w:val="8"/>
      </w:numPr>
    </w:pPr>
  </w:style>
  <w:style w:type="paragraph" w:styleId="List2">
    <w:name w:val="List 2"/>
    <w:basedOn w:val="BodyText"/>
    <w:rsid w:val="00CB65A2"/>
    <w:pPr>
      <w:tabs>
        <w:tab w:val="left" w:pos="680"/>
      </w:tabs>
      <w:spacing w:before="60" w:after="60"/>
      <w:ind w:left="680" w:hanging="340"/>
    </w:pPr>
  </w:style>
  <w:style w:type="paragraph" w:styleId="List3">
    <w:name w:val="List 3"/>
    <w:basedOn w:val="BodyText"/>
    <w:rsid w:val="00CB65A2"/>
    <w:pPr>
      <w:tabs>
        <w:tab w:val="left" w:pos="1021"/>
      </w:tabs>
      <w:spacing w:before="60" w:after="60"/>
      <w:ind w:left="1020" w:hanging="340"/>
    </w:pPr>
  </w:style>
  <w:style w:type="paragraph" w:styleId="List4">
    <w:name w:val="List 4"/>
    <w:basedOn w:val="BodyText"/>
    <w:rsid w:val="00CB65A2"/>
    <w:pPr>
      <w:tabs>
        <w:tab w:val="left" w:pos="1361"/>
      </w:tabs>
      <w:spacing w:before="60" w:after="60"/>
      <w:ind w:left="1361" w:hanging="340"/>
    </w:pPr>
  </w:style>
  <w:style w:type="paragraph" w:styleId="List5">
    <w:name w:val="List 5"/>
    <w:basedOn w:val="BodyText"/>
    <w:rsid w:val="00CB65A2"/>
    <w:pPr>
      <w:tabs>
        <w:tab w:val="left" w:pos="1701"/>
      </w:tabs>
      <w:spacing w:before="60" w:after="60"/>
      <w:ind w:left="1701" w:hanging="340"/>
    </w:pPr>
  </w:style>
  <w:style w:type="paragraph" w:styleId="ListBullet3">
    <w:name w:val="List Bullet 3"/>
    <w:basedOn w:val="List3"/>
    <w:rsid w:val="00CB65A2"/>
    <w:pPr>
      <w:numPr>
        <w:numId w:val="15"/>
      </w:numPr>
      <w:tabs>
        <w:tab w:val="clear" w:pos="1021"/>
      </w:tabs>
      <w:ind w:left="1037" w:hanging="357"/>
    </w:pPr>
  </w:style>
  <w:style w:type="paragraph" w:styleId="ListBullet4">
    <w:name w:val="List Bullet 4"/>
    <w:basedOn w:val="List4"/>
    <w:rsid w:val="00CB65A2"/>
    <w:pPr>
      <w:numPr>
        <w:numId w:val="3"/>
      </w:numPr>
    </w:pPr>
  </w:style>
  <w:style w:type="paragraph" w:styleId="ListBullet5">
    <w:name w:val="List Bullet 5"/>
    <w:basedOn w:val="List5"/>
    <w:rsid w:val="00CB65A2"/>
    <w:pPr>
      <w:numPr>
        <w:numId w:val="4"/>
      </w:numPr>
    </w:pPr>
  </w:style>
  <w:style w:type="paragraph" w:styleId="ListContinue2">
    <w:name w:val="List Continue 2"/>
    <w:basedOn w:val="List2"/>
    <w:rsid w:val="00CB65A2"/>
    <w:pPr>
      <w:ind w:firstLine="0"/>
    </w:pPr>
  </w:style>
  <w:style w:type="paragraph" w:styleId="ListContinue3">
    <w:name w:val="List Continue 3"/>
    <w:basedOn w:val="List3"/>
    <w:rsid w:val="00CB65A2"/>
    <w:pPr>
      <w:ind w:left="1021" w:firstLine="0"/>
    </w:pPr>
  </w:style>
  <w:style w:type="paragraph" w:styleId="ListContinue4">
    <w:name w:val="List Continue 4"/>
    <w:basedOn w:val="List4"/>
    <w:rsid w:val="00CB65A2"/>
    <w:pPr>
      <w:ind w:firstLine="0"/>
    </w:pPr>
  </w:style>
  <w:style w:type="paragraph" w:styleId="ListContinue5">
    <w:name w:val="List Continue 5"/>
    <w:basedOn w:val="List5"/>
    <w:rsid w:val="00CB65A2"/>
    <w:pPr>
      <w:ind w:firstLine="0"/>
    </w:pPr>
  </w:style>
  <w:style w:type="paragraph" w:styleId="ListNumber3">
    <w:name w:val="List Number 3"/>
    <w:basedOn w:val="List3"/>
    <w:rsid w:val="00CB65A2"/>
    <w:pPr>
      <w:numPr>
        <w:numId w:val="5"/>
      </w:numPr>
    </w:pPr>
  </w:style>
  <w:style w:type="paragraph" w:styleId="ListNumber4">
    <w:name w:val="List Number 4"/>
    <w:basedOn w:val="List4"/>
    <w:rsid w:val="00CB65A2"/>
    <w:pPr>
      <w:numPr>
        <w:numId w:val="6"/>
      </w:numPr>
    </w:pPr>
  </w:style>
  <w:style w:type="paragraph" w:styleId="ListNumber5">
    <w:name w:val="List Number 5"/>
    <w:basedOn w:val="List5"/>
    <w:rsid w:val="00CB65A2"/>
    <w:pPr>
      <w:numPr>
        <w:numId w:val="7"/>
      </w:numPr>
    </w:pPr>
  </w:style>
  <w:style w:type="paragraph" w:styleId="BlockText">
    <w:name w:val="Block Text"/>
    <w:basedOn w:val="Normal"/>
    <w:rsid w:val="00CB65A2"/>
    <w:pPr>
      <w:spacing w:after="120"/>
      <w:ind w:left="1440" w:right="1440"/>
    </w:pPr>
  </w:style>
  <w:style w:type="character" w:customStyle="1" w:styleId="Subscript">
    <w:name w:val="Subscript"/>
    <w:rsid w:val="00CB65A2"/>
    <w:rPr>
      <w:sz w:val="16"/>
      <w:vertAlign w:val="subscript"/>
    </w:rPr>
  </w:style>
  <w:style w:type="character" w:customStyle="1" w:styleId="Superscript">
    <w:name w:val="Superscript"/>
    <w:rsid w:val="00CB65A2"/>
    <w:rPr>
      <w:sz w:val="16"/>
      <w:vertAlign w:val="superscript"/>
    </w:rPr>
  </w:style>
  <w:style w:type="character" w:customStyle="1" w:styleId="Symbols">
    <w:name w:val="Symbols"/>
    <w:rsid w:val="00CB65A2"/>
    <w:rPr>
      <w:rFonts w:ascii="Symbol" w:hAnsi="Symbol"/>
    </w:rPr>
  </w:style>
  <w:style w:type="character" w:customStyle="1" w:styleId="MenuOptions">
    <w:name w:val="Menu Options"/>
    <w:rsid w:val="00CB65A2"/>
    <w:rPr>
      <w:rFonts w:ascii="Arial Narrow" w:hAnsi="Arial Narrow"/>
      <w:smallCaps/>
    </w:rPr>
  </w:style>
  <w:style w:type="character" w:customStyle="1" w:styleId="Buttons">
    <w:name w:val="Buttons"/>
    <w:rsid w:val="00CB65A2"/>
    <w:rPr>
      <w:b/>
    </w:rPr>
  </w:style>
  <w:style w:type="character" w:customStyle="1" w:styleId="Underlined">
    <w:name w:val="Underlined"/>
    <w:rsid w:val="00CB65A2"/>
    <w:rPr>
      <w:u w:val="single"/>
    </w:rPr>
  </w:style>
  <w:style w:type="paragraph" w:customStyle="1" w:styleId="TableBodyTextRight">
    <w:name w:val="Table Body Text Right"/>
    <w:basedOn w:val="TableBodyText"/>
    <w:rsid w:val="00CB65A2"/>
    <w:pPr>
      <w:widowControl w:val="0"/>
      <w:autoSpaceDE w:val="0"/>
      <w:autoSpaceDN w:val="0"/>
      <w:adjustRightInd w:val="0"/>
      <w:jc w:val="right"/>
    </w:pPr>
    <w:rPr>
      <w:rFonts w:cs="Arial"/>
      <w:szCs w:val="18"/>
    </w:rPr>
  </w:style>
  <w:style w:type="paragraph" w:customStyle="1" w:styleId="CopyrightText">
    <w:name w:val="Copyright Text"/>
    <w:basedOn w:val="BodyText"/>
    <w:rsid w:val="00CB65A2"/>
    <w:rPr>
      <w:sz w:val="18"/>
    </w:rPr>
  </w:style>
  <w:style w:type="paragraph" w:customStyle="1" w:styleId="BodySmallRight">
    <w:name w:val="Body Small Right"/>
    <w:basedOn w:val="BodyTextRight"/>
    <w:rsid w:val="00CB65A2"/>
    <w:rPr>
      <w:sz w:val="18"/>
      <w:szCs w:val="18"/>
    </w:rPr>
  </w:style>
  <w:style w:type="paragraph" w:customStyle="1" w:styleId="MarginEdition">
    <w:name w:val="Margin Edition"/>
    <w:basedOn w:val="MarginNote"/>
    <w:rsid w:val="00CB65A2"/>
    <w:pPr>
      <w:spacing w:before="0" w:after="0"/>
    </w:pPr>
    <w:rPr>
      <w:rFonts w:ascii="Times New Roman" w:hAnsi="Times New Roman"/>
      <w:color w:val="999999"/>
    </w:rPr>
  </w:style>
  <w:style w:type="paragraph" w:customStyle="1" w:styleId="Spacer">
    <w:name w:val="Spacer"/>
    <w:basedOn w:val="Normal"/>
    <w:rsid w:val="00CB65A2"/>
    <w:rPr>
      <w:sz w:val="2"/>
      <w:szCs w:val="2"/>
    </w:rPr>
  </w:style>
  <w:style w:type="character" w:customStyle="1" w:styleId="Small">
    <w:name w:val="Small"/>
    <w:rsid w:val="00CB65A2"/>
    <w:rPr>
      <w:sz w:val="16"/>
    </w:rPr>
  </w:style>
  <w:style w:type="paragraph" w:customStyle="1" w:styleId="WideTable">
    <w:name w:val="Wide Table"/>
    <w:basedOn w:val="Normal"/>
    <w:rsid w:val="00CB65A2"/>
    <w:pPr>
      <w:ind w:left="-1418"/>
    </w:pPr>
    <w:rPr>
      <w:sz w:val="2"/>
      <w:szCs w:val="2"/>
    </w:rPr>
  </w:style>
  <w:style w:type="character" w:styleId="PageNumber">
    <w:name w:val="page number"/>
    <w:rsid w:val="00CB65A2"/>
  </w:style>
  <w:style w:type="paragraph" w:styleId="Quote">
    <w:name w:val="Quote"/>
    <w:basedOn w:val="Heading1"/>
    <w:link w:val="QuoteChar"/>
    <w:qFormat/>
    <w:rsid w:val="00CB65A2"/>
    <w:rPr>
      <w:b w:val="0"/>
      <w:sz w:val="72"/>
      <w:szCs w:val="72"/>
      <w:lang w:val="en-NZ"/>
    </w:rPr>
  </w:style>
  <w:style w:type="character" w:customStyle="1" w:styleId="QuoteChar">
    <w:name w:val="Quote Char"/>
    <w:link w:val="Quote"/>
    <w:rsid w:val="00CB65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65A2"/>
    <w:pPr>
      <w:pageBreakBefore/>
    </w:pPr>
  </w:style>
  <w:style w:type="paragraph" w:customStyle="1" w:styleId="Border">
    <w:name w:val="Border"/>
    <w:basedOn w:val="Normal"/>
    <w:qFormat/>
    <w:rsid w:val="00CB65A2"/>
    <w:pPr>
      <w:pBdr>
        <w:top w:val="single" w:sz="18" w:space="1" w:color="auto"/>
      </w:pBdr>
    </w:pPr>
    <w:rPr>
      <w:rFonts w:ascii="Times New Roman" w:hAnsi="Times New Roman"/>
      <w:color w:val="FFFFFF"/>
      <w:sz w:val="2"/>
    </w:rPr>
  </w:style>
  <w:style w:type="character" w:styleId="IntenseEmphasis">
    <w:name w:val="Intense Emphasis"/>
    <w:uiPriority w:val="21"/>
    <w:qFormat/>
    <w:rsid w:val="00CB65A2"/>
    <w:rPr>
      <w:b/>
      <w:bCs/>
      <w:i/>
      <w:iCs/>
      <w:color w:val="auto"/>
    </w:rPr>
  </w:style>
  <w:style w:type="paragraph" w:styleId="IntenseQuote">
    <w:name w:val="Intense Quote"/>
    <w:basedOn w:val="Normal"/>
    <w:next w:val="Normal"/>
    <w:link w:val="IntenseQuoteChar"/>
    <w:uiPriority w:val="30"/>
    <w:qFormat/>
    <w:rsid w:val="00CB65A2"/>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CB65A2"/>
    <w:rPr>
      <w:rFonts w:ascii="Courier New" w:eastAsia="Times New Roman" w:hAnsi="Courier New" w:cs="Times New Roman"/>
      <w:b/>
      <w:bCs/>
      <w:i/>
      <w:iCs/>
      <w:szCs w:val="20"/>
      <w:lang w:val="en-US" w:eastAsia="en-US"/>
    </w:rPr>
  </w:style>
  <w:style w:type="character" w:styleId="SubtleReference">
    <w:name w:val="Subtle Reference"/>
    <w:uiPriority w:val="31"/>
    <w:qFormat/>
    <w:rsid w:val="00CB65A2"/>
    <w:rPr>
      <w:smallCaps/>
      <w:color w:val="auto"/>
      <w:u w:val="single"/>
    </w:rPr>
  </w:style>
  <w:style w:type="character" w:styleId="IntenseReference">
    <w:name w:val="Intense Reference"/>
    <w:uiPriority w:val="32"/>
    <w:qFormat/>
    <w:rsid w:val="00CB65A2"/>
    <w:rPr>
      <w:b/>
      <w:bCs/>
      <w:smallCaps/>
      <w:color w:val="auto"/>
      <w:spacing w:val="5"/>
      <w:u w:val="single"/>
    </w:rPr>
  </w:style>
  <w:style w:type="paragraph" w:customStyle="1" w:styleId="2ColumnHeading">
    <w:name w:val="2Column Heading"/>
    <w:basedOn w:val="BodyText"/>
    <w:qFormat/>
    <w:rsid w:val="00CB65A2"/>
    <w:pPr>
      <w:spacing w:after="60"/>
      <w:ind w:left="-2268"/>
    </w:pPr>
    <w:rPr>
      <w:b/>
    </w:rPr>
  </w:style>
  <w:style w:type="paragraph" w:customStyle="1" w:styleId="Heading1TOC">
    <w:name w:val="Heading1 TOC"/>
    <w:basedOn w:val="Normal"/>
    <w:qFormat/>
    <w:rsid w:val="00CB65A2"/>
    <w:pPr>
      <w:spacing w:before="240" w:after="120"/>
    </w:pPr>
    <w:rPr>
      <w:rFonts w:ascii="Times New Roman" w:hAnsi="Times New Roman"/>
      <w:b/>
      <w:sz w:val="32"/>
    </w:rPr>
  </w:style>
  <w:style w:type="paragraph" w:customStyle="1" w:styleId="Heading2TOC">
    <w:name w:val="Heading2 TOC"/>
    <w:basedOn w:val="Normal"/>
    <w:qFormat/>
    <w:rsid w:val="00CB65A2"/>
    <w:pPr>
      <w:spacing w:before="240" w:after="60"/>
    </w:pPr>
    <w:rPr>
      <w:rFonts w:ascii="Times New Roman" w:hAnsi="Times New Roman"/>
      <w:b/>
      <w:sz w:val="28"/>
    </w:rPr>
  </w:style>
  <w:style w:type="character" w:customStyle="1" w:styleId="Underline">
    <w:name w:val="Underline"/>
    <w:qFormat/>
    <w:rsid w:val="00CB65A2"/>
    <w:rPr>
      <w:u w:val="single"/>
    </w:rPr>
  </w:style>
  <w:style w:type="character" w:customStyle="1" w:styleId="BoldandItalics">
    <w:name w:val="Bold and Italics"/>
    <w:qFormat/>
    <w:rsid w:val="00CB65A2"/>
    <w:rPr>
      <w:b/>
      <w:i/>
      <w:u w:val="none"/>
    </w:rPr>
  </w:style>
  <w:style w:type="paragraph" w:styleId="BalloonText">
    <w:name w:val="Balloon Text"/>
    <w:basedOn w:val="Normal"/>
    <w:link w:val="BalloonTextChar"/>
    <w:rsid w:val="00CB65A2"/>
    <w:rPr>
      <w:rFonts w:ascii="Tahoma" w:hAnsi="Tahoma" w:cs="Tahoma"/>
      <w:sz w:val="16"/>
      <w:szCs w:val="16"/>
    </w:rPr>
  </w:style>
  <w:style w:type="character" w:customStyle="1" w:styleId="BalloonTextChar">
    <w:name w:val="Balloon Text Char"/>
    <w:link w:val="BalloonText"/>
    <w:rsid w:val="00CB65A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B65A2"/>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CB65A2"/>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1613</Words>
  <Characters>10202</Characters>
  <Application>Microsoft Office Word</Application>
  <DocSecurity>0</DocSecurity>
  <Lines>303</Lines>
  <Paragraphs>196</Paragraphs>
  <ScaleCrop>false</ScaleCrop>
  <Company>Author-it Software Corporation Ltd.</Company>
  <LinksUpToDate>false</LinksUpToDate>
  <CharactersWithSpaces>11724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PRMCMN101A Follow workplace safety arrangements</dc:title>
  <dc:subject>Approved</dc:subject>
  <dc:creator>Construction &amp; Property Services Industry Skills Council</dc:creator>
  <cp:keywords>Release: 1</cp:keywords>
  <dc:description>Copyright © 1996-2007 Author-it Software Corporation Ltd., all rights reserved.</dc:description>
  <cp:lastModifiedBy>Andrew Campey</cp:lastModifiedBy>
  <cp:revision>3</cp:revision>
  <dcterms:created xsi:type="dcterms:W3CDTF">2012-05-26T19:14:00Z</dcterms:created>
  <dcterms:modified xsi:type="dcterms:W3CDTF">2012-05-26T19:14:00Z</dcterms:modified>
</cp:coreProperties>
</file>