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E66" w:rsidP="00B85E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PPMWHS410 Identify, assess and control WHS risk in own work</w:t>
      </w:r>
      <w:r>
        <w:fldChar w:fldCharType="end"/>
      </w:r>
    </w:p>
    <w:p w:rsidR="00B85E66" w:rsidP="00B85E66">
      <w:pPr>
        <w:pStyle w:val="Version"/>
        <w:sectPr w:rsidSect="00BD0E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0EF3" w:rsidP="00BD0EF3">
      <w:pPr>
        <w:pStyle w:val="SuperHeading"/>
      </w:pPr>
      <w:r w:rsidRPr="00BD0EF3">
        <w:t>PPMWHS410 Identify, assess and control WHS risk in own work</w:t>
      </w:r>
    </w:p>
    <w:p w:rsidR="00000000" w:rsidRPr="00BD0EF3" w:rsidP="00BD0EF3">
      <w:pPr>
        <w:pStyle w:val="Heading1"/>
      </w:pPr>
      <w:bookmarkStart w:id="1" w:name="O_914214"/>
      <w:bookmarkEnd w:id="1"/>
      <w:r w:rsidRPr="00BD0EF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EF3" w:rsidP="00BD0EF3">
            <w:pPr>
              <w:pStyle w:val="BodyText"/>
            </w:pPr>
            <w:r w:rsidRPr="00BD0EF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rPr>
                <w:rStyle w:val="SpecialBold"/>
              </w:rPr>
              <w:t>Comment</w:t>
            </w:r>
          </w:p>
        </w:tc>
      </w:tr>
      <w:tr w:rsidTr="00B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EF3" w:rsidP="00BD0EF3">
            <w:pPr>
              <w:pStyle w:val="BodyText"/>
            </w:pPr>
            <w:r w:rsidRPr="00BD0EF3">
              <w:t>Replaces equivalent unit FPPOHS410A Identify, assess and control OHS risk in own work,</w:t>
            </w:r>
            <w:r w:rsidRPr="00BD0EF3">
              <w:rPr>
                <w:rStyle w:val="SpecialBold"/>
              </w:rPr>
              <w:t xml:space="preserve"> </w:t>
            </w:r>
            <w:r w:rsidRPr="00BD0EF3">
              <w:t>which was first released with FPP10 Pulp and Paper Manufacturing Industry Training Package Version 1.0.</w:t>
            </w:r>
          </w:p>
          <w:p w:rsidR="00000000" w:rsidRPr="00BD0EF3" w:rsidP="00BD0EF3">
            <w:pPr>
              <w:pStyle w:val="BodyText"/>
            </w:pPr>
            <w:r w:rsidRPr="00BD0EF3">
              <w:t>This is t</w:t>
            </w:r>
            <w:r w:rsidRPr="00BD0EF3">
              <w:t>he first release of this unit in the new standards format.</w:t>
            </w:r>
          </w:p>
        </w:tc>
      </w:tr>
    </w:tbl>
    <w:p w:rsidR="00000000" w:rsidRPr="00BD0EF3" w:rsidP="00BD0EF3">
      <w:pPr>
        <w:pStyle w:val="BodyText"/>
      </w:pPr>
    </w:p>
    <w:p w:rsidR="00000000" w:rsidRPr="00BD0EF3" w:rsidP="00BD0EF3">
      <w:pPr>
        <w:pStyle w:val="AllowPageBreak"/>
      </w:pPr>
    </w:p>
    <w:p w:rsidR="00000000" w:rsidRPr="00BD0EF3" w:rsidP="00BD0EF3">
      <w:pPr>
        <w:pStyle w:val="Heading1"/>
      </w:pPr>
      <w:bookmarkStart w:id="2" w:name="O_914215"/>
      <w:bookmarkEnd w:id="2"/>
      <w:r w:rsidRPr="00BD0EF3">
        <w:t>Application</w:t>
      </w:r>
    </w:p>
    <w:p w:rsidR="00000000" w:rsidRPr="00BD0EF3" w:rsidP="00BD0EF3">
      <w:pPr>
        <w:pStyle w:val="BodyText"/>
      </w:pPr>
      <w:r w:rsidRPr="00BD0EF3">
        <w:t xml:space="preserve">This unit of competency describes the outcomes required to identify hazards and control risk in the workplace in relation to a product or system of work, in order to </w:t>
      </w:r>
      <w:r w:rsidRPr="00BD0EF3">
        <w:t>ensure work health and safety (WHS) at work.</w:t>
      </w:r>
    </w:p>
    <w:p w:rsidR="00000000" w:rsidRPr="00BD0EF3" w:rsidP="00BD0EF3">
      <w:pPr>
        <w:pStyle w:val="BodyText"/>
      </w:pPr>
      <w:r w:rsidRPr="00BD0EF3">
        <w:t>The unit applies to those technicians or specialists the workplace, who assess and address WHS risk, to ensure their own safety, as well as that of others, in a pulp or paper manufacturing facility.</w:t>
      </w:r>
    </w:p>
    <w:p w:rsidR="00000000" w:rsidRPr="00BD0EF3" w:rsidP="00BD0EF3">
      <w:pPr>
        <w:pStyle w:val="BodyText"/>
      </w:pPr>
      <w:r w:rsidRPr="00BD0EF3">
        <w:t>No licensing</w:t>
      </w:r>
      <w:r w:rsidRPr="00BD0EF3">
        <w:t>, legislative, regulatory or certification requirements apply to this unit at the time of publication.</w:t>
      </w:r>
    </w:p>
    <w:p w:rsidR="00000000" w:rsidRPr="00BD0EF3" w:rsidP="00BD0EF3">
      <w:pPr>
        <w:pStyle w:val="AllowPageBreak"/>
      </w:pPr>
    </w:p>
    <w:p w:rsidR="00000000" w:rsidRPr="00BD0EF3" w:rsidP="00BD0EF3">
      <w:pPr>
        <w:pStyle w:val="Heading1"/>
      </w:pPr>
      <w:bookmarkStart w:id="3" w:name="O_914216"/>
      <w:bookmarkEnd w:id="3"/>
      <w:r w:rsidRPr="00BD0EF3">
        <w:t>Pre-requisite Unit</w:t>
      </w:r>
    </w:p>
    <w:p w:rsidR="00000000" w:rsidRPr="00BD0EF3" w:rsidP="00BD0EF3">
      <w:pPr>
        <w:pStyle w:val="BodyText"/>
      </w:pPr>
      <w:r w:rsidRPr="00BD0EF3">
        <w:t>Nil</w:t>
      </w:r>
    </w:p>
    <w:p w:rsidR="00000000" w:rsidRPr="00BD0EF3" w:rsidP="00BD0EF3">
      <w:pPr>
        <w:pStyle w:val="AllowPageBreak"/>
      </w:pPr>
    </w:p>
    <w:p w:rsidR="00000000" w:rsidRPr="00BD0EF3" w:rsidP="00BD0EF3">
      <w:pPr>
        <w:pStyle w:val="Heading1"/>
      </w:pPr>
      <w:bookmarkStart w:id="4" w:name="O_914218"/>
      <w:bookmarkEnd w:id="4"/>
      <w:r w:rsidRPr="00BD0EF3">
        <w:t>Unit Sector</w:t>
      </w:r>
    </w:p>
    <w:p w:rsidR="00000000" w:rsidRPr="00BD0EF3" w:rsidP="00BD0EF3">
      <w:pPr>
        <w:pStyle w:val="BodyText"/>
      </w:pPr>
      <w:r w:rsidRPr="00BD0EF3">
        <w:t>Pulp and Paper Manufacturing</w:t>
      </w:r>
    </w:p>
    <w:p w:rsidR="00000000" w:rsidRPr="00BD0EF3" w:rsidP="00BD0EF3">
      <w:pPr>
        <w:pStyle w:val="AllowPageBreak"/>
      </w:pPr>
    </w:p>
    <w:p w:rsidR="00000000" w:rsidRPr="00BD0EF3" w:rsidP="00BD0EF3">
      <w:pPr>
        <w:pStyle w:val="Heading1"/>
      </w:pPr>
      <w:bookmarkStart w:id="5" w:name="O_914219"/>
      <w:bookmarkEnd w:id="5"/>
      <w:r w:rsidRPr="00BD0EF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85E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EF3" w:rsidP="00BD0EF3">
            <w:pPr>
              <w:pStyle w:val="BodyText"/>
            </w:pPr>
            <w:r w:rsidRPr="00BD0EF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rPr>
                <w:rStyle w:val="SpecialBold"/>
              </w:rPr>
              <w:t>PERFORMANCE CRITERIA</w:t>
            </w:r>
          </w:p>
        </w:tc>
      </w:tr>
      <w:tr w:rsidTr="00B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>Performance criteria describe the performance needed to demonstrate achievement of the element. Where bold italicised text is used, further information is detailed in the range of con</w:t>
            </w:r>
            <w:r w:rsidRPr="00BD0EF3">
              <w:t>ditions.</w:t>
            </w:r>
          </w:p>
        </w:tc>
      </w:tr>
      <w:tr w:rsidTr="00B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 xml:space="preserve">1. Identify hazards and assess risk associated with a </w:t>
            </w:r>
            <w:r w:rsidRPr="00BD0EF3">
              <w:t>product or system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EF3" w:rsidP="00BD0EF3">
            <w:pPr>
              <w:pStyle w:val="BodyText"/>
            </w:pPr>
            <w:r w:rsidRPr="00BD0EF3">
              <w:t>1.1. Map the life cycle of the product or system of work.</w:t>
            </w:r>
          </w:p>
          <w:p w:rsidR="00000000" w:rsidRPr="00BD0EF3" w:rsidP="00BD0EF3">
            <w:pPr>
              <w:pStyle w:val="BodyText"/>
            </w:pPr>
            <w:r w:rsidRPr="00BD0EF3">
              <w:t>1.2. Identify hazards at each stage of the life cycle.</w:t>
            </w:r>
          </w:p>
          <w:p w:rsidR="00000000" w:rsidRPr="00BD0EF3" w:rsidP="00BD0EF3">
            <w:pPr>
              <w:pStyle w:val="BodyText"/>
            </w:pPr>
            <w:r w:rsidRPr="00BD0EF3">
              <w:t>1.3. Analyse the hazards, systematically, to identify</w:t>
            </w:r>
            <w:r w:rsidRPr="00BD0EF3">
              <w:t xml:space="preserve"> risk of injury, illness or damage arising from the hazard.</w:t>
            </w:r>
          </w:p>
          <w:p w:rsidR="00000000" w:rsidRPr="00BD0EF3" w:rsidP="00BD0EF3">
            <w:pPr>
              <w:pStyle w:val="BodyText"/>
            </w:pPr>
            <w:r w:rsidRPr="00BD0EF3">
              <w:t>1.4. Identify factors contributing to the risk</w:t>
            </w:r>
            <w:r w:rsidRPr="00BD0EF3">
              <w:rPr>
                <w:rStyle w:val="BoldandItalics"/>
              </w:rPr>
              <w:t>.</w:t>
            </w:r>
          </w:p>
          <w:p w:rsidR="00000000" w:rsidRPr="00BD0EF3" w:rsidP="00BD0EF3">
            <w:pPr>
              <w:pStyle w:val="BodyText"/>
            </w:pPr>
            <w:r w:rsidRPr="00BD0EF3">
              <w:t xml:space="preserve">1.5. Assess and evaluate the product or system of work against provisions of relevant work health and safety (WHS) legislation, standards, codes of </w:t>
            </w:r>
            <w:r w:rsidRPr="00BD0EF3">
              <w:t>practice/compliance codes or guidance material.</w:t>
            </w:r>
          </w:p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>1.6. Consult potential users of the product or system of work.</w:t>
            </w:r>
            <w:r w:rsidRPr="00BD0EF3">
              <w:rPr>
                <w:rStyle w:val="BoldandItalics"/>
              </w:rPr>
              <w:t xml:space="preserve"> </w:t>
            </w:r>
          </w:p>
        </w:tc>
      </w:tr>
      <w:tr w:rsidTr="00B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>2. Control the risk of a product or system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EF3" w:rsidP="00BD0EF3">
            <w:pPr>
              <w:pStyle w:val="BodyText"/>
            </w:pPr>
            <w:r w:rsidRPr="00BD0EF3">
              <w:t>2.1. Develop risk controls based on the hierarchy of control.</w:t>
            </w:r>
          </w:p>
          <w:p w:rsidR="00000000" w:rsidRPr="00BD0EF3" w:rsidP="00BD0EF3">
            <w:pPr>
              <w:pStyle w:val="BodyText"/>
            </w:pPr>
            <w:r w:rsidRPr="00BD0EF3">
              <w:t>2.2. Where ther</w:t>
            </w:r>
            <w:r w:rsidRPr="00BD0EF3">
              <w:t>e is a high consequence WHS risk, design fail-to-safe action into the product or system of work to minimise the impact of possible failure or defect.</w:t>
            </w:r>
          </w:p>
          <w:p w:rsidR="00000000" w:rsidRPr="00BD0EF3" w:rsidP="00BD0EF3">
            <w:pPr>
              <w:pStyle w:val="BodyText"/>
            </w:pPr>
            <w:r w:rsidRPr="00BD0EF3">
              <w:t>2.3. Monitor product or work system development, as it evolves to identify new hazards and to manage any d</w:t>
            </w:r>
            <w:r w:rsidRPr="00BD0EF3">
              <w:t>eveloping risk.</w:t>
            </w:r>
          </w:p>
          <w:p w:rsidR="00000000" w:rsidRPr="00BD0EF3" w:rsidP="00BD0EF3">
            <w:pPr>
              <w:pStyle w:val="BodyText"/>
            </w:pPr>
            <w:r w:rsidRPr="00BD0EF3">
              <w:t>2.4. Use a risk register to document residual risk and recommended actions to minimise risk.</w:t>
            </w:r>
          </w:p>
          <w:p w:rsidR="00000000" w:rsidRPr="00BD0EF3" w:rsidP="00BD0EF3">
            <w:pPr>
              <w:pStyle w:val="BodyText"/>
            </w:pPr>
            <w:r w:rsidRPr="00BD0EF3">
              <w:t>2.5. Recognise personal professional limitations and seek expert advice as required.</w:t>
            </w:r>
          </w:p>
          <w:p w:rsidR="00000000" w:rsidRPr="00BD0EF3" w:rsidP="00BD0EF3">
            <w:pPr>
              <w:pStyle w:val="BodyText"/>
            </w:pPr>
            <w:r w:rsidRPr="00BD0EF3">
              <w:t>2.6. Communicate the risk management process and resultant ris</w:t>
            </w:r>
            <w:r w:rsidRPr="00BD0EF3">
              <w:t>k register to those who may use or interact with the product or system of work.</w:t>
            </w:r>
          </w:p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>2.7. Document hazard identification, risk assessment and risk control processes and make available to those who may be affected.</w:t>
            </w:r>
          </w:p>
        </w:tc>
      </w:tr>
      <w:tr w:rsidTr="00B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>3. Identify hazards and assess risks in own wo</w:t>
            </w:r>
            <w:r w:rsidRPr="00BD0EF3">
              <w:t>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EF3" w:rsidP="00BD0EF3">
            <w:pPr>
              <w:pStyle w:val="BodyText"/>
            </w:pPr>
            <w:r w:rsidRPr="00BD0EF3">
              <w:t>3.1. Identify and access sources of WHS information.</w:t>
            </w:r>
          </w:p>
          <w:p w:rsidR="00000000" w:rsidRPr="00BD0EF3" w:rsidP="00BD0EF3">
            <w:pPr>
              <w:pStyle w:val="BodyText"/>
            </w:pPr>
            <w:r w:rsidRPr="00BD0EF3">
              <w:t>3.2. Identify and eliminate hazards, reporting residual risk in line with organisational procedures.</w:t>
            </w:r>
          </w:p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>3.3. Use a risk register to document residual risk and actions to minimise risk based on the hierar</w:t>
            </w:r>
            <w:r w:rsidRPr="00BD0EF3">
              <w:t>chy of control.</w:t>
            </w:r>
          </w:p>
        </w:tc>
      </w:tr>
      <w:tr w:rsidTr="00B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>4. Control risk in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EF3" w:rsidP="00BD0EF3">
            <w:pPr>
              <w:pStyle w:val="BodyText"/>
            </w:pPr>
            <w:r w:rsidRPr="00BD0EF3">
              <w:t>4.1. Ensure work practices follow documented work procedures.</w:t>
            </w:r>
          </w:p>
          <w:p w:rsidR="00000000" w:rsidRPr="00BD0EF3" w:rsidP="00BD0EF3">
            <w:pPr>
              <w:pStyle w:val="BodyText"/>
            </w:pPr>
            <w:r w:rsidRPr="00BD0EF3">
              <w:t>4.2. Ensure work planning and conduct takes account of residual risk register.</w:t>
            </w:r>
          </w:p>
          <w:p w:rsidR="00000000" w:rsidRPr="00BD0EF3" w:rsidP="00BD0EF3">
            <w:pPr>
              <w:pStyle w:val="BodyText"/>
            </w:pPr>
            <w:r w:rsidRPr="00BD0EF3">
              <w:t xml:space="preserve">4.3. Identify and address and/or report deficiencies in risk controls </w:t>
            </w:r>
            <w:r w:rsidRPr="00BD0EF3">
              <w:t>in line with organisational procedures.</w:t>
            </w:r>
          </w:p>
          <w:p w:rsidR="00000000" w:rsidRPr="00BD0EF3" w:rsidP="00BD0EF3">
            <w:pPr>
              <w:pStyle w:val="BodyText"/>
            </w:pPr>
            <w:r w:rsidRPr="00BD0EF3">
              <w:t>4.4. Maintain WHS records as required.</w:t>
            </w:r>
          </w:p>
          <w:p w:rsidR="00000000" w:rsidRPr="00BD0EF3" w:rsidP="00BD0EF3">
            <w:pPr>
              <w:pStyle w:val="BodyText"/>
            </w:pPr>
            <w:r w:rsidRPr="00BD0EF3">
              <w:t>4.5. Recognise personal professional limitations and seek expert advice as required.</w:t>
            </w:r>
          </w:p>
        </w:tc>
      </w:tr>
    </w:tbl>
    <w:p w:rsidR="00000000" w:rsidRPr="00BD0EF3" w:rsidP="00BD0EF3">
      <w:pPr>
        <w:pStyle w:val="BodyText"/>
      </w:pPr>
    </w:p>
    <w:p w:rsidR="00000000" w:rsidRPr="00BD0EF3" w:rsidP="00BD0EF3">
      <w:pPr>
        <w:pStyle w:val="AllowPageBreak"/>
      </w:pPr>
    </w:p>
    <w:p w:rsidR="00000000" w:rsidRPr="00BD0EF3" w:rsidP="00BD0EF3">
      <w:pPr>
        <w:pStyle w:val="Heading1"/>
      </w:pPr>
      <w:bookmarkStart w:id="6" w:name="O_914220"/>
      <w:bookmarkEnd w:id="6"/>
      <w:r w:rsidRPr="00BD0EF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>This section describes those core and employment skills that are essential to performance and are not explicit in the performance criteria.</w:t>
            </w:r>
          </w:p>
        </w:tc>
      </w:tr>
      <w:tr w:rsidTr="00B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ListBullet"/>
              <w:rPr>
                <w:lang w:val="en-NZ"/>
              </w:rPr>
            </w:pPr>
            <w:r w:rsidRPr="00BD0EF3">
              <w:t>assess and identify own capabilities applying WHS procedures including gaps in knowledge.</w:t>
            </w:r>
          </w:p>
        </w:tc>
      </w:tr>
      <w:tr w:rsidTr="00B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>Or</w:t>
            </w:r>
            <w:r w:rsidRPr="00BD0EF3">
              <w:t>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ListBullet"/>
              <w:rPr>
                <w:lang w:val="en-NZ"/>
              </w:rPr>
            </w:pPr>
            <w:r w:rsidRPr="00BD0EF3">
              <w:t>communicate with personnel in the work team, other work teams, managers and expert advisers about workplace safety.</w:t>
            </w:r>
          </w:p>
        </w:tc>
      </w:tr>
      <w:tr w:rsidTr="00B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EF3" w:rsidP="00BD0EF3">
            <w:pPr>
              <w:pStyle w:val="ListBullet"/>
            </w:pPr>
            <w:r w:rsidRPr="00BD0EF3">
              <w:t>comprehend and interpret WHS legislation, standards, guidance material and benchmarks.</w:t>
            </w:r>
          </w:p>
          <w:p w:rsidR="00000000" w:rsidP="00BD0EF3">
            <w:pPr>
              <w:pStyle w:val="BodyText"/>
              <w:rPr>
                <w:lang w:val="en-NZ"/>
              </w:rPr>
            </w:pPr>
          </w:p>
        </w:tc>
      </w:tr>
      <w:tr w:rsidTr="00B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ListBullet"/>
              <w:rPr>
                <w:lang w:val="en-NZ"/>
              </w:rPr>
            </w:pPr>
            <w:r w:rsidRPr="00BD0EF3">
              <w:t>complete workplace records accurately and legibly, using correct technical vocabulary.</w:t>
            </w:r>
          </w:p>
        </w:tc>
      </w:tr>
      <w:tr w:rsidTr="00B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F3">
            <w:pPr>
              <w:pStyle w:val="BodyText"/>
              <w:rPr>
                <w:lang w:val="en-NZ"/>
              </w:rPr>
            </w:pPr>
            <w:r w:rsidRPr="00BD0EF3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EF3" w:rsidP="00BD0EF3">
            <w:pPr>
              <w:pStyle w:val="ListBullet"/>
            </w:pPr>
            <w:r w:rsidRPr="00BD0EF3">
              <w:t>identify and action problems regarding implementing safety practices, within level of responsibility.</w:t>
            </w:r>
          </w:p>
        </w:tc>
      </w:tr>
    </w:tbl>
    <w:p w:rsidR="00000000" w:rsidRPr="00BD0EF3" w:rsidP="00BD0EF3">
      <w:pPr>
        <w:pStyle w:val="BodyText"/>
      </w:pPr>
    </w:p>
    <w:p w:rsidR="00000000" w:rsidRPr="00BD0EF3" w:rsidP="00BD0EF3">
      <w:pPr>
        <w:pStyle w:val="AllowPageBreak"/>
      </w:pPr>
    </w:p>
    <w:p w:rsidR="00000000" w:rsidRPr="00BD0EF3" w:rsidP="00BD0EF3">
      <w:pPr>
        <w:pStyle w:val="Heading1"/>
      </w:pPr>
      <w:bookmarkStart w:id="7" w:name="O_914221"/>
      <w:bookmarkEnd w:id="7"/>
      <w:r w:rsidRPr="00BD0EF3">
        <w:t>Range of Conditions</w:t>
      </w:r>
    </w:p>
    <w:p w:rsidR="00000000" w:rsidRPr="00BD0EF3" w:rsidP="00BD0EF3">
      <w:pPr>
        <w:pStyle w:val="BodyText"/>
      </w:pPr>
      <w:r w:rsidRPr="00BD0EF3">
        <w:t>Not Applicable</w:t>
      </w:r>
    </w:p>
    <w:p w:rsidR="00000000" w:rsidRPr="00BD0EF3" w:rsidP="00BD0EF3">
      <w:pPr>
        <w:pStyle w:val="AllowPageBreak"/>
      </w:pPr>
    </w:p>
    <w:p w:rsidR="00000000" w:rsidRPr="00BD0EF3" w:rsidP="00BD0EF3">
      <w:pPr>
        <w:pStyle w:val="Heading1"/>
      </w:pPr>
      <w:bookmarkStart w:id="8" w:name="O_914222"/>
      <w:bookmarkEnd w:id="8"/>
      <w:r w:rsidRPr="00BD0EF3">
        <w:t>Unit Mapping Information</w:t>
      </w:r>
    </w:p>
    <w:p w:rsidR="00000000" w:rsidRPr="00BD0EF3" w:rsidP="00BD0EF3">
      <w:pPr>
        <w:pStyle w:val="BodyText"/>
      </w:pPr>
      <w:r w:rsidRPr="00BD0EF3">
        <w:t>FPPOHS410A Identify, assess and control OHS risk in own work</w:t>
      </w:r>
    </w:p>
    <w:p w:rsidR="00000000" w:rsidRPr="00BD0EF3" w:rsidP="00BD0EF3">
      <w:pPr>
        <w:pStyle w:val="AllowPageBreak"/>
      </w:pPr>
    </w:p>
    <w:p w:rsidR="00000000" w:rsidRPr="00BD0EF3" w:rsidP="00BD0EF3">
      <w:pPr>
        <w:pStyle w:val="Heading1"/>
      </w:pPr>
      <w:bookmarkStart w:id="9" w:name="O_914229"/>
      <w:bookmarkEnd w:id="9"/>
      <w:r w:rsidRPr="00BD0EF3">
        <w:t>Links</w:t>
      </w:r>
    </w:p>
    <w:p w:rsidR="00000000" w:rsidRPr="00BD0EF3" w:rsidP="00BD0EF3">
      <w:pPr>
        <w:pStyle w:val="BodyText"/>
      </w:pPr>
      <w:r w:rsidRPr="00BD0EF3">
        <w:t>Companion Volume implementation guides are found in VETNet - https://vetnet.education.gov.au/Pages/TrainingPackages.aspx/Pages/Home.aspx</w:t>
      </w:r>
    </w:p>
    <w:p w:rsidR="00000000" w:rsidRPr="00BD0EF3" w:rsidP="00BD0EF3"/>
    <w:sectPr w:rsidSect="00BD0E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F3" w:rsidRPr="00B85E66" w:rsidP="00B85E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66" w:rsidP="00BD0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5E66" w:rsidP="00BD0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5E66" w:rsidP="00BD0E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0EF3" w:rsidRPr="00B85E66" w:rsidP="00B85E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66" w:rsidRPr="002D2AF8" w:rsidP="00BD0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PPMWHS410 Identify, assess and control WHS risk in own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B85E66" w:rsidP="00BD0E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D6A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82A8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E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0E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E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E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E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E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E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E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E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E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E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EF3"/>
  </w:style>
  <w:style w:type="character" w:customStyle="1" w:styleId="Heading1Char">
    <w:name w:val="Heading 1 Char"/>
    <w:basedOn w:val="DefaultParagraphFont"/>
    <w:link w:val="Heading1"/>
    <w:rsid w:val="00BD0E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E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E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0E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0EF3"/>
    <w:rPr>
      <w:b/>
      <w:spacing w:val="0"/>
    </w:rPr>
  </w:style>
  <w:style w:type="paragraph" w:customStyle="1" w:styleId="SuperHeading">
    <w:name w:val="SuperHeading"/>
    <w:basedOn w:val="Normal"/>
    <w:rsid w:val="00BD0E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0E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D0EF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D0E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E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E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0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0E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0E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E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E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E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E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0E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E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0E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E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E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0E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0E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0E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E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E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0EF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0E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E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0E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E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0E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E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E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E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E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0EF3"/>
    <w:rPr>
      <w:i/>
    </w:rPr>
  </w:style>
  <w:style w:type="paragraph" w:styleId="Caption">
    <w:name w:val="caption"/>
    <w:basedOn w:val="BodyText"/>
    <w:next w:val="Normal"/>
    <w:qFormat/>
    <w:rsid w:val="00BD0E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E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E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EF3"/>
  </w:style>
  <w:style w:type="paragraph" w:styleId="TableofFigures">
    <w:name w:val="table of figures"/>
    <w:basedOn w:val="Normal"/>
    <w:next w:val="Normal"/>
    <w:semiHidden/>
    <w:rsid w:val="00BD0E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EF3"/>
    <w:pPr>
      <w:numPr>
        <w:numId w:val="10"/>
      </w:numPr>
    </w:pPr>
  </w:style>
  <w:style w:type="character" w:customStyle="1" w:styleId="WingdingSymbols">
    <w:name w:val="Wingding Symbols"/>
    <w:rsid w:val="00BD0EF3"/>
    <w:rPr>
      <w:rFonts w:ascii="Wingdings" w:hAnsi="Wingdings"/>
    </w:rPr>
  </w:style>
  <w:style w:type="paragraph" w:customStyle="1" w:styleId="TableHeading">
    <w:name w:val="Table Heading"/>
    <w:basedOn w:val="HeadingBase"/>
    <w:rsid w:val="00BD0E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0EF3"/>
    <w:rPr>
      <w:color w:val="0033CC"/>
      <w:u w:val="none"/>
    </w:rPr>
  </w:style>
  <w:style w:type="paragraph" w:customStyle="1" w:styleId="BodyTextRight">
    <w:name w:val="Body Text Right"/>
    <w:basedOn w:val="BodyText"/>
    <w:rsid w:val="00BD0E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E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E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E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E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E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0EF3"/>
    <w:rPr>
      <w:sz w:val="32"/>
    </w:rPr>
  </w:style>
  <w:style w:type="paragraph" w:customStyle="1" w:styleId="HeadingProcedure">
    <w:name w:val="Heading Procedure"/>
    <w:basedOn w:val="HeadingBase"/>
    <w:next w:val="Normal"/>
    <w:rsid w:val="00BD0E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EF3"/>
    <w:pPr>
      <w:spacing w:before="60" w:after="60"/>
    </w:pPr>
  </w:style>
  <w:style w:type="paragraph" w:styleId="ListContinue">
    <w:name w:val="List Continue"/>
    <w:basedOn w:val="List"/>
    <w:rsid w:val="00BD0EF3"/>
    <w:pPr>
      <w:ind w:firstLine="0"/>
    </w:pPr>
  </w:style>
  <w:style w:type="paragraph" w:customStyle="1" w:styleId="ListNote">
    <w:name w:val="List Note"/>
    <w:basedOn w:val="List"/>
    <w:rsid w:val="00BD0E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E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E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EF3"/>
    <w:rPr>
      <w:rFonts w:ascii="Courier New" w:hAnsi="Courier New"/>
    </w:rPr>
  </w:style>
  <w:style w:type="paragraph" w:customStyle="1" w:styleId="NoteBullet">
    <w:name w:val="Note Bullet"/>
    <w:basedOn w:val="Note"/>
    <w:rsid w:val="00BD0E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E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E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E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E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0E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E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0EF3"/>
    <w:rPr>
      <w:b/>
      <w:smallCaps/>
    </w:rPr>
  </w:style>
  <w:style w:type="paragraph" w:customStyle="1" w:styleId="TableListNumber">
    <w:name w:val="Table List Number"/>
    <w:basedOn w:val="ListNumber"/>
    <w:rsid w:val="00BD0E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E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EF3"/>
    <w:pPr>
      <w:numPr>
        <w:numId w:val="8"/>
      </w:numPr>
    </w:pPr>
  </w:style>
  <w:style w:type="paragraph" w:customStyle="1" w:styleId="ListAlpha2">
    <w:name w:val="List Alpha 2"/>
    <w:basedOn w:val="List2"/>
    <w:rsid w:val="00BD0EF3"/>
    <w:pPr>
      <w:numPr>
        <w:numId w:val="7"/>
      </w:numPr>
    </w:pPr>
  </w:style>
  <w:style w:type="paragraph" w:styleId="List2">
    <w:name w:val="List 2"/>
    <w:basedOn w:val="BodyText"/>
    <w:rsid w:val="00BD0E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E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E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E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0E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0E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0EF3"/>
    <w:pPr>
      <w:numPr>
        <w:numId w:val="3"/>
      </w:numPr>
    </w:pPr>
  </w:style>
  <w:style w:type="paragraph" w:styleId="ListContinue2">
    <w:name w:val="List Continue 2"/>
    <w:basedOn w:val="List2"/>
    <w:rsid w:val="00BD0EF3"/>
    <w:pPr>
      <w:ind w:firstLine="0"/>
    </w:pPr>
  </w:style>
  <w:style w:type="paragraph" w:styleId="ListContinue3">
    <w:name w:val="List Continue 3"/>
    <w:basedOn w:val="List3"/>
    <w:rsid w:val="00BD0EF3"/>
    <w:pPr>
      <w:ind w:left="1021" w:firstLine="0"/>
    </w:pPr>
  </w:style>
  <w:style w:type="paragraph" w:styleId="ListContinue4">
    <w:name w:val="List Continue 4"/>
    <w:basedOn w:val="List4"/>
    <w:rsid w:val="00BD0EF3"/>
    <w:pPr>
      <w:ind w:firstLine="0"/>
    </w:pPr>
  </w:style>
  <w:style w:type="paragraph" w:styleId="ListContinue5">
    <w:name w:val="List Continue 5"/>
    <w:basedOn w:val="List5"/>
    <w:rsid w:val="00BD0EF3"/>
    <w:pPr>
      <w:ind w:firstLine="0"/>
    </w:pPr>
  </w:style>
  <w:style w:type="paragraph" w:styleId="ListNumber3">
    <w:name w:val="List Number 3"/>
    <w:basedOn w:val="List3"/>
    <w:rsid w:val="00BD0EF3"/>
    <w:pPr>
      <w:numPr>
        <w:numId w:val="4"/>
      </w:numPr>
    </w:pPr>
  </w:style>
  <w:style w:type="paragraph" w:styleId="ListNumber4">
    <w:name w:val="List Number 4"/>
    <w:basedOn w:val="List4"/>
    <w:rsid w:val="00BD0EF3"/>
    <w:pPr>
      <w:numPr>
        <w:numId w:val="5"/>
      </w:numPr>
    </w:pPr>
  </w:style>
  <w:style w:type="paragraph" w:styleId="ListNumber5">
    <w:name w:val="List Number 5"/>
    <w:basedOn w:val="List5"/>
    <w:rsid w:val="00BD0EF3"/>
    <w:pPr>
      <w:numPr>
        <w:numId w:val="6"/>
      </w:numPr>
    </w:pPr>
  </w:style>
  <w:style w:type="paragraph" w:styleId="BlockText">
    <w:name w:val="Block Text"/>
    <w:basedOn w:val="Normal"/>
    <w:rsid w:val="00BD0E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0E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0EF3"/>
    <w:rPr>
      <w:sz w:val="16"/>
      <w:vertAlign w:val="superscript"/>
    </w:rPr>
  </w:style>
  <w:style w:type="character" w:customStyle="1" w:styleId="Symbols">
    <w:name w:val="Symbols"/>
    <w:basedOn w:val="DefaultParagraphFont"/>
    <w:rsid w:val="00BD0EF3"/>
    <w:rPr>
      <w:rFonts w:ascii="Symbol" w:hAnsi="Symbol"/>
    </w:rPr>
  </w:style>
  <w:style w:type="character" w:customStyle="1" w:styleId="MenuOptions">
    <w:name w:val="Menu Options"/>
    <w:basedOn w:val="DefaultParagraphFont"/>
    <w:rsid w:val="00BD0E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EF3"/>
    <w:rPr>
      <w:b/>
    </w:rPr>
  </w:style>
  <w:style w:type="character" w:customStyle="1" w:styleId="Underlined">
    <w:name w:val="Underlined"/>
    <w:basedOn w:val="DefaultParagraphFont"/>
    <w:rsid w:val="00BD0EF3"/>
    <w:rPr>
      <w:u w:val="single"/>
    </w:rPr>
  </w:style>
  <w:style w:type="paragraph" w:customStyle="1" w:styleId="TableBodyTextRight">
    <w:name w:val="Table Body Text Right"/>
    <w:basedOn w:val="TableBodyText"/>
    <w:rsid w:val="00BD0E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EF3"/>
    <w:rPr>
      <w:sz w:val="18"/>
    </w:rPr>
  </w:style>
  <w:style w:type="paragraph" w:customStyle="1" w:styleId="BodySmallRight">
    <w:name w:val="Body Small Right"/>
    <w:basedOn w:val="BodyTextRight"/>
    <w:rsid w:val="00BD0EF3"/>
    <w:rPr>
      <w:sz w:val="18"/>
      <w:szCs w:val="18"/>
    </w:rPr>
  </w:style>
  <w:style w:type="paragraph" w:customStyle="1" w:styleId="MarginEdition">
    <w:name w:val="Margin Edition"/>
    <w:basedOn w:val="MarginNote"/>
    <w:rsid w:val="00BD0E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EF3"/>
    <w:rPr>
      <w:sz w:val="2"/>
      <w:szCs w:val="2"/>
    </w:rPr>
  </w:style>
  <w:style w:type="character" w:customStyle="1" w:styleId="Small">
    <w:name w:val="Small"/>
    <w:basedOn w:val="DefaultParagraphFont"/>
    <w:rsid w:val="00BD0EF3"/>
    <w:rPr>
      <w:sz w:val="16"/>
    </w:rPr>
  </w:style>
  <w:style w:type="paragraph" w:customStyle="1" w:styleId="WideTable">
    <w:name w:val="Wide Table"/>
    <w:basedOn w:val="Normal"/>
    <w:rsid w:val="00BD0E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EF3"/>
  </w:style>
  <w:style w:type="paragraph" w:styleId="Quote">
    <w:name w:val="Quote"/>
    <w:basedOn w:val="Heading1"/>
    <w:link w:val="QuoteChar"/>
    <w:qFormat/>
    <w:rsid w:val="00BD0E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E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EF3"/>
    <w:pPr>
      <w:pageBreakBefore/>
    </w:pPr>
  </w:style>
  <w:style w:type="paragraph" w:customStyle="1" w:styleId="Border">
    <w:name w:val="Border"/>
    <w:basedOn w:val="Normal"/>
    <w:qFormat/>
    <w:rsid w:val="00BD0E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E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E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0E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E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E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E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E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EF3"/>
    <w:rPr>
      <w:u w:val="single"/>
    </w:rPr>
  </w:style>
  <w:style w:type="paragraph" w:styleId="BalloonText">
    <w:name w:val="Balloon Text"/>
    <w:basedOn w:val="Normal"/>
    <w:link w:val="BalloonTextChar"/>
    <w:rsid w:val="00BD0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E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0E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E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0E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0E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0EF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3856</Characters>
  <Application>Microsoft Office Word</Application>
  <DocSecurity>0</DocSecurity>
  <Lines>122</Lines>
  <Paragraphs>65</Paragraphs>
  <ScaleCrop>false</ScaleCrop>
  <Company>Author-it Software Corporation Ltd.</Company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PPMWHS410 Identify, assess and control WHS risk in own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2018-10-24T01:47:00Z</dcterms:created>
  <dcterms:modified xsi:type="dcterms:W3CDTF">2018-10-24T01:47:00Z</dcterms:modified>
</cp:coreProperties>
</file>