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650A" w:rsidP="000D65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PPMRES260 Receive materials</w:t>
      </w:r>
      <w:r>
        <w:fldChar w:fldCharType="end"/>
      </w:r>
    </w:p>
    <w:p w:rsidR="000D650A" w:rsidP="000D650A">
      <w:pPr>
        <w:pStyle w:val="Version"/>
        <w:sectPr w:rsidSect="003167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16772" w:rsidP="00316772">
      <w:pPr>
        <w:pStyle w:val="SuperHeading"/>
      </w:pPr>
      <w:r w:rsidRPr="00316772">
        <w:t>PPMRES260 Receive materials</w:t>
      </w:r>
    </w:p>
    <w:p w:rsidR="00000000" w:rsidRPr="00316772" w:rsidP="00316772">
      <w:pPr>
        <w:pStyle w:val="Heading1"/>
      </w:pPr>
      <w:bookmarkStart w:id="1" w:name="O_913321"/>
      <w:bookmarkEnd w:id="1"/>
      <w:r w:rsidRPr="0031677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129"/>
      </w:tblGrid>
      <w:tr w:rsidTr="003167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6772" w:rsidP="00316772">
            <w:pPr>
              <w:pStyle w:val="BodyText"/>
            </w:pPr>
            <w:r w:rsidRPr="00316772">
              <w:rPr>
                <w:rStyle w:val="SpecialBold"/>
              </w:rPr>
              <w:t>Release</w:t>
            </w:r>
          </w:p>
        </w:tc>
        <w:tc>
          <w:tcPr>
            <w:tcW w:w="6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772">
            <w:pPr>
              <w:pStyle w:val="BodyText"/>
              <w:rPr>
                <w:lang w:val="en-NZ"/>
              </w:rPr>
            </w:pPr>
            <w:r w:rsidRPr="00316772">
              <w:rPr>
                <w:rStyle w:val="SpecialBold"/>
              </w:rPr>
              <w:t>Comments</w:t>
            </w:r>
          </w:p>
        </w:tc>
      </w:tr>
      <w:tr w:rsidTr="003167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772">
            <w:pPr>
              <w:pStyle w:val="BodyText"/>
              <w:rPr>
                <w:lang w:val="en-NZ"/>
              </w:rPr>
            </w:pPr>
            <w:r w:rsidRPr="00316772">
              <w:t>1</w:t>
            </w:r>
          </w:p>
        </w:tc>
        <w:tc>
          <w:tcPr>
            <w:tcW w:w="6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6772" w:rsidP="00316772">
            <w:pPr>
              <w:pStyle w:val="BodyText"/>
            </w:pPr>
            <w:r w:rsidRPr="00316772">
              <w:t>Replaces equivalent unit FPPRES260A Receive materials which was first released with FPP10 Pulp and Paper Manufacturing Industry Training Package Version 1.</w:t>
            </w:r>
          </w:p>
          <w:p w:rsidR="00000000" w:rsidRPr="00316772" w:rsidP="00316772">
            <w:pPr>
              <w:pStyle w:val="BodyText"/>
            </w:pPr>
            <w:r w:rsidRPr="00316772">
              <w:t>This is the first release of this unit in the new standards</w:t>
            </w:r>
            <w:r w:rsidRPr="00316772">
              <w:t xml:space="preserve"> format.</w:t>
            </w:r>
          </w:p>
        </w:tc>
      </w:tr>
    </w:tbl>
    <w:p w:rsidR="00000000" w:rsidRPr="00316772" w:rsidP="00316772">
      <w:pPr>
        <w:pStyle w:val="BodyText"/>
      </w:pPr>
    </w:p>
    <w:p w:rsidR="00000000" w:rsidRPr="00316772" w:rsidP="00316772">
      <w:pPr>
        <w:pStyle w:val="AllowPageBreak"/>
      </w:pPr>
    </w:p>
    <w:p w:rsidR="00000000" w:rsidRPr="00316772" w:rsidP="00316772">
      <w:pPr>
        <w:pStyle w:val="Heading1"/>
      </w:pPr>
      <w:bookmarkStart w:id="2" w:name="O_913322"/>
      <w:bookmarkEnd w:id="2"/>
      <w:r w:rsidRPr="00316772">
        <w:t>Application</w:t>
      </w:r>
    </w:p>
    <w:p w:rsidR="00000000" w:rsidRPr="00316772" w:rsidP="00316772">
      <w:pPr>
        <w:pStyle w:val="BodyText"/>
      </w:pPr>
      <w:r w:rsidRPr="00316772">
        <w:t xml:space="preserve">This unit of competency describes the outcomes required to receive materials in a pulp or paper manufacturing facility. </w:t>
      </w:r>
    </w:p>
    <w:p w:rsidR="00000000" w:rsidRPr="00316772" w:rsidP="00316772">
      <w:pPr>
        <w:pStyle w:val="BodyText"/>
      </w:pPr>
      <w:r w:rsidRPr="00316772">
        <w:t>The unit applies to production support operators who check, weigh and record load data and dire</w:t>
      </w:r>
      <w:r w:rsidRPr="00316772">
        <w:t>ct trucks for unloading.  Receiving and weighing procedures may be fully electronic, semi-electronic or manual.</w:t>
      </w:r>
    </w:p>
    <w:p w:rsidR="00000000" w:rsidRPr="00316772" w:rsidP="00316772">
      <w:pPr>
        <w:pStyle w:val="BodyText"/>
      </w:pPr>
      <w:r w:rsidRPr="00316772">
        <w:t>No licensing, legislative, regulatory, or certification requirements apply to this unit at the time of publication.</w:t>
      </w:r>
    </w:p>
    <w:p w:rsidR="00000000" w:rsidRPr="00316772" w:rsidP="00316772">
      <w:pPr>
        <w:pStyle w:val="AllowPageBreak"/>
      </w:pPr>
    </w:p>
    <w:p w:rsidR="00000000" w:rsidRPr="00316772" w:rsidP="00316772">
      <w:pPr>
        <w:pStyle w:val="Heading1"/>
      </w:pPr>
      <w:bookmarkStart w:id="3" w:name="O_913323"/>
      <w:bookmarkEnd w:id="3"/>
      <w:r w:rsidRPr="00316772">
        <w:t>Pre-requisi</w:t>
      </w:r>
      <w:r w:rsidRPr="00316772">
        <w:t>te Unit</w:t>
      </w:r>
    </w:p>
    <w:p w:rsidR="00000000" w:rsidRPr="00316772" w:rsidP="00316772">
      <w:pPr>
        <w:pStyle w:val="BodyText"/>
      </w:pPr>
      <w:r w:rsidRPr="00316772">
        <w:t>Nil</w:t>
      </w:r>
    </w:p>
    <w:p w:rsidR="00000000" w:rsidRPr="00316772" w:rsidP="00316772">
      <w:pPr>
        <w:pStyle w:val="AllowPageBreak"/>
      </w:pPr>
    </w:p>
    <w:p w:rsidR="00000000" w:rsidRPr="00316772" w:rsidP="00316772">
      <w:pPr>
        <w:pStyle w:val="Heading1"/>
      </w:pPr>
      <w:bookmarkStart w:id="4" w:name="O_913325"/>
      <w:bookmarkEnd w:id="4"/>
      <w:r w:rsidRPr="00316772">
        <w:t>Unit Sector</w:t>
      </w:r>
    </w:p>
    <w:p w:rsidR="00000000" w:rsidRPr="00316772" w:rsidP="00316772">
      <w:pPr>
        <w:pStyle w:val="BodyText"/>
      </w:pPr>
      <w:r w:rsidRPr="00316772">
        <w:t>Pulp and Paper Manufacturing</w:t>
      </w:r>
    </w:p>
    <w:p w:rsidR="00000000" w:rsidRPr="00316772" w:rsidP="00316772">
      <w:pPr>
        <w:pStyle w:val="AllowPageBreak"/>
      </w:pPr>
    </w:p>
    <w:p w:rsidR="00000000" w:rsidRPr="00316772" w:rsidP="00316772">
      <w:pPr>
        <w:pStyle w:val="Heading1"/>
      </w:pPr>
      <w:bookmarkStart w:id="5" w:name="O_913326"/>
      <w:bookmarkEnd w:id="5"/>
      <w:r w:rsidRPr="0031677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3"/>
        <w:gridCol w:w="6571"/>
      </w:tblGrid>
      <w:tr w:rsidTr="003167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6772" w:rsidP="00316772">
            <w:pPr>
              <w:pStyle w:val="BodyText"/>
            </w:pPr>
            <w:r w:rsidRPr="00316772">
              <w:rPr>
                <w:rStyle w:val="SpecialBold"/>
              </w:rPr>
              <w:t>Element</w:t>
            </w:r>
          </w:p>
        </w:tc>
        <w:tc>
          <w:tcPr>
            <w:tcW w:w="657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772">
            <w:pPr>
              <w:pStyle w:val="BodyText"/>
              <w:rPr>
                <w:lang w:val="en-NZ"/>
              </w:rPr>
            </w:pPr>
            <w:r w:rsidRPr="00316772">
              <w:rPr>
                <w:rStyle w:val="SpecialBold"/>
              </w:rPr>
              <w:t>Performance Criteria</w:t>
            </w:r>
          </w:p>
        </w:tc>
      </w:tr>
      <w:tr w:rsidTr="003167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772">
            <w:pPr>
              <w:pStyle w:val="BodyText"/>
              <w:rPr>
                <w:lang w:val="en-NZ"/>
              </w:rPr>
            </w:pPr>
            <w:r w:rsidRPr="00316772">
              <w:t>Elements describe the essential outcomes.</w:t>
            </w:r>
          </w:p>
        </w:tc>
        <w:tc>
          <w:tcPr>
            <w:tcW w:w="657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772">
            <w:pPr>
              <w:pStyle w:val="BodyText"/>
              <w:rPr>
                <w:lang w:val="en-NZ"/>
              </w:rPr>
            </w:pPr>
            <w:r w:rsidRPr="00316772"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3167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772">
            <w:pPr>
              <w:pStyle w:val="BodyText"/>
              <w:rPr>
                <w:lang w:val="en-NZ"/>
              </w:rPr>
            </w:pPr>
            <w:r w:rsidRPr="00316772">
              <w:t>1. Receive materials.</w:t>
            </w:r>
          </w:p>
        </w:tc>
        <w:tc>
          <w:tcPr>
            <w:tcW w:w="6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6772" w:rsidP="00316772">
            <w:pPr>
              <w:pStyle w:val="BodyText"/>
            </w:pPr>
            <w:r w:rsidRPr="00316772">
              <w:t>1.1. Identify and review site receiving p</w:t>
            </w:r>
            <w:r w:rsidRPr="00316772">
              <w:t>rocedures for materials according to standard operating procedures (SOPs).</w:t>
            </w:r>
          </w:p>
          <w:p w:rsidR="00000000" w:rsidP="00316772">
            <w:pPr>
              <w:pStyle w:val="BodyText"/>
              <w:rPr>
                <w:lang w:val="en-NZ"/>
              </w:rPr>
            </w:pPr>
            <w:r w:rsidRPr="00316772">
              <w:t>1.2. Identify and accept trucks delivering load as per work (WHS) and environmental regulations.</w:t>
            </w:r>
          </w:p>
        </w:tc>
      </w:tr>
      <w:tr w:rsidTr="003167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772">
            <w:pPr>
              <w:pStyle w:val="BodyText"/>
              <w:rPr>
                <w:lang w:val="en-NZ"/>
              </w:rPr>
            </w:pPr>
            <w:r w:rsidRPr="00316772">
              <w:t>2. Check and weigh load and record data.</w:t>
            </w:r>
          </w:p>
        </w:tc>
        <w:tc>
          <w:tcPr>
            <w:tcW w:w="6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6772" w:rsidP="00316772">
            <w:pPr>
              <w:pStyle w:val="BodyText"/>
            </w:pPr>
            <w:r w:rsidRPr="00316772">
              <w:t>2.1. Weigh load using weighing systems according to site procedures.</w:t>
            </w:r>
          </w:p>
          <w:p w:rsidR="00000000" w:rsidRPr="00316772" w:rsidP="00316772">
            <w:pPr>
              <w:pStyle w:val="BodyText"/>
            </w:pPr>
            <w:r w:rsidRPr="00316772">
              <w:t>2.2. Handle non-conforming loads according to site procedures and safe work requirements and practices.</w:t>
            </w:r>
          </w:p>
          <w:p w:rsidR="00000000" w:rsidRPr="00316772" w:rsidP="00316772">
            <w:pPr>
              <w:pStyle w:val="BodyText"/>
            </w:pPr>
            <w:r w:rsidRPr="00316772">
              <w:t>2.3. Record weight of load and load conformance information.</w:t>
            </w:r>
          </w:p>
          <w:p w:rsidR="00000000" w:rsidP="00316772">
            <w:pPr>
              <w:pStyle w:val="BodyText"/>
              <w:rPr>
                <w:lang w:val="en-NZ"/>
              </w:rPr>
            </w:pPr>
            <w:r w:rsidRPr="00316772">
              <w:t>2.4. Obtain delivery r</w:t>
            </w:r>
            <w:r w:rsidRPr="00316772">
              <w:t>ecord from truck driver.</w:t>
            </w:r>
          </w:p>
        </w:tc>
      </w:tr>
      <w:tr w:rsidTr="003167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772">
            <w:pPr>
              <w:pStyle w:val="BodyText"/>
              <w:rPr>
                <w:lang w:val="en-NZ"/>
              </w:rPr>
            </w:pPr>
            <w:r w:rsidRPr="00316772">
              <w:t>3. Direct trucks for unloading.</w:t>
            </w:r>
          </w:p>
        </w:tc>
        <w:tc>
          <w:tcPr>
            <w:tcW w:w="6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6772" w:rsidP="00316772">
            <w:pPr>
              <w:pStyle w:val="BodyText"/>
            </w:pPr>
            <w:r w:rsidRPr="00316772">
              <w:t>3.1. Notify workforce of deliveries that require unloading.</w:t>
            </w:r>
          </w:p>
          <w:p w:rsidR="00000000" w:rsidRPr="00316772" w:rsidP="00316772">
            <w:pPr>
              <w:pStyle w:val="BodyText"/>
            </w:pPr>
            <w:r w:rsidRPr="00316772">
              <w:t>3.2. Direct truck to designated unloading site.</w:t>
            </w:r>
          </w:p>
          <w:p w:rsidR="00000000" w:rsidRPr="00316772" w:rsidP="00316772">
            <w:pPr>
              <w:pStyle w:val="BodyText"/>
            </w:pPr>
            <w:r w:rsidRPr="00316772">
              <w:t>3.3. Monitor and control truck traffic in the receiver area according to site procedures a</w:t>
            </w:r>
            <w:r w:rsidRPr="00316772">
              <w:t>nd safe work requirements and practices.</w:t>
            </w:r>
          </w:p>
        </w:tc>
      </w:tr>
    </w:tbl>
    <w:p w:rsidR="00000000" w:rsidRPr="00316772" w:rsidP="00316772">
      <w:pPr>
        <w:pStyle w:val="BodyText"/>
      </w:pPr>
    </w:p>
    <w:p w:rsidR="00000000" w:rsidRPr="00316772" w:rsidP="00316772">
      <w:pPr>
        <w:pStyle w:val="AllowPageBreak"/>
      </w:pPr>
    </w:p>
    <w:p w:rsidR="00000000" w:rsidRPr="00316772" w:rsidP="00316772">
      <w:pPr>
        <w:pStyle w:val="Heading1"/>
      </w:pPr>
      <w:bookmarkStart w:id="6" w:name="O_913327"/>
      <w:bookmarkEnd w:id="6"/>
      <w:r w:rsidRPr="00316772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99"/>
        <w:gridCol w:w="7181"/>
      </w:tblGrid>
      <w:tr w:rsidTr="003167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772">
            <w:pPr>
              <w:pStyle w:val="BodyText"/>
              <w:rPr>
                <w:lang w:val="en-NZ"/>
              </w:rPr>
            </w:pPr>
            <w:r w:rsidRPr="00316772">
              <w:rPr>
                <w:rStyle w:val="Emphasis"/>
              </w:rPr>
              <w:t xml:space="preserve">This section describes those core and employment skills that are essential to performance and are </w:t>
            </w:r>
            <w:r w:rsidRPr="00316772">
              <w:t xml:space="preserve">not explicit </w:t>
            </w:r>
            <w:r w:rsidRPr="00316772">
              <w:rPr>
                <w:rStyle w:val="Emphasis"/>
              </w:rPr>
              <w:t>in the performance criteria</w:t>
            </w:r>
          </w:p>
        </w:tc>
      </w:tr>
      <w:tr w:rsidTr="003167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772">
            <w:pPr>
              <w:pStyle w:val="BodyText"/>
              <w:rPr>
                <w:lang w:val="en-NZ"/>
              </w:rPr>
            </w:pPr>
            <w:r w:rsidRPr="00316772">
              <w:t>Learning skills to:</w:t>
            </w:r>
          </w:p>
        </w:tc>
        <w:tc>
          <w:tcPr>
            <w:tcW w:w="7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6772" w:rsidP="00316772">
            <w:pPr>
              <w:pStyle w:val="ListBullet"/>
            </w:pPr>
            <w:r w:rsidRPr="00316772">
              <w:t>identify non-conforming load weights</w:t>
            </w:r>
          </w:p>
          <w:p w:rsidR="00000000" w:rsidP="00316772">
            <w:pPr>
              <w:pStyle w:val="ListBullet"/>
              <w:rPr>
                <w:lang w:val="en-NZ"/>
              </w:rPr>
            </w:pPr>
            <w:r w:rsidRPr="00316772">
              <w:t>identify essential factors that contribute to situational awareness in the workplace.</w:t>
            </w:r>
          </w:p>
        </w:tc>
      </w:tr>
      <w:tr w:rsidTr="003167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772">
            <w:pPr>
              <w:pStyle w:val="BodyText"/>
              <w:rPr>
                <w:lang w:val="en-NZ"/>
              </w:rPr>
            </w:pPr>
            <w:r w:rsidRPr="00316772">
              <w:t>Numeracy skills to:</w:t>
            </w:r>
          </w:p>
        </w:tc>
        <w:tc>
          <w:tcPr>
            <w:tcW w:w="7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6772" w:rsidP="00316772">
            <w:pPr>
              <w:pStyle w:val="ListBullet"/>
            </w:pPr>
            <w:r w:rsidRPr="00316772">
              <w:t>interpret legal information regarding truck weights</w:t>
            </w:r>
          </w:p>
          <w:p w:rsidR="00000000" w:rsidP="00316772">
            <w:pPr>
              <w:pStyle w:val="ListBullet"/>
              <w:rPr>
                <w:lang w:val="en-NZ"/>
              </w:rPr>
            </w:pPr>
            <w:r w:rsidRPr="00316772">
              <w:t>estimate volume and weight of truck loads.</w:t>
            </w:r>
          </w:p>
        </w:tc>
      </w:tr>
      <w:tr w:rsidTr="003167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772">
            <w:pPr>
              <w:pStyle w:val="BodyText"/>
              <w:rPr>
                <w:lang w:val="en-NZ"/>
              </w:rPr>
            </w:pPr>
            <w:r w:rsidRPr="00316772">
              <w:t>Oral communicat</w:t>
            </w:r>
            <w:r w:rsidRPr="00316772">
              <w:t>ion skills to:</w:t>
            </w:r>
          </w:p>
        </w:tc>
        <w:tc>
          <w:tcPr>
            <w:tcW w:w="7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6772" w:rsidP="00316772">
            <w:pPr>
              <w:pStyle w:val="ListBullet"/>
            </w:pPr>
            <w:r w:rsidRPr="00316772">
              <w:t>interpret hand signals with work colleagues when directing trucks</w:t>
            </w:r>
          </w:p>
          <w:p w:rsidR="00000000" w:rsidP="00316772">
            <w:pPr>
              <w:pStyle w:val="ListBullet"/>
              <w:rPr>
                <w:lang w:val="en-NZ"/>
              </w:rPr>
            </w:pPr>
            <w:r w:rsidRPr="00316772">
              <w:t>provide verbal instructions to monitor and control truck traffic.</w:t>
            </w:r>
          </w:p>
        </w:tc>
      </w:tr>
      <w:tr w:rsidTr="003167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772">
            <w:pPr>
              <w:pStyle w:val="BodyText"/>
              <w:rPr>
                <w:lang w:val="en-NZ"/>
              </w:rPr>
            </w:pPr>
            <w:r w:rsidRPr="00316772">
              <w:t>Self-management skills to:</w:t>
            </w:r>
          </w:p>
        </w:tc>
        <w:tc>
          <w:tcPr>
            <w:tcW w:w="7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772">
            <w:pPr>
              <w:pStyle w:val="ListBullet"/>
              <w:rPr>
                <w:lang w:val="en-NZ"/>
              </w:rPr>
            </w:pPr>
            <w:r w:rsidRPr="00316772">
              <w:t>use and interpret non-verbal signals including hand signals and facial gestures.</w:t>
            </w:r>
          </w:p>
        </w:tc>
      </w:tr>
      <w:tr w:rsidTr="003167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772">
            <w:pPr>
              <w:pStyle w:val="BodyText"/>
              <w:rPr>
                <w:lang w:val="en-NZ"/>
              </w:rPr>
            </w:pPr>
            <w:r w:rsidRPr="00316772">
              <w:t>Reading skills to:</w:t>
            </w:r>
          </w:p>
        </w:tc>
        <w:tc>
          <w:tcPr>
            <w:tcW w:w="7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6772" w:rsidP="00316772">
            <w:pPr>
              <w:pStyle w:val="ListBullet"/>
            </w:pPr>
            <w:r w:rsidRPr="00316772">
              <w:t>interpret documentation, including SOPs and site receival procedures</w:t>
            </w:r>
          </w:p>
          <w:p w:rsidR="00000000" w:rsidP="00316772">
            <w:pPr>
              <w:pStyle w:val="ListBullet"/>
              <w:rPr>
                <w:lang w:val="en-NZ"/>
              </w:rPr>
            </w:pPr>
            <w:r w:rsidRPr="00316772">
              <w:t>interpret signage relating to safety and access.</w:t>
            </w:r>
          </w:p>
        </w:tc>
      </w:tr>
      <w:tr w:rsidTr="003167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6772">
            <w:pPr>
              <w:pStyle w:val="BodyText"/>
              <w:rPr>
                <w:lang w:val="en-NZ"/>
              </w:rPr>
            </w:pPr>
            <w:r w:rsidRPr="00316772">
              <w:t>Writing skills to:</w:t>
            </w:r>
          </w:p>
        </w:tc>
        <w:tc>
          <w:tcPr>
            <w:tcW w:w="7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6772" w:rsidP="00316772">
            <w:pPr>
              <w:pStyle w:val="ListBullet"/>
            </w:pPr>
            <w:r w:rsidRPr="00316772">
              <w:t>enter load data</w:t>
            </w:r>
            <w:r w:rsidRPr="00316772">
              <w:t xml:space="preserve"> on computer-based systems</w:t>
            </w:r>
          </w:p>
          <w:p w:rsidR="00000000" w:rsidRPr="00316772" w:rsidP="00316772">
            <w:pPr>
              <w:pStyle w:val="ListBullet"/>
            </w:pPr>
            <w:r w:rsidRPr="00316772">
              <w:t>complete log books and incident reports.</w:t>
            </w:r>
          </w:p>
          <w:p w:rsidR="00000000" w:rsidRPr="00316772" w:rsidP="00316772">
            <w:pPr>
              <w:pStyle w:val="BodyText"/>
            </w:pPr>
          </w:p>
        </w:tc>
      </w:tr>
    </w:tbl>
    <w:p w:rsidR="00000000" w:rsidRPr="00316772" w:rsidP="00316772">
      <w:pPr>
        <w:pStyle w:val="BodyText"/>
      </w:pPr>
    </w:p>
    <w:p w:rsidR="00000000" w:rsidRPr="00316772" w:rsidP="00316772">
      <w:pPr>
        <w:pStyle w:val="AllowPageBreak"/>
      </w:pPr>
    </w:p>
    <w:p w:rsidR="00000000" w:rsidRPr="00316772" w:rsidP="00316772">
      <w:pPr>
        <w:pStyle w:val="Heading1"/>
      </w:pPr>
      <w:bookmarkStart w:id="7" w:name="O_913328"/>
      <w:bookmarkEnd w:id="7"/>
      <w:r w:rsidRPr="00316772">
        <w:t>Range of Conditions</w:t>
      </w:r>
    </w:p>
    <w:p w:rsidR="00000000" w:rsidRPr="00316772" w:rsidP="00316772">
      <w:pPr>
        <w:pStyle w:val="BodyText"/>
      </w:pPr>
      <w:r w:rsidRPr="00316772">
        <w:t>Not Applicable</w:t>
      </w:r>
    </w:p>
    <w:p w:rsidR="00000000" w:rsidRPr="00316772" w:rsidP="00316772">
      <w:pPr>
        <w:pStyle w:val="AllowPageBreak"/>
      </w:pPr>
    </w:p>
    <w:p w:rsidR="00000000" w:rsidRPr="00316772" w:rsidP="00316772">
      <w:pPr>
        <w:pStyle w:val="Heading1"/>
      </w:pPr>
      <w:bookmarkStart w:id="8" w:name="O_913329"/>
      <w:bookmarkEnd w:id="8"/>
      <w:r w:rsidRPr="00316772">
        <w:t>Unit Mapping Information</w:t>
      </w:r>
    </w:p>
    <w:p w:rsidR="00000000" w:rsidRPr="00316772" w:rsidP="00316772">
      <w:pPr>
        <w:pStyle w:val="BodyText"/>
      </w:pPr>
      <w:r w:rsidRPr="00316772">
        <w:t>FPPRES260A Receive materials</w:t>
      </w:r>
    </w:p>
    <w:p w:rsidR="00000000" w:rsidRPr="00316772" w:rsidP="00316772">
      <w:pPr>
        <w:pStyle w:val="AllowPageBreak"/>
      </w:pPr>
    </w:p>
    <w:p w:rsidR="00000000" w:rsidRPr="00316772" w:rsidP="00316772">
      <w:pPr>
        <w:pStyle w:val="Heading1"/>
      </w:pPr>
      <w:bookmarkStart w:id="9" w:name="O_913336"/>
      <w:bookmarkEnd w:id="9"/>
      <w:r w:rsidRPr="00316772">
        <w:t>Links</w:t>
      </w:r>
    </w:p>
    <w:p w:rsidR="00000000" w:rsidRPr="00316772" w:rsidP="00316772">
      <w:pPr>
        <w:pStyle w:val="BodyText"/>
      </w:pPr>
      <w:r w:rsidRPr="00316772">
        <w:t>Companion Volume implementation guides are found in VETNet - https://vetnet.education.gov.au/Pages/TrainingPackages.aspx/Pages/Home.aspx</w:t>
      </w:r>
    </w:p>
    <w:p w:rsidR="00000000" w:rsidRPr="00316772" w:rsidP="00316772"/>
    <w:sectPr w:rsidSect="0031677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7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772" w:rsidRPr="000D650A" w:rsidP="000D65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7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50A" w:rsidP="003167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D650A" w:rsidP="003167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D650A" w:rsidP="0031677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7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50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16772" w:rsidRPr="000D650A" w:rsidP="000D650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7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50A" w:rsidRPr="002D2AF8" w:rsidP="003167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PPMRES260 Receive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October 2018</w:t>
    </w:r>
    <w:r>
      <w:fldChar w:fldCharType="end"/>
    </w:r>
  </w:p>
  <w:p w:rsidR="000D650A" w:rsidP="0031677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FE21F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2381A6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67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167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67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67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67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67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67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67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67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67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67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6772"/>
  </w:style>
  <w:style w:type="character" w:customStyle="1" w:styleId="Heading1Char">
    <w:name w:val="Heading 1 Char"/>
    <w:basedOn w:val="DefaultParagraphFont"/>
    <w:link w:val="Heading1"/>
    <w:rsid w:val="003167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1677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677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1677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16772"/>
    <w:rPr>
      <w:b/>
      <w:spacing w:val="0"/>
    </w:rPr>
  </w:style>
  <w:style w:type="character" w:styleId="Emphasis">
    <w:name w:val="Emphasis"/>
    <w:basedOn w:val="DefaultParagraphFont"/>
    <w:qFormat/>
    <w:rsid w:val="00316772"/>
    <w:rPr>
      <w:i/>
    </w:rPr>
  </w:style>
  <w:style w:type="paragraph" w:customStyle="1" w:styleId="SuperHeading">
    <w:name w:val="SuperHeading"/>
    <w:basedOn w:val="Normal"/>
    <w:rsid w:val="0031677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167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167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67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677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67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67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67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167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1677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167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67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67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67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67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167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677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167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67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677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1677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167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167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67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67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1677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167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677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167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67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167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67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67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67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677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167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67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67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6772"/>
  </w:style>
  <w:style w:type="paragraph" w:styleId="TableofFigures">
    <w:name w:val="table of figures"/>
    <w:basedOn w:val="Normal"/>
    <w:next w:val="Normal"/>
    <w:semiHidden/>
    <w:rsid w:val="003167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6772"/>
    <w:pPr>
      <w:numPr>
        <w:numId w:val="10"/>
      </w:numPr>
    </w:pPr>
  </w:style>
  <w:style w:type="character" w:customStyle="1" w:styleId="WingdingSymbols">
    <w:name w:val="Wingding Symbols"/>
    <w:rsid w:val="00316772"/>
    <w:rPr>
      <w:rFonts w:ascii="Wingdings" w:hAnsi="Wingdings"/>
    </w:rPr>
  </w:style>
  <w:style w:type="paragraph" w:customStyle="1" w:styleId="TableHeading">
    <w:name w:val="Table Heading"/>
    <w:basedOn w:val="HeadingBase"/>
    <w:rsid w:val="0031677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16772"/>
    <w:rPr>
      <w:color w:val="0033CC"/>
      <w:u w:val="none"/>
    </w:rPr>
  </w:style>
  <w:style w:type="paragraph" w:customStyle="1" w:styleId="BodyTextRight">
    <w:name w:val="Body Text Right"/>
    <w:basedOn w:val="BodyText"/>
    <w:rsid w:val="003167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67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677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67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67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677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16772"/>
    <w:rPr>
      <w:sz w:val="32"/>
    </w:rPr>
  </w:style>
  <w:style w:type="paragraph" w:customStyle="1" w:styleId="HeadingProcedure">
    <w:name w:val="Heading Procedure"/>
    <w:basedOn w:val="HeadingBase"/>
    <w:next w:val="Normal"/>
    <w:rsid w:val="003167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6772"/>
    <w:pPr>
      <w:spacing w:before="60" w:after="60"/>
    </w:pPr>
  </w:style>
  <w:style w:type="paragraph" w:styleId="ListContinue">
    <w:name w:val="List Continue"/>
    <w:basedOn w:val="List"/>
    <w:rsid w:val="00316772"/>
    <w:pPr>
      <w:ind w:firstLine="0"/>
    </w:pPr>
  </w:style>
  <w:style w:type="paragraph" w:customStyle="1" w:styleId="ListNote">
    <w:name w:val="List Note"/>
    <w:basedOn w:val="List"/>
    <w:rsid w:val="003167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67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67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6772"/>
    <w:rPr>
      <w:rFonts w:ascii="Courier New" w:hAnsi="Courier New"/>
    </w:rPr>
  </w:style>
  <w:style w:type="paragraph" w:customStyle="1" w:styleId="NoteBullet">
    <w:name w:val="Note Bullet"/>
    <w:basedOn w:val="Note"/>
    <w:rsid w:val="003167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67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67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67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677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167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677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16772"/>
    <w:rPr>
      <w:b/>
      <w:smallCaps/>
    </w:rPr>
  </w:style>
  <w:style w:type="paragraph" w:customStyle="1" w:styleId="TableListNumber">
    <w:name w:val="Table List Number"/>
    <w:basedOn w:val="ListNumber"/>
    <w:rsid w:val="003167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67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6772"/>
    <w:pPr>
      <w:numPr>
        <w:numId w:val="8"/>
      </w:numPr>
    </w:pPr>
  </w:style>
  <w:style w:type="paragraph" w:customStyle="1" w:styleId="ListAlpha2">
    <w:name w:val="List Alpha 2"/>
    <w:basedOn w:val="List2"/>
    <w:rsid w:val="00316772"/>
    <w:pPr>
      <w:numPr>
        <w:numId w:val="7"/>
      </w:numPr>
    </w:pPr>
  </w:style>
  <w:style w:type="paragraph" w:styleId="List2">
    <w:name w:val="List 2"/>
    <w:basedOn w:val="BodyText"/>
    <w:rsid w:val="0031677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167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67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677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1677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1677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16772"/>
    <w:pPr>
      <w:numPr>
        <w:numId w:val="3"/>
      </w:numPr>
    </w:pPr>
  </w:style>
  <w:style w:type="paragraph" w:styleId="ListContinue2">
    <w:name w:val="List Continue 2"/>
    <w:basedOn w:val="List2"/>
    <w:rsid w:val="00316772"/>
    <w:pPr>
      <w:ind w:firstLine="0"/>
    </w:pPr>
  </w:style>
  <w:style w:type="paragraph" w:styleId="ListContinue3">
    <w:name w:val="List Continue 3"/>
    <w:basedOn w:val="List3"/>
    <w:rsid w:val="00316772"/>
    <w:pPr>
      <w:ind w:left="1021" w:firstLine="0"/>
    </w:pPr>
  </w:style>
  <w:style w:type="paragraph" w:styleId="ListContinue4">
    <w:name w:val="List Continue 4"/>
    <w:basedOn w:val="List4"/>
    <w:rsid w:val="00316772"/>
    <w:pPr>
      <w:ind w:firstLine="0"/>
    </w:pPr>
  </w:style>
  <w:style w:type="paragraph" w:styleId="ListContinue5">
    <w:name w:val="List Continue 5"/>
    <w:basedOn w:val="List5"/>
    <w:rsid w:val="00316772"/>
    <w:pPr>
      <w:ind w:firstLine="0"/>
    </w:pPr>
  </w:style>
  <w:style w:type="paragraph" w:styleId="ListNumber3">
    <w:name w:val="List Number 3"/>
    <w:basedOn w:val="List3"/>
    <w:rsid w:val="00316772"/>
    <w:pPr>
      <w:numPr>
        <w:numId w:val="4"/>
      </w:numPr>
    </w:pPr>
  </w:style>
  <w:style w:type="paragraph" w:styleId="ListNumber4">
    <w:name w:val="List Number 4"/>
    <w:basedOn w:val="List4"/>
    <w:rsid w:val="00316772"/>
    <w:pPr>
      <w:numPr>
        <w:numId w:val="5"/>
      </w:numPr>
    </w:pPr>
  </w:style>
  <w:style w:type="paragraph" w:styleId="ListNumber5">
    <w:name w:val="List Number 5"/>
    <w:basedOn w:val="List5"/>
    <w:rsid w:val="00316772"/>
    <w:pPr>
      <w:numPr>
        <w:numId w:val="6"/>
      </w:numPr>
    </w:pPr>
  </w:style>
  <w:style w:type="paragraph" w:styleId="BlockText">
    <w:name w:val="Block Text"/>
    <w:basedOn w:val="Normal"/>
    <w:rsid w:val="003167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67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6772"/>
    <w:rPr>
      <w:sz w:val="16"/>
      <w:vertAlign w:val="superscript"/>
    </w:rPr>
  </w:style>
  <w:style w:type="character" w:customStyle="1" w:styleId="Symbols">
    <w:name w:val="Symbols"/>
    <w:basedOn w:val="DefaultParagraphFont"/>
    <w:rsid w:val="00316772"/>
    <w:rPr>
      <w:rFonts w:ascii="Symbol" w:hAnsi="Symbol"/>
    </w:rPr>
  </w:style>
  <w:style w:type="character" w:customStyle="1" w:styleId="MenuOptions">
    <w:name w:val="Menu Options"/>
    <w:basedOn w:val="DefaultParagraphFont"/>
    <w:rsid w:val="003167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6772"/>
    <w:rPr>
      <w:b/>
    </w:rPr>
  </w:style>
  <w:style w:type="character" w:customStyle="1" w:styleId="Underlined">
    <w:name w:val="Underlined"/>
    <w:basedOn w:val="DefaultParagraphFont"/>
    <w:rsid w:val="00316772"/>
    <w:rPr>
      <w:u w:val="single"/>
    </w:rPr>
  </w:style>
  <w:style w:type="paragraph" w:customStyle="1" w:styleId="TableBodyTextRight">
    <w:name w:val="Table Body Text Right"/>
    <w:basedOn w:val="TableBodyText"/>
    <w:rsid w:val="003167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6772"/>
    <w:rPr>
      <w:sz w:val="18"/>
    </w:rPr>
  </w:style>
  <w:style w:type="paragraph" w:customStyle="1" w:styleId="BodySmallRight">
    <w:name w:val="Body Small Right"/>
    <w:basedOn w:val="BodyTextRight"/>
    <w:rsid w:val="00316772"/>
    <w:rPr>
      <w:sz w:val="18"/>
      <w:szCs w:val="18"/>
    </w:rPr>
  </w:style>
  <w:style w:type="paragraph" w:customStyle="1" w:styleId="MarginEdition">
    <w:name w:val="Margin Edition"/>
    <w:basedOn w:val="MarginNote"/>
    <w:rsid w:val="003167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6772"/>
    <w:rPr>
      <w:sz w:val="2"/>
      <w:szCs w:val="2"/>
    </w:rPr>
  </w:style>
  <w:style w:type="character" w:customStyle="1" w:styleId="Small">
    <w:name w:val="Small"/>
    <w:basedOn w:val="DefaultParagraphFont"/>
    <w:rsid w:val="00316772"/>
    <w:rPr>
      <w:sz w:val="16"/>
    </w:rPr>
  </w:style>
  <w:style w:type="paragraph" w:customStyle="1" w:styleId="WideTable">
    <w:name w:val="Wide Table"/>
    <w:basedOn w:val="Normal"/>
    <w:rsid w:val="003167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6772"/>
  </w:style>
  <w:style w:type="paragraph" w:styleId="Quote">
    <w:name w:val="Quote"/>
    <w:basedOn w:val="Heading1"/>
    <w:link w:val="QuoteChar"/>
    <w:qFormat/>
    <w:rsid w:val="003167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67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6772"/>
    <w:pPr>
      <w:pageBreakBefore/>
    </w:pPr>
  </w:style>
  <w:style w:type="paragraph" w:customStyle="1" w:styleId="Border">
    <w:name w:val="Border"/>
    <w:basedOn w:val="Normal"/>
    <w:qFormat/>
    <w:rsid w:val="003167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67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67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677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167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67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67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67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67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6772"/>
    <w:rPr>
      <w:u w:val="single"/>
    </w:rPr>
  </w:style>
  <w:style w:type="character" w:customStyle="1" w:styleId="BoldandItalics">
    <w:name w:val="Bold and Italics"/>
    <w:qFormat/>
    <w:rsid w:val="00316772"/>
    <w:rPr>
      <w:b/>
      <w:i/>
      <w:u w:val="none"/>
    </w:rPr>
  </w:style>
  <w:style w:type="paragraph" w:styleId="BalloonText">
    <w:name w:val="Balloon Text"/>
    <w:basedOn w:val="Normal"/>
    <w:link w:val="BalloonTextChar"/>
    <w:rsid w:val="003167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677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1677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677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1677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1677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16772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428</Words>
  <Characters>2713</Characters>
  <Application>Microsoft Office Word</Application>
  <DocSecurity>0</DocSecurity>
  <Lines>99</Lines>
  <Paragraphs>59</Paragraphs>
  <ScaleCrop>false</ScaleCrop>
  <Company>Author-it Software Corporation Ltd.</Company>
  <LinksUpToDate>false</LinksUpToDate>
  <CharactersWithSpaces>3094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PPMRES260 Receive materials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2018-10-24T01:33:00Z</dcterms:created>
  <dcterms:modified xsi:type="dcterms:W3CDTF">2018-10-24T01:33:00Z</dcterms:modified>
</cp:coreProperties>
</file>