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37F" w:rsidP="008E3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PPMPRV210 Operate ancillary equipment</w:t>
      </w:r>
      <w:r>
        <w:fldChar w:fldCharType="end"/>
      </w:r>
    </w:p>
    <w:p w:rsidR="008E337F" w:rsidP="008E337F">
      <w:pPr>
        <w:pStyle w:val="Version"/>
        <w:sectPr w:rsidSect="00FC0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5B2" w:rsidP="00FC05B2">
      <w:pPr>
        <w:pStyle w:val="SuperHeading"/>
      </w:pPr>
      <w:r w:rsidRPr="00FC05B2">
        <w:t>PPMPRV210 Operate ancillary equipment</w:t>
      </w:r>
    </w:p>
    <w:p w:rsidR="00000000" w:rsidRPr="00FC05B2" w:rsidP="00FC05B2">
      <w:pPr>
        <w:pStyle w:val="Heading1"/>
      </w:pPr>
      <w:bookmarkStart w:id="1" w:name="O_912903"/>
      <w:bookmarkEnd w:id="1"/>
      <w:r w:rsidRPr="00FC05B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rPr>
                <w:rStyle w:val="SpecialBold"/>
              </w:rPr>
              <w:t>Comment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t>Replaces superseded equivalent FPPPRV210A Operate ancillary equipment, which was first released with FPP10 Pulp and Paper Manufacturing Industry Training Package Version 1.0.</w:t>
            </w:r>
          </w:p>
          <w:p w:rsidR="00000000" w:rsidRPr="00FC05B2" w:rsidP="00FC05B2">
            <w:pPr>
              <w:pStyle w:val="BodyText"/>
            </w:pPr>
            <w:r w:rsidRPr="00FC05B2">
              <w:t>This is the first release of this unit in</w:t>
            </w:r>
            <w:r w:rsidRPr="00FC05B2">
              <w:t xml:space="preserve"> the new standards format.</w:t>
            </w:r>
          </w:p>
        </w:tc>
      </w:tr>
    </w:tbl>
    <w:p w:rsidR="00000000" w:rsidRPr="00FC05B2" w:rsidP="00FC05B2">
      <w:pPr>
        <w:pStyle w:val="BodyText"/>
      </w:pP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2" w:name="O_912904"/>
      <w:bookmarkEnd w:id="2"/>
      <w:r w:rsidRPr="00FC05B2">
        <w:t>Application</w:t>
      </w:r>
    </w:p>
    <w:p w:rsidR="00000000" w:rsidRPr="00FC05B2" w:rsidP="00FC05B2">
      <w:pPr>
        <w:pStyle w:val="BodyText"/>
      </w:pPr>
      <w:r w:rsidRPr="00FC05B2">
        <w:t>This unit of competency describes the outcomes required to operate ancillary stand-alone items of equipment which support production operations. The ancillary equipment may be remote from the main p</w:t>
      </w:r>
      <w:r w:rsidRPr="00FC05B2">
        <w:t>roduction unit or machine, in close proximity or attached but not a part of the main operating production unit or machine. Ancillary equipment can be complex and non-complex equipment which may either operate continuously or intermittently.</w:t>
      </w:r>
    </w:p>
    <w:p w:rsidR="00000000" w:rsidRPr="00FC05B2" w:rsidP="00FC05B2">
      <w:pPr>
        <w:pStyle w:val="BodyText"/>
      </w:pPr>
      <w:r w:rsidRPr="00FC05B2">
        <w:t>The unit applie</w:t>
      </w:r>
      <w:r w:rsidRPr="00FC05B2">
        <w:t>s to production operators and technicians who work in a pulp and paper manufacturing facility who require different skills and knowledge to the operators of the main production unit or machine.</w:t>
      </w:r>
    </w:p>
    <w:p w:rsidR="00000000" w:rsidRPr="00FC05B2" w:rsidP="00FC05B2">
      <w:pPr>
        <w:pStyle w:val="BodyText"/>
      </w:pPr>
      <w:r w:rsidRPr="00FC05B2">
        <w:t>No licensing, legislative, regulatory, or certification requir</w:t>
      </w:r>
      <w:r w:rsidRPr="00FC05B2">
        <w:t>ements apply to this unit at the time of publication.</w:t>
      </w: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3" w:name="O_912905"/>
      <w:bookmarkEnd w:id="3"/>
      <w:r w:rsidRPr="00FC05B2">
        <w:t>Pre-requisite Unit</w:t>
      </w:r>
    </w:p>
    <w:p w:rsidR="00000000" w:rsidRPr="00FC05B2" w:rsidP="00FC05B2">
      <w:pPr>
        <w:pStyle w:val="BodyText"/>
      </w:pPr>
      <w:r w:rsidRPr="00FC05B2">
        <w:t>Nil</w:t>
      </w: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4" w:name="O_912907"/>
      <w:bookmarkEnd w:id="4"/>
      <w:r w:rsidRPr="00FC05B2">
        <w:t>Unit Sector</w:t>
      </w:r>
    </w:p>
    <w:p w:rsidR="00000000" w:rsidRPr="00FC05B2" w:rsidP="00FC05B2">
      <w:pPr>
        <w:pStyle w:val="BodyText"/>
      </w:pPr>
      <w:r w:rsidRPr="00FC05B2">
        <w:t>Pulp and Paper Manufacturing</w:t>
      </w: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5" w:name="O_912908"/>
      <w:bookmarkEnd w:id="5"/>
      <w:r w:rsidRPr="00FC05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rPr>
                <w:rStyle w:val="SpecialBold"/>
              </w:rPr>
              <w:t>PERFORMANCE CRITERIA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 xml:space="preserve">Elements describe </w:t>
            </w:r>
            <w:r w:rsidRPr="00FC05B2"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 xml:space="preserve">1. Start up ancillary </w:t>
            </w:r>
            <w:r w:rsidRPr="00FC05B2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t>1.1. Ch</w:t>
            </w:r>
            <w:r w:rsidRPr="00FC05B2">
              <w:t xml:space="preserve">eck production requirements at start of shift and plan daily work </w:t>
            </w:r>
            <w:r w:rsidRPr="00FC05B2">
              <w:t>activities in line with organisational safety and standard operating procedures.</w:t>
            </w:r>
          </w:p>
          <w:p w:rsidR="00000000" w:rsidRPr="00FC05B2" w:rsidP="00FC05B2">
            <w:pPr>
              <w:pStyle w:val="BodyText"/>
            </w:pPr>
            <w:r w:rsidRPr="00FC05B2">
              <w:t>1.2. Remove isolations and prepare ancillary equipment for startup.</w:t>
            </w:r>
          </w:p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1.3. Start up ancillary equipment and con</w:t>
            </w:r>
            <w:r w:rsidRPr="00FC05B2">
              <w:t>firm operational settings to required specification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2. Monitor and control ancillary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t>2.1. Monitor ancillary equipment to ensure operations are within parameters.</w:t>
            </w:r>
          </w:p>
          <w:p w:rsidR="00000000" w:rsidRPr="00FC05B2" w:rsidP="00FC05B2">
            <w:pPr>
              <w:pStyle w:val="BodyText"/>
            </w:pPr>
            <w:r w:rsidRPr="00FC05B2">
              <w:t>2.2. Identify, rectify or report routine variations from specification.</w:t>
            </w:r>
          </w:p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2.3. Complete routine preventative maintenance in line with maintenance schedules.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3. Shut down ancillary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t>3.1. Use maintenance schedules or work area instructions to co-ordinate planned shutdown of ancillary equipment.</w:t>
            </w:r>
          </w:p>
          <w:p w:rsidR="00000000" w:rsidRPr="00FC05B2" w:rsidP="00FC05B2">
            <w:pPr>
              <w:pStyle w:val="BodyText"/>
            </w:pPr>
            <w:r w:rsidRPr="00FC05B2">
              <w:t>3.2. Follow organisational</w:t>
            </w:r>
            <w:r w:rsidRPr="00FC05B2">
              <w:t xml:space="preserve"> safety and standard operating procedures to initiate appropriate isolations and shut down equipment as planned.</w:t>
            </w:r>
          </w:p>
          <w:p w:rsidR="00000000" w:rsidRPr="00FC05B2" w:rsidP="00FC05B2">
            <w:pPr>
              <w:pStyle w:val="BodyText"/>
            </w:pPr>
            <w:r w:rsidRPr="00FC05B2">
              <w:t>3.3. Respond to unplanned shutdown immediately.</w:t>
            </w:r>
          </w:p>
          <w:p w:rsidR="00000000" w:rsidRPr="00FC05B2" w:rsidP="00FC05B2">
            <w:pPr>
              <w:pStyle w:val="BodyText"/>
            </w:pPr>
            <w:r w:rsidRPr="00FC05B2">
              <w:t>3.4. Initiate appropriate isolations, identify and locate cause of unplanned shutdown.</w:t>
            </w:r>
          </w:p>
          <w:p w:rsidR="00000000" w:rsidRPr="00FC05B2" w:rsidP="00FC05B2">
            <w:pPr>
              <w:pStyle w:val="BodyText"/>
            </w:pPr>
            <w:r w:rsidRPr="00FC05B2">
              <w:t>3.5. Ass</w:t>
            </w:r>
            <w:r w:rsidRPr="00FC05B2">
              <w:t>ess effects of unplanned shutdown to determine impact on operations.</w:t>
            </w:r>
          </w:p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3.6. Rectify equipment and restart or report to relevant personnel for restart action.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4. Record and report equipment and process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BodyText"/>
            </w:pPr>
            <w:r w:rsidRPr="00FC05B2">
              <w:t>4.1. Interpret equipment and process data and enter</w:t>
            </w:r>
            <w:r w:rsidRPr="00FC05B2">
              <w:t xml:space="preserve"> into recording system.</w:t>
            </w:r>
          </w:p>
          <w:p w:rsidR="00000000" w:rsidRPr="00FC05B2" w:rsidP="00FC05B2">
            <w:pPr>
              <w:pStyle w:val="BodyText"/>
            </w:pPr>
            <w:r w:rsidRPr="00FC05B2">
              <w:t>4.2. Communicate problems or variations with equipment or process to relevant personnel.</w:t>
            </w:r>
          </w:p>
        </w:tc>
      </w:tr>
    </w:tbl>
    <w:p w:rsidR="00000000" w:rsidRPr="00FC05B2" w:rsidP="00FC05B2">
      <w:pPr>
        <w:pStyle w:val="BodyText"/>
      </w:pP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6" w:name="O_912909"/>
      <w:bookmarkEnd w:id="6"/>
      <w:r w:rsidRPr="00FC05B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This section describes those core and employment skills that are essential to performance and are not expl</w:t>
            </w:r>
            <w:r w:rsidRPr="00FC05B2">
              <w:t>icit in the performance criteria.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ListBullet"/>
            </w:pPr>
            <w:r w:rsidRPr="00FC05B2">
              <w:t>interpret basic numerical settings on instruments, gauges and data recording equipment</w:t>
            </w:r>
          </w:p>
          <w:p w:rsidR="00000000" w:rsidP="00FC05B2">
            <w:pPr>
              <w:pStyle w:val="ListBullet"/>
              <w:rPr>
                <w:lang w:val="en-NZ"/>
              </w:rPr>
            </w:pPr>
            <w:r w:rsidRPr="00FC05B2">
              <w:t>record basic numerical data for equipment and processes.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ListBullet"/>
              <w:rPr>
                <w:lang w:val="en-NZ"/>
              </w:rPr>
            </w:pPr>
            <w:r w:rsidRPr="00FC05B2">
              <w:t>provide clear basic information about problems or variations with equipment and process.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ListBullet"/>
            </w:pPr>
            <w:r w:rsidRPr="00FC05B2">
              <w:t>interpret:</w:t>
            </w:r>
          </w:p>
          <w:p w:rsidR="00000000" w:rsidRPr="00FC05B2" w:rsidP="00FC05B2">
            <w:pPr>
              <w:pStyle w:val="ListBullet2"/>
            </w:pPr>
            <w:r w:rsidRPr="00FC05B2">
              <w:t>workplace health and safety and standard operating procedures</w:t>
            </w:r>
          </w:p>
          <w:p w:rsidR="00000000" w:rsidP="00FC05B2">
            <w:pPr>
              <w:pStyle w:val="ListBullet2"/>
              <w:rPr>
                <w:lang w:val="en-NZ"/>
              </w:rPr>
            </w:pPr>
            <w:r w:rsidRPr="00FC05B2">
              <w:t>maintenance schedules and work area instructions.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ListBullet"/>
              <w:rPr>
                <w:lang w:val="en-NZ"/>
              </w:rPr>
            </w:pPr>
            <w:r w:rsidRPr="00FC05B2">
              <w:t>complete accurate basic records for processes, equipment startup, shutdown and problems.</w:t>
            </w:r>
          </w:p>
        </w:tc>
      </w:tr>
      <w:tr w:rsidTr="008E3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B2">
            <w:pPr>
              <w:pStyle w:val="BodyText"/>
              <w:rPr>
                <w:lang w:val="en-NZ"/>
              </w:rPr>
            </w:pPr>
            <w:r w:rsidRPr="00FC05B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B2" w:rsidP="00FC05B2">
            <w:pPr>
              <w:pStyle w:val="ListBullet"/>
            </w:pPr>
            <w:r w:rsidRPr="00FC05B2">
              <w:t>use and assess sensory information (sight, sound, touch, smell, vibration, temperature) to respond to equipment faults.</w:t>
            </w:r>
          </w:p>
        </w:tc>
      </w:tr>
    </w:tbl>
    <w:p w:rsidR="00000000" w:rsidRPr="00FC05B2" w:rsidP="00FC05B2">
      <w:pPr>
        <w:pStyle w:val="BodyText"/>
      </w:pP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7" w:name="O_912910"/>
      <w:bookmarkEnd w:id="7"/>
      <w:r w:rsidRPr="00FC05B2">
        <w:t>Range of Conditions</w:t>
      </w:r>
    </w:p>
    <w:p w:rsidR="00000000" w:rsidRPr="00FC05B2" w:rsidP="00FC05B2">
      <w:pPr>
        <w:pStyle w:val="BodyText"/>
      </w:pPr>
      <w:r w:rsidRPr="00FC05B2">
        <w:t>Not Applicable</w:t>
      </w: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8" w:name="O_912911"/>
      <w:bookmarkEnd w:id="8"/>
      <w:r w:rsidRPr="00FC05B2">
        <w:t>Unit Mapping Information</w:t>
      </w:r>
    </w:p>
    <w:p w:rsidR="00000000" w:rsidRPr="00FC05B2" w:rsidP="00FC05B2">
      <w:pPr>
        <w:pStyle w:val="BodyText"/>
      </w:pPr>
      <w:r w:rsidRPr="00FC05B2">
        <w:t>FPPPRV210A Operate ancillary equipment</w:t>
      </w:r>
    </w:p>
    <w:p w:rsidR="00000000" w:rsidRPr="00FC05B2" w:rsidP="00FC05B2">
      <w:pPr>
        <w:pStyle w:val="AllowPageBreak"/>
      </w:pPr>
    </w:p>
    <w:p w:rsidR="00000000" w:rsidRPr="00FC05B2" w:rsidP="00FC05B2">
      <w:pPr>
        <w:pStyle w:val="Heading1"/>
      </w:pPr>
      <w:bookmarkStart w:id="9" w:name="O_912918"/>
      <w:bookmarkEnd w:id="9"/>
      <w:r w:rsidRPr="00FC05B2">
        <w:t>Links</w:t>
      </w:r>
    </w:p>
    <w:p w:rsidR="00000000" w:rsidRPr="00FC05B2" w:rsidP="00FC05B2">
      <w:pPr>
        <w:pStyle w:val="BodyText"/>
      </w:pPr>
      <w:r w:rsidRPr="00FC05B2">
        <w:t>Companion Volume implementation guides are found in VETNet - https://vetnet.education.gov.au/Pages/TrainingPa</w:t>
      </w:r>
      <w:r w:rsidRPr="00FC05B2">
        <w:t>ckages.aspx/Pages/Home.aspx</w:t>
      </w:r>
    </w:p>
    <w:p w:rsidR="00000000" w:rsidRPr="00FC05B2" w:rsidP="00FC05B2"/>
    <w:sectPr w:rsidSect="00FC0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B2" w:rsidRPr="008E337F" w:rsidP="008E3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7F" w:rsidP="00FC0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37F" w:rsidP="00FC0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337F" w:rsidP="00FC0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5B2" w:rsidRPr="008E337F" w:rsidP="008E3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7F" w:rsidRPr="002D2AF8" w:rsidP="00FC0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PPMPRV210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E337F" w:rsidP="00FC0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362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C7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63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5B2"/>
  </w:style>
  <w:style w:type="character" w:customStyle="1" w:styleId="Heading1Char">
    <w:name w:val="Heading 1 Char"/>
    <w:basedOn w:val="DefaultParagraphFont"/>
    <w:link w:val="Heading1"/>
    <w:rsid w:val="00FC0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5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5B2"/>
    <w:rPr>
      <w:b/>
      <w:spacing w:val="0"/>
    </w:rPr>
  </w:style>
  <w:style w:type="paragraph" w:styleId="ListBullet2">
    <w:name w:val="List Bullet 2"/>
    <w:basedOn w:val="List2"/>
    <w:rsid w:val="00FC05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5B2"/>
    <w:rPr>
      <w:i/>
    </w:rPr>
  </w:style>
  <w:style w:type="paragraph" w:styleId="Caption">
    <w:name w:val="caption"/>
    <w:basedOn w:val="BodyText"/>
    <w:next w:val="Normal"/>
    <w:qFormat/>
    <w:rsid w:val="00FC0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5B2"/>
  </w:style>
  <w:style w:type="paragraph" w:styleId="TableofFigures">
    <w:name w:val="table of figures"/>
    <w:basedOn w:val="Normal"/>
    <w:next w:val="Normal"/>
    <w:semiHidden/>
    <w:rsid w:val="00FC0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5B2"/>
    <w:pPr>
      <w:numPr>
        <w:numId w:val="11"/>
      </w:numPr>
    </w:pPr>
  </w:style>
  <w:style w:type="character" w:customStyle="1" w:styleId="WingdingSymbols">
    <w:name w:val="Wingding Symbols"/>
    <w:rsid w:val="00FC05B2"/>
    <w:rPr>
      <w:rFonts w:ascii="Wingdings" w:hAnsi="Wingdings"/>
    </w:rPr>
  </w:style>
  <w:style w:type="paragraph" w:customStyle="1" w:styleId="TableHeading">
    <w:name w:val="Table Heading"/>
    <w:basedOn w:val="HeadingBase"/>
    <w:rsid w:val="00FC0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5B2"/>
    <w:rPr>
      <w:color w:val="0033CC"/>
      <w:u w:val="none"/>
    </w:rPr>
  </w:style>
  <w:style w:type="paragraph" w:customStyle="1" w:styleId="BodyTextRight">
    <w:name w:val="Body Text Right"/>
    <w:basedOn w:val="BodyText"/>
    <w:rsid w:val="00FC0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5B2"/>
    <w:rPr>
      <w:sz w:val="32"/>
    </w:rPr>
  </w:style>
  <w:style w:type="paragraph" w:customStyle="1" w:styleId="HeadingProcedure">
    <w:name w:val="Heading Procedure"/>
    <w:basedOn w:val="HeadingBase"/>
    <w:next w:val="Normal"/>
    <w:rsid w:val="00FC0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5B2"/>
    <w:pPr>
      <w:spacing w:before="60" w:after="60"/>
    </w:pPr>
  </w:style>
  <w:style w:type="paragraph" w:styleId="ListContinue">
    <w:name w:val="List Continue"/>
    <w:basedOn w:val="List"/>
    <w:rsid w:val="00FC05B2"/>
    <w:pPr>
      <w:ind w:firstLine="0"/>
    </w:pPr>
  </w:style>
  <w:style w:type="paragraph" w:customStyle="1" w:styleId="ListNote">
    <w:name w:val="List Note"/>
    <w:basedOn w:val="List"/>
    <w:rsid w:val="00FC0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5B2"/>
    <w:rPr>
      <w:rFonts w:ascii="Courier New" w:hAnsi="Courier New"/>
    </w:rPr>
  </w:style>
  <w:style w:type="paragraph" w:customStyle="1" w:styleId="NoteBullet">
    <w:name w:val="Note Bullet"/>
    <w:basedOn w:val="Note"/>
    <w:rsid w:val="00FC0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5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0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5B2"/>
    <w:rPr>
      <w:b/>
      <w:smallCaps/>
    </w:rPr>
  </w:style>
  <w:style w:type="paragraph" w:customStyle="1" w:styleId="TableListNumber">
    <w:name w:val="Table List Number"/>
    <w:basedOn w:val="ListNumber"/>
    <w:rsid w:val="00FC0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5B2"/>
    <w:pPr>
      <w:numPr>
        <w:numId w:val="9"/>
      </w:numPr>
    </w:pPr>
  </w:style>
  <w:style w:type="paragraph" w:customStyle="1" w:styleId="ListAlpha2">
    <w:name w:val="List Alpha 2"/>
    <w:basedOn w:val="List2"/>
    <w:rsid w:val="00FC05B2"/>
    <w:pPr>
      <w:numPr>
        <w:numId w:val="8"/>
      </w:numPr>
    </w:pPr>
  </w:style>
  <w:style w:type="paragraph" w:styleId="List2">
    <w:name w:val="List 2"/>
    <w:basedOn w:val="BodyText"/>
    <w:rsid w:val="00FC0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5B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5B2"/>
    <w:pPr>
      <w:numPr>
        <w:numId w:val="4"/>
      </w:numPr>
    </w:pPr>
  </w:style>
  <w:style w:type="paragraph" w:styleId="ListContinue2">
    <w:name w:val="List Continue 2"/>
    <w:basedOn w:val="List2"/>
    <w:rsid w:val="00FC05B2"/>
    <w:pPr>
      <w:ind w:firstLine="0"/>
    </w:pPr>
  </w:style>
  <w:style w:type="paragraph" w:styleId="ListContinue3">
    <w:name w:val="List Continue 3"/>
    <w:basedOn w:val="List3"/>
    <w:rsid w:val="00FC05B2"/>
    <w:pPr>
      <w:ind w:left="1021" w:firstLine="0"/>
    </w:pPr>
  </w:style>
  <w:style w:type="paragraph" w:styleId="ListContinue4">
    <w:name w:val="List Continue 4"/>
    <w:basedOn w:val="List4"/>
    <w:rsid w:val="00FC05B2"/>
    <w:pPr>
      <w:ind w:firstLine="0"/>
    </w:pPr>
  </w:style>
  <w:style w:type="paragraph" w:styleId="ListContinue5">
    <w:name w:val="List Continue 5"/>
    <w:basedOn w:val="List5"/>
    <w:rsid w:val="00FC05B2"/>
    <w:pPr>
      <w:ind w:firstLine="0"/>
    </w:pPr>
  </w:style>
  <w:style w:type="paragraph" w:styleId="ListNumber3">
    <w:name w:val="List Number 3"/>
    <w:basedOn w:val="List3"/>
    <w:rsid w:val="00FC05B2"/>
    <w:pPr>
      <w:numPr>
        <w:numId w:val="5"/>
      </w:numPr>
    </w:pPr>
  </w:style>
  <w:style w:type="paragraph" w:styleId="ListNumber4">
    <w:name w:val="List Number 4"/>
    <w:basedOn w:val="List4"/>
    <w:rsid w:val="00FC05B2"/>
    <w:pPr>
      <w:numPr>
        <w:numId w:val="6"/>
      </w:numPr>
    </w:pPr>
  </w:style>
  <w:style w:type="paragraph" w:styleId="ListNumber5">
    <w:name w:val="List Number 5"/>
    <w:basedOn w:val="List5"/>
    <w:rsid w:val="00FC05B2"/>
    <w:pPr>
      <w:numPr>
        <w:numId w:val="7"/>
      </w:numPr>
    </w:pPr>
  </w:style>
  <w:style w:type="paragraph" w:styleId="BlockText">
    <w:name w:val="Block Text"/>
    <w:basedOn w:val="Normal"/>
    <w:rsid w:val="00FC0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5B2"/>
    <w:rPr>
      <w:sz w:val="16"/>
      <w:vertAlign w:val="superscript"/>
    </w:rPr>
  </w:style>
  <w:style w:type="character" w:customStyle="1" w:styleId="Symbols">
    <w:name w:val="Symbols"/>
    <w:basedOn w:val="DefaultParagraphFont"/>
    <w:rsid w:val="00FC05B2"/>
    <w:rPr>
      <w:rFonts w:ascii="Symbol" w:hAnsi="Symbol"/>
    </w:rPr>
  </w:style>
  <w:style w:type="character" w:customStyle="1" w:styleId="MenuOptions">
    <w:name w:val="Menu Options"/>
    <w:basedOn w:val="DefaultParagraphFont"/>
    <w:rsid w:val="00FC0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5B2"/>
    <w:rPr>
      <w:b/>
    </w:rPr>
  </w:style>
  <w:style w:type="character" w:customStyle="1" w:styleId="Underlined">
    <w:name w:val="Underlined"/>
    <w:basedOn w:val="DefaultParagraphFont"/>
    <w:rsid w:val="00FC05B2"/>
    <w:rPr>
      <w:u w:val="single"/>
    </w:rPr>
  </w:style>
  <w:style w:type="paragraph" w:customStyle="1" w:styleId="TableBodyTextRight">
    <w:name w:val="Table Body Text Right"/>
    <w:basedOn w:val="TableBodyText"/>
    <w:rsid w:val="00FC0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5B2"/>
    <w:rPr>
      <w:sz w:val="18"/>
    </w:rPr>
  </w:style>
  <w:style w:type="paragraph" w:customStyle="1" w:styleId="BodySmallRight">
    <w:name w:val="Body Small Right"/>
    <w:basedOn w:val="BodyTextRight"/>
    <w:rsid w:val="00FC05B2"/>
    <w:rPr>
      <w:sz w:val="18"/>
      <w:szCs w:val="18"/>
    </w:rPr>
  </w:style>
  <w:style w:type="paragraph" w:customStyle="1" w:styleId="MarginEdition">
    <w:name w:val="Margin Edition"/>
    <w:basedOn w:val="MarginNote"/>
    <w:rsid w:val="00FC0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5B2"/>
    <w:rPr>
      <w:sz w:val="2"/>
      <w:szCs w:val="2"/>
    </w:rPr>
  </w:style>
  <w:style w:type="character" w:customStyle="1" w:styleId="Small">
    <w:name w:val="Small"/>
    <w:basedOn w:val="DefaultParagraphFont"/>
    <w:rsid w:val="00FC05B2"/>
    <w:rPr>
      <w:sz w:val="16"/>
    </w:rPr>
  </w:style>
  <w:style w:type="paragraph" w:customStyle="1" w:styleId="WideTable">
    <w:name w:val="Wide Table"/>
    <w:basedOn w:val="Normal"/>
    <w:rsid w:val="00FC0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5B2"/>
  </w:style>
  <w:style w:type="paragraph" w:styleId="Quote">
    <w:name w:val="Quote"/>
    <w:basedOn w:val="Heading1"/>
    <w:link w:val="QuoteChar"/>
    <w:qFormat/>
    <w:rsid w:val="00FC0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5B2"/>
    <w:pPr>
      <w:pageBreakBefore/>
    </w:pPr>
  </w:style>
  <w:style w:type="paragraph" w:customStyle="1" w:styleId="Border">
    <w:name w:val="Border"/>
    <w:basedOn w:val="Normal"/>
    <w:qFormat/>
    <w:rsid w:val="00FC0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5B2"/>
    <w:rPr>
      <w:u w:val="single"/>
    </w:rPr>
  </w:style>
  <w:style w:type="character" w:customStyle="1" w:styleId="BoldandItalics">
    <w:name w:val="Bold and Italics"/>
    <w:qFormat/>
    <w:rsid w:val="00FC05B2"/>
    <w:rPr>
      <w:b/>
      <w:i/>
      <w:u w:val="none"/>
    </w:rPr>
  </w:style>
  <w:style w:type="paragraph" w:styleId="BalloonText">
    <w:name w:val="Balloon Text"/>
    <w:basedOn w:val="Normal"/>
    <w:link w:val="BalloonTextChar"/>
    <w:rsid w:val="00FC0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5B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3473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PPMPRV210 Operate ancillary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2018-10-24T01:24:00Z</dcterms:created>
  <dcterms:modified xsi:type="dcterms:W3CDTF">2018-10-24T01:24:00Z</dcterms:modified>
</cp:coreProperties>
</file>