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811" w:rsidP="008A6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PPMPRV210 Operate ancillary equipment</w:t>
      </w:r>
      <w:r>
        <w:fldChar w:fldCharType="end"/>
      </w:r>
    </w:p>
    <w:p w:rsidR="008A6811" w:rsidP="008A6811">
      <w:pPr>
        <w:pStyle w:val="Version"/>
        <w:sectPr w:rsidSect="00AD5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C60" w:rsidP="00AD5C60">
      <w:pPr>
        <w:pStyle w:val="SuperHeading"/>
      </w:pPr>
      <w:r w:rsidRPr="00AD5C60">
        <w:t>Assessment Requirements for PPMPRV210 Operate ancillary equipment</w:t>
      </w:r>
    </w:p>
    <w:p w:rsidR="00000000" w:rsidRPr="00AD5C60" w:rsidP="00AD5C60">
      <w:pPr>
        <w:pStyle w:val="Heading1"/>
      </w:pPr>
      <w:bookmarkStart w:id="1" w:name="O_912913"/>
      <w:bookmarkEnd w:id="1"/>
      <w:r w:rsidRPr="00AD5C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A68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60" w:rsidP="00AD5C60">
            <w:pPr>
              <w:pStyle w:val="BodyText"/>
            </w:pPr>
            <w:r w:rsidRPr="00AD5C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60">
            <w:pPr>
              <w:pStyle w:val="BodyText"/>
              <w:rPr>
                <w:lang w:val="en-NZ"/>
              </w:rPr>
            </w:pPr>
            <w:r w:rsidRPr="00AD5C60">
              <w:rPr>
                <w:rStyle w:val="SpecialBold"/>
              </w:rPr>
              <w:t>Comment</w:t>
            </w:r>
          </w:p>
        </w:tc>
      </w:tr>
      <w:tr w:rsidTr="008A68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C60">
            <w:pPr>
              <w:pStyle w:val="BodyText"/>
              <w:rPr>
                <w:lang w:val="en-NZ"/>
              </w:rPr>
            </w:pPr>
            <w:r w:rsidRPr="00AD5C6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C60" w:rsidP="00AD5C60">
            <w:pPr>
              <w:pStyle w:val="BodyText"/>
            </w:pPr>
            <w:r w:rsidRPr="00AD5C60">
              <w:t>Replaces superseded equivalent FPPPRV210A Operate ancillary equipment, which was fir</w:t>
            </w:r>
            <w:r w:rsidRPr="00AD5C60">
              <w:t>st released with FPP10 Pulp and Paper Manufacturing Industry Training Package Version 1.0. This is the first release of this unit in the new standards format.</w:t>
            </w:r>
          </w:p>
          <w:p w:rsidR="00000000" w:rsidRPr="00AD5C60" w:rsidP="00AD5C60">
            <w:pPr>
              <w:pStyle w:val="BodyText"/>
            </w:pPr>
            <w:r w:rsidRPr="00AD5C60">
              <w:t>Assessment requirements now specify the performance and knowledge evidence, as well as assessment</w:t>
            </w:r>
            <w:r w:rsidRPr="00AD5C60">
              <w:t xml:space="preserve">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AD5C60" w:rsidP="00AD5C60">
      <w:pPr>
        <w:pStyle w:val="BodyText"/>
      </w:pPr>
    </w:p>
    <w:p w:rsidR="00000000" w:rsidRPr="00AD5C60" w:rsidP="00AD5C60">
      <w:pPr>
        <w:pStyle w:val="AllowPageBreak"/>
      </w:pPr>
    </w:p>
    <w:p w:rsidR="00000000" w:rsidRPr="00AD5C60" w:rsidP="00AD5C60">
      <w:pPr>
        <w:pStyle w:val="Heading1"/>
      </w:pPr>
      <w:bookmarkStart w:id="2" w:name="O_912914"/>
      <w:bookmarkEnd w:id="2"/>
      <w:r w:rsidRPr="00AD5C60">
        <w:t>Performance Evidence</w:t>
      </w:r>
    </w:p>
    <w:p w:rsidR="00000000" w:rsidRPr="00AD5C60" w:rsidP="00AD5C60">
      <w:pPr>
        <w:pStyle w:val="BodyText"/>
      </w:pPr>
      <w:r w:rsidRPr="00AD5C60">
        <w:t>A person demon</w:t>
      </w:r>
      <w:r w:rsidRPr="00AD5C60">
        <w:t>strating competency in this unit must satisfy all of the elements, performance criteria and foundation skills of this unit, and must be able to provide evidence that they can:</w:t>
      </w:r>
    </w:p>
    <w:p w:rsidR="00000000" w:rsidRPr="00AD5C60" w:rsidP="00AD5C60">
      <w:pPr>
        <w:pStyle w:val="ListBullet2"/>
      </w:pPr>
      <w:r w:rsidRPr="00AD5C60">
        <w:t xml:space="preserve">operate ancillary equipment within a pulp and paper manufacturing facility, at </w:t>
      </w:r>
      <w:r w:rsidRPr="00AD5C60">
        <w:t>least twice in line with required enterprise intervals, across different operational periods</w:t>
      </w:r>
    </w:p>
    <w:p w:rsidR="00000000" w:rsidRPr="00AD5C60" w:rsidP="00AD5C60">
      <w:pPr>
        <w:pStyle w:val="ListBullet2"/>
      </w:pPr>
      <w:r w:rsidRPr="00AD5C60">
        <w:t>across operational periods, start up ancillary equipment and monitor that equipment to ensure operations are within parameters</w:t>
      </w:r>
    </w:p>
    <w:p w:rsidR="00000000" w:rsidRPr="00AD5C60" w:rsidP="00AD5C60">
      <w:pPr>
        <w:pStyle w:val="ListBullet2"/>
      </w:pPr>
      <w:r w:rsidRPr="00AD5C60">
        <w:t>complete routine maintenance on ancillary equipment</w:t>
      </w:r>
    </w:p>
    <w:p w:rsidR="00000000" w:rsidRPr="00AD5C60" w:rsidP="00AD5C60">
      <w:pPr>
        <w:pStyle w:val="ListBullet2"/>
      </w:pPr>
      <w:r w:rsidRPr="00AD5C60">
        <w:t>co-ordinate one planned shutdown of ancillary equipment</w:t>
      </w:r>
    </w:p>
    <w:p w:rsidR="00000000" w:rsidRPr="00AD5C60" w:rsidP="00AD5C60">
      <w:pPr>
        <w:pStyle w:val="ListBullet2"/>
      </w:pPr>
      <w:r w:rsidRPr="00AD5C60">
        <w:t xml:space="preserve">complete accurate basic records for processes, equipment startup, shutdown and problems. </w:t>
      </w:r>
    </w:p>
    <w:p w:rsidR="00000000" w:rsidRPr="00AD5C60" w:rsidP="00AD5C60">
      <w:pPr>
        <w:pStyle w:val="AllowPageBreak"/>
      </w:pPr>
    </w:p>
    <w:p w:rsidR="00000000" w:rsidRPr="00AD5C60" w:rsidP="00AD5C60">
      <w:pPr>
        <w:pStyle w:val="Heading1"/>
      </w:pPr>
      <w:bookmarkStart w:id="3" w:name="O_912915"/>
      <w:bookmarkEnd w:id="3"/>
      <w:r w:rsidRPr="00AD5C60">
        <w:t>Knowledge Evidence</w:t>
      </w:r>
    </w:p>
    <w:p w:rsidR="00000000" w:rsidRPr="00AD5C60" w:rsidP="00AD5C60">
      <w:pPr>
        <w:pStyle w:val="BodyText"/>
      </w:pPr>
      <w:r w:rsidRPr="00AD5C60">
        <w:t xml:space="preserve">A person competent in </w:t>
      </w:r>
      <w:r w:rsidRPr="00AD5C60">
        <w:t>this unit must be able to demonstrate knowledge of:</w:t>
      </w:r>
    </w:p>
    <w:p w:rsidR="00000000" w:rsidRPr="00AD5C60" w:rsidP="00AD5C60">
      <w:pPr>
        <w:pStyle w:val="ListBullet"/>
      </w:pPr>
      <w:r w:rsidRPr="00AD5C60">
        <w:t>system layout for ancillary equipment</w:t>
      </w:r>
    </w:p>
    <w:p w:rsidR="00000000" w:rsidRPr="00AD5C60" w:rsidP="00AD5C60">
      <w:pPr>
        <w:pStyle w:val="ListBullet"/>
      </w:pPr>
      <w:r w:rsidRPr="00AD5C60">
        <w:t>purpose, features and operation of ancillary equipment, operating parameters and allowable variations</w:t>
      </w:r>
    </w:p>
    <w:p w:rsidR="00000000" w:rsidRPr="00AD5C60" w:rsidP="00AD5C60">
      <w:pPr>
        <w:pStyle w:val="ListBullet"/>
      </w:pPr>
      <w:r w:rsidRPr="00AD5C60">
        <w:t>operation and application of electronic and other control syste</w:t>
      </w:r>
      <w:r w:rsidRPr="00AD5C60">
        <w:t>ms</w:t>
      </w:r>
    </w:p>
    <w:p w:rsidR="00000000" w:rsidRPr="00AD5C60" w:rsidP="00AD5C60">
      <w:pPr>
        <w:pStyle w:val="ListBullet"/>
      </w:pPr>
      <w:r w:rsidRPr="00AD5C60">
        <w:t>stages involved in starting up ancillary equipment with particular emphasis on pre-startup safety checks</w:t>
      </w:r>
    </w:p>
    <w:p w:rsidR="00000000" w:rsidRPr="00AD5C60" w:rsidP="00AD5C60">
      <w:pPr>
        <w:pStyle w:val="ListBullet"/>
      </w:pPr>
      <w:r w:rsidRPr="00AD5C60">
        <w:t>methods used to monitor ancillary equipment operations against specified system parameters</w:t>
      </w:r>
    </w:p>
    <w:p w:rsidR="00000000" w:rsidRPr="00AD5C60" w:rsidP="00AD5C60">
      <w:pPr>
        <w:pStyle w:val="ListBullet"/>
      </w:pPr>
      <w:r w:rsidRPr="00AD5C60">
        <w:t xml:space="preserve">types, causes and effects of, and required emergency and </w:t>
      </w:r>
      <w:r w:rsidRPr="00AD5C60">
        <w:t>other responses to, unplanned ancillary equipment shutdowns including:</w:t>
      </w:r>
    </w:p>
    <w:p w:rsidR="00000000" w:rsidRPr="00AD5C60" w:rsidP="00AD5C60">
      <w:pPr>
        <w:pStyle w:val="ListBullet2"/>
      </w:pPr>
      <w:r w:rsidRPr="00AD5C60">
        <w:t>power outage</w:t>
      </w:r>
    </w:p>
    <w:p w:rsidR="00000000" w:rsidRPr="00AD5C60" w:rsidP="00AD5C60">
      <w:pPr>
        <w:pStyle w:val="ListBullet2"/>
      </w:pPr>
      <w:r w:rsidRPr="00AD5C60">
        <w:t>mechanical breakdown</w:t>
      </w:r>
    </w:p>
    <w:p w:rsidR="00000000" w:rsidRPr="00AD5C60" w:rsidP="00AD5C60">
      <w:pPr>
        <w:pStyle w:val="ListBullet2"/>
      </w:pPr>
      <w:r w:rsidRPr="00AD5C60">
        <w:t>blockages</w:t>
      </w:r>
    </w:p>
    <w:p w:rsidR="00000000" w:rsidRPr="00AD5C60" w:rsidP="00AD5C60">
      <w:pPr>
        <w:pStyle w:val="ListBullet2"/>
      </w:pPr>
      <w:r w:rsidRPr="00AD5C60">
        <w:t>jamming</w:t>
      </w:r>
    </w:p>
    <w:p w:rsidR="00000000" w:rsidRPr="00AD5C60" w:rsidP="00AD5C60">
      <w:pPr>
        <w:pStyle w:val="ListBullet2"/>
      </w:pPr>
      <w:r w:rsidRPr="00AD5C60">
        <w:t>air supply</w:t>
      </w:r>
    </w:p>
    <w:p w:rsidR="00000000" w:rsidRPr="00AD5C60" w:rsidP="00AD5C60">
      <w:pPr>
        <w:pStyle w:val="ListBullet2"/>
      </w:pPr>
      <w:r w:rsidRPr="00AD5C60">
        <w:t>control system failure</w:t>
      </w:r>
    </w:p>
    <w:p w:rsidR="00000000" w:rsidRPr="00AD5C60" w:rsidP="00AD5C60">
      <w:pPr>
        <w:pStyle w:val="ListBullet"/>
      </w:pPr>
      <w:r w:rsidRPr="00AD5C60">
        <w:t>responses to unplanned or emergency shutdowns that are appropriate to the cause</w:t>
      </w:r>
    </w:p>
    <w:p w:rsidR="00000000" w:rsidRPr="00AD5C60" w:rsidP="00AD5C60">
      <w:pPr>
        <w:pStyle w:val="ListBullet"/>
      </w:pPr>
      <w:r w:rsidRPr="00AD5C60">
        <w:t>methods used to test ancillary equipment and diagnose faults</w:t>
      </w:r>
    </w:p>
    <w:p w:rsidR="00000000" w:rsidRPr="00AD5C60" w:rsidP="00AD5C60">
      <w:pPr>
        <w:pStyle w:val="ListBullet"/>
      </w:pPr>
      <w:r w:rsidRPr="00AD5C60">
        <w:t>organisational procedures:</w:t>
      </w:r>
    </w:p>
    <w:p w:rsidR="00000000" w:rsidRPr="00AD5C60" w:rsidP="00AD5C60">
      <w:pPr>
        <w:pStyle w:val="ListBullet2"/>
      </w:pPr>
      <w:r w:rsidRPr="00AD5C60">
        <w:t>standard operating procedures specific to operating ancillary equipment</w:t>
      </w:r>
    </w:p>
    <w:p w:rsidR="00000000" w:rsidRPr="00AD5C60" w:rsidP="00AD5C60">
      <w:pPr>
        <w:pStyle w:val="ListBullet2"/>
      </w:pPr>
      <w:r w:rsidRPr="00AD5C60">
        <w:t xml:space="preserve">workplace health and safety with particular emphasis on equipment lock out and use of personal </w:t>
      </w:r>
      <w:r w:rsidRPr="00AD5C60">
        <w:t>protective equipment</w:t>
      </w:r>
    </w:p>
    <w:p w:rsidR="00000000" w:rsidRPr="00AD5C60" w:rsidP="00AD5C60">
      <w:pPr>
        <w:pStyle w:val="ListBullet2"/>
      </w:pPr>
      <w:r w:rsidRPr="00AD5C60">
        <w:t>communication reporting lines</w:t>
      </w:r>
    </w:p>
    <w:p w:rsidR="00000000" w:rsidRPr="00AD5C60" w:rsidP="00AD5C60">
      <w:pPr>
        <w:pStyle w:val="ListBullet2"/>
      </w:pPr>
      <w:r w:rsidRPr="00AD5C60">
        <w:t>recording and reporting processes, equipment startup, shutdown and problems.</w:t>
      </w:r>
    </w:p>
    <w:p w:rsidR="00000000" w:rsidRPr="00AD5C60" w:rsidP="00AD5C60">
      <w:pPr>
        <w:pStyle w:val="AllowPageBreak"/>
      </w:pPr>
    </w:p>
    <w:p w:rsidR="00000000" w:rsidRPr="00AD5C60" w:rsidP="00AD5C60">
      <w:pPr>
        <w:pStyle w:val="Heading1"/>
      </w:pPr>
      <w:bookmarkStart w:id="4" w:name="O_912916"/>
      <w:bookmarkEnd w:id="4"/>
      <w:r w:rsidRPr="00AD5C60">
        <w:t>Assessment Conditions</w:t>
      </w:r>
    </w:p>
    <w:p w:rsidR="00000000" w:rsidRPr="00AD5C60" w:rsidP="00AD5C60">
      <w:pPr>
        <w:pStyle w:val="BodyText"/>
      </w:pPr>
      <w:r w:rsidRPr="00AD5C60">
        <w:t>The following resources must be made available:</w:t>
      </w:r>
    </w:p>
    <w:p w:rsidR="00000000" w:rsidRPr="00AD5C60" w:rsidP="00AD5C60">
      <w:pPr>
        <w:pStyle w:val="ListBullet"/>
      </w:pPr>
      <w:r w:rsidRPr="00AD5C60">
        <w:t>fully automated, semi-automated, manually operated ancillary equipment including:</w:t>
      </w:r>
    </w:p>
    <w:p w:rsidR="00000000" w:rsidRPr="00AD5C60" w:rsidP="00AD5C60">
      <w:pPr>
        <w:pStyle w:val="ListBullet2"/>
      </w:pPr>
      <w:r w:rsidRPr="00AD5C60">
        <w:t>air compressor</w:t>
      </w:r>
    </w:p>
    <w:p w:rsidR="00000000" w:rsidRPr="00AD5C60" w:rsidP="00AD5C60">
      <w:pPr>
        <w:pStyle w:val="ListBullet2"/>
      </w:pPr>
      <w:r w:rsidRPr="00AD5C60">
        <w:t>air dryer</w:t>
      </w:r>
    </w:p>
    <w:p w:rsidR="00000000" w:rsidRPr="00AD5C60" w:rsidP="00AD5C60">
      <w:pPr>
        <w:pStyle w:val="ListBullet2"/>
      </w:pPr>
      <w:r w:rsidRPr="00AD5C60">
        <w:t>air make-up units</w:t>
      </w:r>
    </w:p>
    <w:p w:rsidR="00000000" w:rsidRPr="00AD5C60" w:rsidP="00AD5C60">
      <w:pPr>
        <w:pStyle w:val="ListBullet2"/>
      </w:pPr>
      <w:r w:rsidRPr="00AD5C60">
        <w:t>monitoring systems</w:t>
      </w:r>
    </w:p>
    <w:p w:rsidR="00000000" w:rsidRPr="00AD5C60" w:rsidP="00AD5C60">
      <w:pPr>
        <w:pStyle w:val="ListBullet2"/>
      </w:pPr>
      <w:r w:rsidRPr="00AD5C60">
        <w:t>air handling units</w:t>
      </w:r>
    </w:p>
    <w:p w:rsidR="00000000" w:rsidRPr="00AD5C60" w:rsidP="00AD5C60">
      <w:pPr>
        <w:pStyle w:val="ListBullet2"/>
      </w:pPr>
      <w:r w:rsidRPr="00AD5C60">
        <w:t>building ventilation systems</w:t>
      </w:r>
    </w:p>
    <w:p w:rsidR="00000000" w:rsidRPr="00AD5C60" w:rsidP="00AD5C60">
      <w:pPr>
        <w:pStyle w:val="ListBullet2"/>
      </w:pPr>
      <w:r w:rsidRPr="00AD5C60">
        <w:t>line dust collection systems</w:t>
      </w:r>
    </w:p>
    <w:p w:rsidR="00000000" w:rsidRPr="00AD5C60" w:rsidP="00AD5C60">
      <w:pPr>
        <w:pStyle w:val="ListBullet2"/>
      </w:pPr>
      <w:r w:rsidRPr="00AD5C60">
        <w:t>dust scrubber systems</w:t>
      </w:r>
    </w:p>
    <w:p w:rsidR="00000000" w:rsidRPr="00AD5C60" w:rsidP="00AD5C60">
      <w:pPr>
        <w:pStyle w:val="ListBullet2"/>
      </w:pPr>
      <w:r w:rsidRPr="00AD5C60">
        <w:t>heating, ven</w:t>
      </w:r>
      <w:r w:rsidRPr="00AD5C60">
        <w:t>tilating and air conditioning (HVAC) systems</w:t>
      </w:r>
    </w:p>
    <w:p w:rsidR="00000000" w:rsidRPr="00AD5C60" w:rsidP="00AD5C60">
      <w:pPr>
        <w:pStyle w:val="ListBullet"/>
      </w:pPr>
      <w:r w:rsidRPr="00AD5C60">
        <w:t>electronic screens and alarms</w:t>
      </w:r>
    </w:p>
    <w:p w:rsidR="00000000" w:rsidRPr="00AD5C60" w:rsidP="00AD5C60">
      <w:pPr>
        <w:pStyle w:val="ListBullet"/>
      </w:pPr>
      <w:r w:rsidRPr="00AD5C60">
        <w:t>process control systems</w:t>
      </w:r>
    </w:p>
    <w:p w:rsidR="00000000" w:rsidRPr="00AD5C60" w:rsidP="00AD5C60">
      <w:pPr>
        <w:pStyle w:val="ListBullet"/>
      </w:pPr>
      <w:r w:rsidRPr="00AD5C60">
        <w:t>maintenance tools and equipment for ancillary equipment</w:t>
      </w:r>
    </w:p>
    <w:p w:rsidR="00000000" w:rsidRPr="00AD5C60" w:rsidP="00AD5C60">
      <w:pPr>
        <w:pStyle w:val="ListBullet"/>
      </w:pPr>
      <w:r w:rsidRPr="00AD5C60">
        <w:t>personal protective equipment suitable for operating and maintaining ancillary equipment</w:t>
      </w:r>
    </w:p>
    <w:p w:rsidR="00000000" w:rsidRPr="00AD5C60" w:rsidP="00AD5C60">
      <w:pPr>
        <w:pStyle w:val="ListBullet"/>
      </w:pPr>
      <w:r w:rsidRPr="00AD5C60">
        <w:t>maintenance schedules for ancillary equipment</w:t>
      </w:r>
    </w:p>
    <w:p w:rsidR="00000000" w:rsidRPr="00AD5C60" w:rsidP="00AD5C60">
      <w:pPr>
        <w:pStyle w:val="ListBullet"/>
      </w:pPr>
      <w:r w:rsidRPr="00AD5C60">
        <w:t>relevant personnel for the purposes of communicating information</w:t>
      </w:r>
    </w:p>
    <w:p w:rsidR="00000000" w:rsidRPr="00AD5C60" w:rsidP="00AD5C60">
      <w:pPr>
        <w:pStyle w:val="ListBullet"/>
      </w:pPr>
      <w:r w:rsidRPr="00AD5C60">
        <w:t>template documents for recording processes, equipment startup, shutdown and problems</w:t>
      </w:r>
    </w:p>
    <w:p w:rsidR="00000000" w:rsidRPr="00AD5C60" w:rsidP="00AD5C60">
      <w:pPr>
        <w:pStyle w:val="ListBullet"/>
      </w:pPr>
      <w:r w:rsidRPr="00AD5C60">
        <w:t>organisational workplace health and safety and standard oper</w:t>
      </w:r>
      <w:r w:rsidRPr="00AD5C60">
        <w:t>ating procedures for operating ancillary equipment.</w:t>
      </w:r>
    </w:p>
    <w:p w:rsidR="00000000" w:rsidRPr="00AD5C60" w:rsidP="00AD5C60">
      <w:pPr>
        <w:pStyle w:val="BodyText"/>
      </w:pPr>
      <w:r w:rsidRPr="00AD5C60">
        <w:t>Competency is to be assessed in the workplace or in a productive environment that accurately reflects performance in a workplace.</w:t>
      </w:r>
    </w:p>
    <w:p w:rsidR="00000000" w:rsidRPr="00AD5C60" w:rsidP="00AD5C60">
      <w:pPr>
        <w:pStyle w:val="BodyText"/>
      </w:pPr>
      <w:r w:rsidRPr="00AD5C60">
        <w:rPr>
          <w:rStyle w:val="SpecialBold"/>
        </w:rPr>
        <w:t>Assessor requirements</w:t>
      </w:r>
    </w:p>
    <w:p w:rsidR="00000000" w:rsidRPr="00AD5C60" w:rsidP="00AD5C60">
      <w:pPr>
        <w:pStyle w:val="BodyText"/>
      </w:pPr>
      <w:r w:rsidRPr="00AD5C60">
        <w:t>Assessors must:</w:t>
      </w:r>
    </w:p>
    <w:p w:rsidR="00000000" w:rsidRPr="00AD5C60" w:rsidP="00AD5C60">
      <w:pPr>
        <w:pStyle w:val="ListBullet"/>
      </w:pPr>
      <w:r w:rsidRPr="00AD5C60">
        <w:t>hold the appropriate assessor compe</w:t>
      </w:r>
      <w:r w:rsidRPr="00AD5C60">
        <w:t>tency standards as outlined in regulations; and</w:t>
      </w:r>
    </w:p>
    <w:p w:rsidR="00000000" w:rsidRPr="00AD5C60" w:rsidP="00AD5C60">
      <w:pPr>
        <w:pStyle w:val="ListBullet"/>
      </w:pPr>
      <w:r w:rsidRPr="00AD5C60">
        <w:t>be able to demonstrate vocational competencies at least to the level being assessed; and</w:t>
      </w:r>
    </w:p>
    <w:p w:rsidR="00000000" w:rsidRPr="00AD5C60" w:rsidP="00AD5C60">
      <w:pPr>
        <w:pStyle w:val="ListBullet"/>
      </w:pPr>
      <w:r w:rsidRPr="00AD5C60">
        <w:t>be able to demonstrate how they are continuing to develop their VET knowledge and skills as well as maintaining their i</w:t>
      </w:r>
      <w:r w:rsidRPr="00AD5C60">
        <w:t>ndustry currency and assessor competence.</w:t>
      </w:r>
    </w:p>
    <w:p w:rsidR="00000000" w:rsidRPr="00AD5C60" w:rsidP="00AD5C60">
      <w:pPr>
        <w:pStyle w:val="AllowPageBreak"/>
      </w:pPr>
    </w:p>
    <w:p w:rsidR="00000000" w:rsidRPr="00AD5C60" w:rsidP="00AD5C60">
      <w:pPr>
        <w:pStyle w:val="Heading1"/>
      </w:pPr>
      <w:bookmarkStart w:id="5" w:name="O_912919"/>
      <w:bookmarkEnd w:id="5"/>
      <w:r w:rsidRPr="00AD5C60">
        <w:t>Links</w:t>
      </w:r>
    </w:p>
    <w:p w:rsidR="00000000" w:rsidRPr="00AD5C60" w:rsidP="00AD5C60">
      <w:pPr>
        <w:pStyle w:val="BodyText"/>
      </w:pPr>
      <w:r w:rsidRPr="00AD5C60">
        <w:t>Companion Volume implementation guides are found in VETNet - https://vetnet.education.gov.au/Pages/TrainingPackages.aspx/Pages/Home.aspx</w:t>
      </w:r>
    </w:p>
    <w:p w:rsidR="00000000" w:rsidRPr="00AD5C60" w:rsidP="00AD5C60"/>
    <w:sectPr w:rsidSect="00AD5C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0" w:rsidRPr="008A6811" w:rsidP="008A6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1" w:rsidP="00AD5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811" w:rsidP="00AD5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6811" w:rsidP="00AD5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C60" w:rsidRPr="008A6811" w:rsidP="008A6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11" w:rsidRPr="002D2AF8" w:rsidP="00AD5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PPMPRV210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A6811" w:rsidP="00AD5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E3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125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49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C60"/>
  </w:style>
  <w:style w:type="character" w:customStyle="1" w:styleId="Heading1Char">
    <w:name w:val="Heading 1 Char"/>
    <w:basedOn w:val="DefaultParagraphFont"/>
    <w:link w:val="Heading1"/>
    <w:rsid w:val="00AD5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C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C60"/>
    <w:rPr>
      <w:b/>
      <w:spacing w:val="0"/>
    </w:rPr>
  </w:style>
  <w:style w:type="paragraph" w:styleId="ListBullet2">
    <w:name w:val="List Bullet 2"/>
    <w:basedOn w:val="List2"/>
    <w:rsid w:val="00AD5C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C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C60"/>
    <w:rPr>
      <w:i/>
    </w:rPr>
  </w:style>
  <w:style w:type="paragraph" w:styleId="Caption">
    <w:name w:val="caption"/>
    <w:basedOn w:val="BodyText"/>
    <w:next w:val="Normal"/>
    <w:qFormat/>
    <w:rsid w:val="00AD5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C60"/>
  </w:style>
  <w:style w:type="paragraph" w:styleId="TableofFigures">
    <w:name w:val="table of figures"/>
    <w:basedOn w:val="Normal"/>
    <w:next w:val="Normal"/>
    <w:semiHidden/>
    <w:rsid w:val="00AD5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C60"/>
    <w:pPr>
      <w:numPr>
        <w:numId w:val="11"/>
      </w:numPr>
    </w:pPr>
  </w:style>
  <w:style w:type="character" w:customStyle="1" w:styleId="WingdingSymbols">
    <w:name w:val="Wingding Symbols"/>
    <w:rsid w:val="00AD5C60"/>
    <w:rPr>
      <w:rFonts w:ascii="Wingdings" w:hAnsi="Wingdings"/>
    </w:rPr>
  </w:style>
  <w:style w:type="paragraph" w:customStyle="1" w:styleId="TableHeading">
    <w:name w:val="Table Heading"/>
    <w:basedOn w:val="HeadingBase"/>
    <w:rsid w:val="00AD5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C60"/>
    <w:rPr>
      <w:color w:val="0033CC"/>
      <w:u w:val="none"/>
    </w:rPr>
  </w:style>
  <w:style w:type="paragraph" w:customStyle="1" w:styleId="BodyTextRight">
    <w:name w:val="Body Text Right"/>
    <w:basedOn w:val="BodyText"/>
    <w:rsid w:val="00AD5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C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C60"/>
    <w:rPr>
      <w:sz w:val="32"/>
    </w:rPr>
  </w:style>
  <w:style w:type="paragraph" w:customStyle="1" w:styleId="HeadingProcedure">
    <w:name w:val="Heading Procedure"/>
    <w:basedOn w:val="HeadingBase"/>
    <w:next w:val="Normal"/>
    <w:rsid w:val="00AD5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C60"/>
    <w:pPr>
      <w:spacing w:before="60" w:after="60"/>
    </w:pPr>
  </w:style>
  <w:style w:type="paragraph" w:styleId="ListContinue">
    <w:name w:val="List Continue"/>
    <w:basedOn w:val="List"/>
    <w:rsid w:val="00AD5C60"/>
    <w:pPr>
      <w:ind w:firstLine="0"/>
    </w:pPr>
  </w:style>
  <w:style w:type="paragraph" w:customStyle="1" w:styleId="ListNote">
    <w:name w:val="List Note"/>
    <w:basedOn w:val="List"/>
    <w:rsid w:val="00AD5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C60"/>
    <w:rPr>
      <w:rFonts w:ascii="Courier New" w:hAnsi="Courier New"/>
    </w:rPr>
  </w:style>
  <w:style w:type="paragraph" w:customStyle="1" w:styleId="NoteBullet">
    <w:name w:val="Note Bullet"/>
    <w:basedOn w:val="Note"/>
    <w:rsid w:val="00AD5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C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5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C60"/>
    <w:rPr>
      <w:b/>
      <w:smallCaps/>
    </w:rPr>
  </w:style>
  <w:style w:type="paragraph" w:customStyle="1" w:styleId="TableListNumber">
    <w:name w:val="Table List Number"/>
    <w:basedOn w:val="ListNumber"/>
    <w:rsid w:val="00AD5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C60"/>
    <w:pPr>
      <w:numPr>
        <w:numId w:val="9"/>
      </w:numPr>
    </w:pPr>
  </w:style>
  <w:style w:type="paragraph" w:customStyle="1" w:styleId="ListAlpha2">
    <w:name w:val="List Alpha 2"/>
    <w:basedOn w:val="List2"/>
    <w:rsid w:val="00AD5C60"/>
    <w:pPr>
      <w:numPr>
        <w:numId w:val="8"/>
      </w:numPr>
    </w:pPr>
  </w:style>
  <w:style w:type="paragraph" w:styleId="List2">
    <w:name w:val="List 2"/>
    <w:basedOn w:val="BodyText"/>
    <w:rsid w:val="00AD5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C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C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C60"/>
    <w:pPr>
      <w:numPr>
        <w:numId w:val="4"/>
      </w:numPr>
    </w:pPr>
  </w:style>
  <w:style w:type="paragraph" w:styleId="ListContinue2">
    <w:name w:val="List Continue 2"/>
    <w:basedOn w:val="List2"/>
    <w:rsid w:val="00AD5C60"/>
    <w:pPr>
      <w:ind w:firstLine="0"/>
    </w:pPr>
  </w:style>
  <w:style w:type="paragraph" w:styleId="ListContinue3">
    <w:name w:val="List Continue 3"/>
    <w:basedOn w:val="List3"/>
    <w:rsid w:val="00AD5C60"/>
    <w:pPr>
      <w:ind w:left="1021" w:firstLine="0"/>
    </w:pPr>
  </w:style>
  <w:style w:type="paragraph" w:styleId="ListContinue4">
    <w:name w:val="List Continue 4"/>
    <w:basedOn w:val="List4"/>
    <w:rsid w:val="00AD5C60"/>
    <w:pPr>
      <w:ind w:firstLine="0"/>
    </w:pPr>
  </w:style>
  <w:style w:type="paragraph" w:styleId="ListContinue5">
    <w:name w:val="List Continue 5"/>
    <w:basedOn w:val="List5"/>
    <w:rsid w:val="00AD5C60"/>
    <w:pPr>
      <w:ind w:firstLine="0"/>
    </w:pPr>
  </w:style>
  <w:style w:type="paragraph" w:styleId="ListNumber3">
    <w:name w:val="List Number 3"/>
    <w:basedOn w:val="List3"/>
    <w:rsid w:val="00AD5C60"/>
    <w:pPr>
      <w:numPr>
        <w:numId w:val="5"/>
      </w:numPr>
    </w:pPr>
  </w:style>
  <w:style w:type="paragraph" w:styleId="ListNumber4">
    <w:name w:val="List Number 4"/>
    <w:basedOn w:val="List4"/>
    <w:rsid w:val="00AD5C60"/>
    <w:pPr>
      <w:numPr>
        <w:numId w:val="6"/>
      </w:numPr>
    </w:pPr>
  </w:style>
  <w:style w:type="paragraph" w:styleId="ListNumber5">
    <w:name w:val="List Number 5"/>
    <w:basedOn w:val="List5"/>
    <w:rsid w:val="00AD5C60"/>
    <w:pPr>
      <w:numPr>
        <w:numId w:val="7"/>
      </w:numPr>
    </w:pPr>
  </w:style>
  <w:style w:type="paragraph" w:styleId="BlockText">
    <w:name w:val="Block Text"/>
    <w:basedOn w:val="Normal"/>
    <w:rsid w:val="00AD5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C60"/>
    <w:rPr>
      <w:sz w:val="16"/>
      <w:vertAlign w:val="superscript"/>
    </w:rPr>
  </w:style>
  <w:style w:type="character" w:customStyle="1" w:styleId="Symbols">
    <w:name w:val="Symbols"/>
    <w:basedOn w:val="DefaultParagraphFont"/>
    <w:rsid w:val="00AD5C60"/>
    <w:rPr>
      <w:rFonts w:ascii="Symbol" w:hAnsi="Symbol"/>
    </w:rPr>
  </w:style>
  <w:style w:type="character" w:customStyle="1" w:styleId="MenuOptions">
    <w:name w:val="Menu Options"/>
    <w:basedOn w:val="DefaultParagraphFont"/>
    <w:rsid w:val="00AD5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C60"/>
    <w:rPr>
      <w:b/>
    </w:rPr>
  </w:style>
  <w:style w:type="character" w:customStyle="1" w:styleId="Underlined">
    <w:name w:val="Underlined"/>
    <w:basedOn w:val="DefaultParagraphFont"/>
    <w:rsid w:val="00AD5C60"/>
    <w:rPr>
      <w:u w:val="single"/>
    </w:rPr>
  </w:style>
  <w:style w:type="paragraph" w:customStyle="1" w:styleId="TableBodyTextRight">
    <w:name w:val="Table Body Text Right"/>
    <w:basedOn w:val="TableBodyText"/>
    <w:rsid w:val="00AD5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C60"/>
    <w:rPr>
      <w:sz w:val="18"/>
    </w:rPr>
  </w:style>
  <w:style w:type="paragraph" w:customStyle="1" w:styleId="BodySmallRight">
    <w:name w:val="Body Small Right"/>
    <w:basedOn w:val="BodyTextRight"/>
    <w:rsid w:val="00AD5C60"/>
    <w:rPr>
      <w:sz w:val="18"/>
      <w:szCs w:val="18"/>
    </w:rPr>
  </w:style>
  <w:style w:type="paragraph" w:customStyle="1" w:styleId="MarginEdition">
    <w:name w:val="Margin Edition"/>
    <w:basedOn w:val="MarginNote"/>
    <w:rsid w:val="00AD5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C60"/>
    <w:rPr>
      <w:sz w:val="2"/>
      <w:szCs w:val="2"/>
    </w:rPr>
  </w:style>
  <w:style w:type="character" w:customStyle="1" w:styleId="Small">
    <w:name w:val="Small"/>
    <w:basedOn w:val="DefaultParagraphFont"/>
    <w:rsid w:val="00AD5C60"/>
    <w:rPr>
      <w:sz w:val="16"/>
    </w:rPr>
  </w:style>
  <w:style w:type="paragraph" w:customStyle="1" w:styleId="WideTable">
    <w:name w:val="Wide Table"/>
    <w:basedOn w:val="Normal"/>
    <w:rsid w:val="00AD5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C60"/>
  </w:style>
  <w:style w:type="paragraph" w:styleId="Quote">
    <w:name w:val="Quote"/>
    <w:basedOn w:val="Heading1"/>
    <w:link w:val="QuoteChar"/>
    <w:qFormat/>
    <w:rsid w:val="00AD5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C60"/>
    <w:pPr>
      <w:pageBreakBefore/>
    </w:pPr>
  </w:style>
  <w:style w:type="paragraph" w:customStyle="1" w:styleId="Border">
    <w:name w:val="Border"/>
    <w:basedOn w:val="Normal"/>
    <w:qFormat/>
    <w:rsid w:val="00AD5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C60"/>
    <w:rPr>
      <w:u w:val="single"/>
    </w:rPr>
  </w:style>
  <w:style w:type="character" w:customStyle="1" w:styleId="BoldandItalics">
    <w:name w:val="Bold and Italics"/>
    <w:qFormat/>
    <w:rsid w:val="00AD5C60"/>
    <w:rPr>
      <w:b/>
      <w:i/>
      <w:u w:val="none"/>
    </w:rPr>
  </w:style>
  <w:style w:type="paragraph" w:styleId="BalloonText">
    <w:name w:val="Balloon Text"/>
    <w:basedOn w:val="Normal"/>
    <w:link w:val="BalloonTextChar"/>
    <w:rsid w:val="00AD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C6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3629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PPMPRV210 Operate ancillary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2018-10-24T01:29:00Z</dcterms:created>
  <dcterms:modified xsi:type="dcterms:W3CDTF">2018-10-24T01:29:00Z</dcterms:modified>
</cp:coreProperties>
</file>