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80C60" w:rsidP="00E80C6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PPMPRV201 Operate ancillary equipment</w:t>
      </w:r>
      <w:r>
        <w:fldChar w:fldCharType="end"/>
      </w:r>
    </w:p>
    <w:p w:rsidR="00E80C60" w:rsidP="00E80C60">
      <w:pPr>
        <w:pStyle w:val="Version"/>
        <w:sectPr w:rsidSect="00EE5C9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E5C9D" w:rsidP="00EE5C9D">
      <w:pPr>
        <w:pStyle w:val="SuperHeading"/>
      </w:pPr>
      <w:r w:rsidRPr="00EE5C9D">
        <w:t>Assessment Requirements for PPMPRV201 Operate ancillary equipment</w:t>
      </w:r>
    </w:p>
    <w:p w:rsidR="00000000" w:rsidRPr="00EE5C9D" w:rsidP="00EE5C9D">
      <w:pPr>
        <w:pStyle w:val="Heading1"/>
      </w:pPr>
      <w:bookmarkStart w:id="1" w:name="O_1206221"/>
      <w:bookmarkEnd w:id="1"/>
      <w:r w:rsidRPr="00EE5C9D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EE5C9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5C9D">
            <w:pPr>
              <w:pStyle w:val="BodyTextBold"/>
              <w:rPr>
                <w:lang w:val="en-NZ"/>
              </w:rPr>
            </w:pPr>
            <w:r w:rsidRPr="00EE5C9D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5C9D">
            <w:pPr>
              <w:pStyle w:val="BodyTextBold"/>
              <w:rPr>
                <w:lang w:val="en-NZ"/>
              </w:rPr>
            </w:pPr>
            <w:r w:rsidRPr="00EE5C9D">
              <w:t>Comments</w:t>
            </w:r>
          </w:p>
        </w:tc>
      </w:tr>
      <w:tr w:rsidTr="00EE5C9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5C9D">
            <w:pPr>
              <w:pStyle w:val="BodyText"/>
              <w:rPr>
                <w:lang w:val="en-NZ"/>
              </w:rPr>
            </w:pPr>
            <w:r w:rsidRPr="00EE5C9D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E5C9D" w:rsidP="00EE5C9D">
            <w:pPr>
              <w:pStyle w:val="BodyText"/>
            </w:pPr>
            <w:r w:rsidRPr="00EE5C9D">
              <w:t>This version released with PPM Pulp and Paper Manufacturing Training Package Version 3.0.</w:t>
            </w:r>
          </w:p>
        </w:tc>
      </w:tr>
    </w:tbl>
    <w:p w:rsidR="00000000" w:rsidRPr="00EE5C9D" w:rsidP="00EE5C9D">
      <w:pPr>
        <w:pStyle w:val="BodyText"/>
      </w:pPr>
    </w:p>
    <w:p w:rsidR="00000000" w:rsidRPr="00EE5C9D" w:rsidP="00EE5C9D">
      <w:pPr>
        <w:pStyle w:val="AllowPageBreak"/>
      </w:pPr>
    </w:p>
    <w:p w:rsidR="00000000" w:rsidRPr="00EE5C9D" w:rsidP="00EE5C9D">
      <w:pPr>
        <w:pStyle w:val="Heading1"/>
      </w:pPr>
      <w:bookmarkStart w:id="2" w:name="O_1206222"/>
      <w:bookmarkEnd w:id="2"/>
      <w:r w:rsidRPr="00EE5C9D">
        <w:t>Performance Evidence</w:t>
      </w:r>
    </w:p>
    <w:p w:rsidR="00000000" w:rsidRPr="00EE5C9D" w:rsidP="00E80C60">
      <w:pPr>
        <w:pStyle w:val="BodyText"/>
      </w:pPr>
      <w:r w:rsidRPr="00EE5C9D">
        <w:t xml:space="preserve">An individual demonstrating competency must satisfy all of the elements and performance criteria in this unit. </w:t>
      </w:r>
    </w:p>
    <w:p w:rsidR="00000000" w:rsidRPr="00EE5C9D" w:rsidP="00E80C60">
      <w:pPr>
        <w:pStyle w:val="BodyText"/>
      </w:pPr>
      <w:r w:rsidRPr="00EE5C9D">
        <w:t>There must be evidence that the individual has started, operated and shut down at least one of the ancillary equipment to s</w:t>
      </w:r>
      <w:r w:rsidRPr="00EE5C9D">
        <w:t>upport a pulp and paper manufacturing operation for at least two operational intervals:</w:t>
      </w:r>
    </w:p>
    <w:p w:rsidR="00000000" w:rsidRPr="00EE5C9D" w:rsidP="00EE5C9D">
      <w:pPr>
        <w:pStyle w:val="ListBullet"/>
      </w:pPr>
      <w:r w:rsidRPr="00EE5C9D">
        <w:t>air compressor</w:t>
      </w:r>
    </w:p>
    <w:p w:rsidR="00000000" w:rsidRPr="00EE5C9D" w:rsidP="00EE5C9D">
      <w:pPr>
        <w:pStyle w:val="ListBullet"/>
      </w:pPr>
      <w:r w:rsidRPr="00EE5C9D">
        <w:t>air dryer</w:t>
      </w:r>
    </w:p>
    <w:p w:rsidR="00000000" w:rsidRPr="00EE5C9D" w:rsidP="00EE5C9D">
      <w:pPr>
        <w:pStyle w:val="ListBullet"/>
      </w:pPr>
      <w:r w:rsidRPr="00EE5C9D">
        <w:t>air make-up units</w:t>
      </w:r>
    </w:p>
    <w:p w:rsidR="00000000" w:rsidRPr="00EE5C9D" w:rsidP="00EE5C9D">
      <w:pPr>
        <w:pStyle w:val="ListBullet"/>
      </w:pPr>
      <w:r w:rsidRPr="00EE5C9D">
        <w:t>monitoring systems</w:t>
      </w:r>
    </w:p>
    <w:p w:rsidR="00000000" w:rsidRPr="00EE5C9D" w:rsidP="00EE5C9D">
      <w:pPr>
        <w:pStyle w:val="ListBullet"/>
      </w:pPr>
      <w:r w:rsidRPr="00EE5C9D">
        <w:t>air handling units</w:t>
      </w:r>
    </w:p>
    <w:p w:rsidR="00000000" w:rsidRPr="00EE5C9D" w:rsidP="00EE5C9D">
      <w:pPr>
        <w:pStyle w:val="ListBullet"/>
      </w:pPr>
      <w:r w:rsidRPr="00EE5C9D">
        <w:t>building ventilation systems</w:t>
      </w:r>
    </w:p>
    <w:p w:rsidR="00000000" w:rsidRPr="00EE5C9D" w:rsidP="00EE5C9D">
      <w:pPr>
        <w:pStyle w:val="ListBullet"/>
      </w:pPr>
      <w:r w:rsidRPr="00EE5C9D">
        <w:t>line dust collection systems</w:t>
      </w:r>
    </w:p>
    <w:p w:rsidR="00000000" w:rsidRPr="00EE5C9D" w:rsidP="00EE5C9D">
      <w:pPr>
        <w:pStyle w:val="ListBullet"/>
      </w:pPr>
      <w:r w:rsidRPr="00EE5C9D">
        <w:t>dust scrubber systems</w:t>
      </w:r>
    </w:p>
    <w:p w:rsidR="00000000" w:rsidRPr="00EE5C9D" w:rsidP="00EE5C9D">
      <w:pPr>
        <w:pStyle w:val="ListBullet"/>
      </w:pPr>
      <w:r w:rsidRPr="00EE5C9D">
        <w:t>heating, ventilating and air conditioning (HVAC) systems.</w:t>
      </w:r>
    </w:p>
    <w:p w:rsidR="00000000" w:rsidRPr="00EE5C9D" w:rsidP="00E80C60">
      <w:pPr>
        <w:pStyle w:val="BodyText"/>
      </w:pPr>
      <w:r w:rsidRPr="00EE5C9D">
        <w:t>In completing the above, there must also be evidence that the individual has for each interval:</w:t>
      </w:r>
    </w:p>
    <w:p w:rsidR="00000000" w:rsidRPr="00EE5C9D" w:rsidP="00EE5C9D">
      <w:pPr>
        <w:pStyle w:val="ListBullet"/>
      </w:pPr>
      <w:r w:rsidRPr="00EE5C9D">
        <w:t xml:space="preserve">monitored that equipment to ensure operations are within system parameters </w:t>
      </w:r>
    </w:p>
    <w:p w:rsidR="00000000" w:rsidRPr="00EE5C9D" w:rsidP="00EE5C9D">
      <w:pPr>
        <w:pStyle w:val="ListBullet"/>
      </w:pPr>
      <w:r w:rsidRPr="00EE5C9D">
        <w:t>responded appropriately t</w:t>
      </w:r>
      <w:r w:rsidRPr="00EE5C9D">
        <w:t xml:space="preserve">o process variations and equipment start-up and shutdown faults </w:t>
      </w:r>
    </w:p>
    <w:p w:rsidR="00000000" w:rsidRPr="00EE5C9D" w:rsidP="00EE5C9D">
      <w:pPr>
        <w:pStyle w:val="ListBullet"/>
      </w:pPr>
      <w:r w:rsidRPr="00EE5C9D">
        <w:t>completed routine maintenance on the equipment</w:t>
      </w:r>
    </w:p>
    <w:p w:rsidR="00000000" w:rsidRPr="00EE5C9D" w:rsidP="00EE5C9D">
      <w:pPr>
        <w:pStyle w:val="ListBullet"/>
      </w:pPr>
      <w:r w:rsidRPr="00EE5C9D">
        <w:t>completed accurate basic records for equipment processes and problems.</w:t>
      </w:r>
    </w:p>
    <w:p w:rsidR="00000000" w:rsidRPr="00EE5C9D" w:rsidP="00EE5C9D">
      <w:pPr>
        <w:pStyle w:val="AllowPageBreak"/>
      </w:pPr>
    </w:p>
    <w:p w:rsidR="00000000" w:rsidRPr="00EE5C9D" w:rsidP="00EE5C9D">
      <w:pPr>
        <w:pStyle w:val="Heading1"/>
      </w:pPr>
      <w:bookmarkStart w:id="3" w:name="O_1206223"/>
      <w:bookmarkEnd w:id="3"/>
      <w:r w:rsidRPr="00EE5C9D">
        <w:t>Knowledge Evidence</w:t>
      </w:r>
    </w:p>
    <w:p w:rsidR="00000000" w:rsidRPr="00EE5C9D" w:rsidP="00E80C60">
      <w:pPr>
        <w:pStyle w:val="BodyText"/>
      </w:pPr>
      <w:r w:rsidRPr="00EE5C9D">
        <w:t>An individual must be able to demon</w:t>
      </w:r>
      <w:r w:rsidRPr="00EE5C9D">
        <w:t>strate the knowledge required to perform the tasks outlined in the elements and performance criteria of this unit. This includes knowledge of:</w:t>
      </w:r>
    </w:p>
    <w:p w:rsidR="00000000" w:rsidRPr="00EE5C9D" w:rsidP="00EE5C9D">
      <w:pPr>
        <w:pStyle w:val="ListBullet"/>
      </w:pPr>
      <w:r w:rsidRPr="00EE5C9D">
        <w:t>system layout for ancillary equipment</w:t>
      </w:r>
    </w:p>
    <w:p w:rsidR="00000000" w:rsidRPr="00EE5C9D" w:rsidP="00EE5C9D">
      <w:pPr>
        <w:pStyle w:val="ListBullet"/>
      </w:pPr>
      <w:r w:rsidRPr="00EE5C9D">
        <w:t>purpose, features and operation of ancillary equipment, operating paramete</w:t>
      </w:r>
      <w:r w:rsidRPr="00EE5C9D">
        <w:t>rs and allowable variations</w:t>
      </w:r>
    </w:p>
    <w:p w:rsidR="00000000" w:rsidRPr="00EE5C9D" w:rsidP="00EE5C9D">
      <w:pPr>
        <w:pStyle w:val="ListBullet"/>
      </w:pPr>
      <w:r w:rsidRPr="00EE5C9D">
        <w:t>operation and application of electronic and other control systems</w:t>
      </w:r>
    </w:p>
    <w:p w:rsidR="00000000" w:rsidRPr="00EE5C9D" w:rsidP="00EE5C9D">
      <w:pPr>
        <w:pStyle w:val="ListBullet"/>
      </w:pPr>
      <w:r w:rsidRPr="00EE5C9D">
        <w:t>stages involved in starting up ancillary equipment and conducting pre-start-up safety checks</w:t>
      </w:r>
    </w:p>
    <w:p w:rsidR="00000000" w:rsidRPr="00EE5C9D" w:rsidP="00EE5C9D">
      <w:pPr>
        <w:pStyle w:val="ListBullet"/>
      </w:pPr>
      <w:r w:rsidRPr="00EE5C9D">
        <w:t>methods used to monitor ancillary equipment operations against specif</w:t>
      </w:r>
      <w:r w:rsidRPr="00EE5C9D">
        <w:t>ied system parameters</w:t>
      </w:r>
    </w:p>
    <w:p w:rsidR="00000000" w:rsidRPr="00EE5C9D" w:rsidP="00EE5C9D">
      <w:pPr>
        <w:pStyle w:val="ListBullet"/>
      </w:pPr>
      <w:r w:rsidRPr="00EE5C9D">
        <w:t>types, causes and effects of, and required emergency and other responses to, unplanned ancillary equipment shutdowns, including:</w:t>
      </w:r>
    </w:p>
    <w:p w:rsidR="00000000" w:rsidRPr="00EE5C9D" w:rsidP="00EE5C9D">
      <w:pPr>
        <w:pStyle w:val="ListBullet2"/>
      </w:pPr>
      <w:r w:rsidRPr="00EE5C9D">
        <w:t>power outage</w:t>
      </w:r>
    </w:p>
    <w:p w:rsidR="00000000" w:rsidRPr="00EE5C9D" w:rsidP="00EE5C9D">
      <w:pPr>
        <w:pStyle w:val="ListBullet2"/>
      </w:pPr>
      <w:r w:rsidRPr="00EE5C9D">
        <w:t>mechanical breakdown</w:t>
      </w:r>
    </w:p>
    <w:p w:rsidR="00000000" w:rsidRPr="00EE5C9D" w:rsidP="00EE5C9D">
      <w:pPr>
        <w:pStyle w:val="ListBullet2"/>
      </w:pPr>
      <w:r w:rsidRPr="00EE5C9D">
        <w:t>blockages</w:t>
      </w:r>
    </w:p>
    <w:p w:rsidR="00000000" w:rsidRPr="00EE5C9D" w:rsidP="00EE5C9D">
      <w:pPr>
        <w:pStyle w:val="ListBullet2"/>
      </w:pPr>
      <w:r w:rsidRPr="00EE5C9D">
        <w:t>jamming</w:t>
      </w:r>
    </w:p>
    <w:p w:rsidR="00000000" w:rsidRPr="00EE5C9D" w:rsidP="00EE5C9D">
      <w:pPr>
        <w:pStyle w:val="ListBullet2"/>
      </w:pPr>
      <w:r w:rsidRPr="00EE5C9D">
        <w:t>air supply</w:t>
      </w:r>
    </w:p>
    <w:p w:rsidR="00000000" w:rsidRPr="00EE5C9D" w:rsidP="00EE5C9D">
      <w:pPr>
        <w:pStyle w:val="ListBullet2"/>
      </w:pPr>
      <w:r w:rsidRPr="00EE5C9D">
        <w:t>control system failure</w:t>
      </w:r>
    </w:p>
    <w:p w:rsidR="00000000" w:rsidRPr="00EE5C9D" w:rsidP="00EE5C9D">
      <w:pPr>
        <w:pStyle w:val="ListBullet"/>
      </w:pPr>
      <w:r w:rsidRPr="00EE5C9D">
        <w:t>responses to unplanned or emergency shutdowns that are appropriate to the cause</w:t>
      </w:r>
    </w:p>
    <w:p w:rsidR="00000000" w:rsidRPr="00EE5C9D" w:rsidP="00EE5C9D">
      <w:pPr>
        <w:pStyle w:val="ListBullet"/>
      </w:pPr>
      <w:r w:rsidRPr="00EE5C9D">
        <w:t>methods used to test ancillary equipment and diagnose faults</w:t>
      </w:r>
    </w:p>
    <w:p w:rsidR="00000000" w:rsidRPr="00EE5C9D" w:rsidP="00EE5C9D">
      <w:pPr>
        <w:pStyle w:val="ListBullet"/>
      </w:pPr>
      <w:r w:rsidRPr="00EE5C9D">
        <w:t>workplace procedures relevant to operating ancillary equipment:</w:t>
      </w:r>
    </w:p>
    <w:p w:rsidR="00000000" w:rsidRPr="00EE5C9D" w:rsidP="00EE5C9D">
      <w:pPr>
        <w:pStyle w:val="ListBullet2"/>
      </w:pPr>
      <w:r w:rsidRPr="00EE5C9D">
        <w:t xml:space="preserve">standard operating procedures </w:t>
      </w:r>
    </w:p>
    <w:p w:rsidR="00000000" w:rsidRPr="00EE5C9D" w:rsidP="00EE5C9D">
      <w:pPr>
        <w:pStyle w:val="ListBullet2"/>
      </w:pPr>
      <w:r w:rsidRPr="00EE5C9D">
        <w:t>workplace health an</w:t>
      </w:r>
      <w:r w:rsidRPr="00EE5C9D">
        <w:t>d safety, including equipment lock-out and use of personal protective equipment</w:t>
      </w:r>
    </w:p>
    <w:p w:rsidR="00000000" w:rsidRPr="00EE5C9D" w:rsidP="00EE5C9D">
      <w:pPr>
        <w:pStyle w:val="ListBullet2"/>
      </w:pPr>
      <w:r w:rsidRPr="00EE5C9D">
        <w:t>communication reporting lines</w:t>
      </w:r>
    </w:p>
    <w:p w:rsidR="00000000" w:rsidRPr="00EE5C9D" w:rsidP="00EE5C9D">
      <w:pPr>
        <w:pStyle w:val="ListBullet2"/>
      </w:pPr>
      <w:r w:rsidRPr="00EE5C9D">
        <w:t>recording and reporting processes, equipment start-up, shutdown and problems.</w:t>
      </w:r>
    </w:p>
    <w:p w:rsidR="00000000" w:rsidRPr="00EE5C9D" w:rsidP="00EE5C9D">
      <w:pPr>
        <w:pStyle w:val="AllowPageBreak"/>
      </w:pPr>
    </w:p>
    <w:p w:rsidR="00000000" w:rsidRPr="00EE5C9D" w:rsidP="00EE5C9D">
      <w:pPr>
        <w:pStyle w:val="Heading1"/>
      </w:pPr>
      <w:bookmarkStart w:id="4" w:name="O_1206224"/>
      <w:bookmarkEnd w:id="4"/>
      <w:r w:rsidRPr="00EE5C9D">
        <w:t>Assessment Conditions</w:t>
      </w:r>
    </w:p>
    <w:p w:rsidR="00000000" w:rsidRPr="00EE5C9D" w:rsidP="00E80C60">
      <w:pPr>
        <w:pStyle w:val="BodyText"/>
      </w:pPr>
      <w:r w:rsidRPr="00EE5C9D">
        <w:t>Assessment of the skills in this unit of competency must take place under the following conditions:</w:t>
      </w:r>
    </w:p>
    <w:p w:rsidR="00000000" w:rsidRPr="00EE5C9D" w:rsidP="00EE5C9D">
      <w:pPr>
        <w:pStyle w:val="ListBullet"/>
      </w:pPr>
      <w:r w:rsidRPr="00EE5C9D">
        <w:t>physical conditions:</w:t>
      </w:r>
    </w:p>
    <w:p w:rsidR="00000000" w:rsidRPr="00EE5C9D" w:rsidP="00EE5C9D">
      <w:pPr>
        <w:pStyle w:val="ListBullet2"/>
      </w:pPr>
      <w:r w:rsidRPr="00EE5C9D">
        <w:t>skills must be demonstrated in a pulp and/or paper manufacturing facility or an environment that accurately reflects performance in a</w:t>
      </w:r>
      <w:r w:rsidRPr="00EE5C9D">
        <w:t xml:space="preserve"> workplace</w:t>
      </w:r>
    </w:p>
    <w:p w:rsidR="00000000" w:rsidRPr="00EE5C9D" w:rsidP="00EE5C9D">
      <w:pPr>
        <w:pStyle w:val="ListBullet"/>
      </w:pPr>
      <w:r w:rsidRPr="00EE5C9D">
        <w:t>resources, equipment and materials:</w:t>
      </w:r>
    </w:p>
    <w:p w:rsidR="00000000" w:rsidRPr="00EE5C9D" w:rsidP="00EE5C9D">
      <w:pPr>
        <w:pStyle w:val="ListBullet2"/>
      </w:pPr>
      <w:r w:rsidRPr="00EE5C9D">
        <w:t>ancillary equipment as specified in performance evidence</w:t>
      </w:r>
    </w:p>
    <w:p w:rsidR="00000000" w:rsidRPr="00EE5C9D" w:rsidP="00EE5C9D">
      <w:pPr>
        <w:pStyle w:val="ListBullet2"/>
      </w:pPr>
      <w:r w:rsidRPr="00EE5C9D">
        <w:t>electronic screens and alarms</w:t>
      </w:r>
    </w:p>
    <w:p w:rsidR="00000000" w:rsidRPr="00EE5C9D" w:rsidP="00EE5C9D">
      <w:pPr>
        <w:pStyle w:val="ListBullet2"/>
      </w:pPr>
      <w:r w:rsidRPr="00EE5C9D">
        <w:t>process control systems</w:t>
      </w:r>
    </w:p>
    <w:p w:rsidR="00000000" w:rsidRPr="00EE5C9D" w:rsidP="00EE5C9D">
      <w:pPr>
        <w:pStyle w:val="ListBullet2"/>
      </w:pPr>
      <w:r w:rsidRPr="00EE5C9D">
        <w:t>maintenance tools and equipment for ancillary equipment</w:t>
      </w:r>
    </w:p>
    <w:p w:rsidR="00000000" w:rsidRPr="00EE5C9D" w:rsidP="00EE5C9D">
      <w:pPr>
        <w:pStyle w:val="ListBullet2"/>
      </w:pPr>
      <w:r w:rsidRPr="00EE5C9D">
        <w:t>personal protective equipment suitable f</w:t>
      </w:r>
      <w:r w:rsidRPr="00EE5C9D">
        <w:t>or operating and maintaining ancillary equipment</w:t>
      </w:r>
    </w:p>
    <w:p w:rsidR="00000000" w:rsidRPr="00EE5C9D" w:rsidP="00EE5C9D">
      <w:pPr>
        <w:pStyle w:val="ListBullet2"/>
      </w:pPr>
      <w:r w:rsidRPr="00EE5C9D">
        <w:t xml:space="preserve">proforma or recording system for recording equipment processes and faults </w:t>
      </w:r>
    </w:p>
    <w:p w:rsidR="00000000" w:rsidRPr="00EE5C9D" w:rsidP="00EE5C9D">
      <w:pPr>
        <w:pStyle w:val="ListBullet"/>
      </w:pPr>
      <w:r w:rsidRPr="00EE5C9D">
        <w:t>specifications:</w:t>
      </w:r>
    </w:p>
    <w:p w:rsidR="00000000" w:rsidRPr="00EE5C9D" w:rsidP="00EE5C9D">
      <w:pPr>
        <w:pStyle w:val="ListBullet2"/>
      </w:pPr>
      <w:r w:rsidRPr="00EE5C9D">
        <w:t>workplace and standard operating procedures relating to operating ancillary equipment, including health and safety</w:t>
      </w:r>
      <w:r w:rsidRPr="00EE5C9D">
        <w:t>, risks and hazards identification, plant isolation, quality, housekeeping and environmental requirements</w:t>
      </w:r>
    </w:p>
    <w:p w:rsidR="00000000" w:rsidRPr="00EE5C9D" w:rsidP="00EE5C9D">
      <w:pPr>
        <w:pStyle w:val="ListBullet2"/>
      </w:pPr>
      <w:r w:rsidRPr="00EE5C9D">
        <w:t>maintenance schedules for ancillary equipment.</w:t>
      </w:r>
    </w:p>
    <w:p w:rsidR="00000000" w:rsidRPr="00EE5C9D" w:rsidP="00E80C60">
      <w:pPr>
        <w:pStyle w:val="BodyText"/>
      </w:pPr>
      <w:r w:rsidRPr="00EE5C9D">
        <w:t>Assessors of this unit must satisfy the requirements for assessors in applicable vocational education and training legislation, frameworks and/or standards.</w:t>
      </w:r>
    </w:p>
    <w:p w:rsidR="00000000" w:rsidRPr="00EE5C9D" w:rsidP="00EE5C9D">
      <w:pPr>
        <w:pStyle w:val="Heading1"/>
      </w:pPr>
      <w:bookmarkStart w:id="5" w:name="O_1206227"/>
      <w:bookmarkEnd w:id="5"/>
      <w:r w:rsidRPr="00EE5C9D">
        <w:t>Links</w:t>
      </w:r>
    </w:p>
    <w:p w:rsidR="00000000" w:rsidRPr="00EE5C9D" w:rsidP="00E80C60">
      <w:pPr>
        <w:pStyle w:val="BodyText"/>
      </w:pPr>
      <w:r w:rsidRPr="00EE5C9D">
        <w:t>Companion Volumes, including Implementation Guides, are available at VETNe</w:t>
      </w:r>
      <w:r w:rsidRPr="00EE5C9D">
        <w:t xml:space="preserve">t: - </w:t>
      </w:r>
      <w:r>
        <w:fldChar w:fldCharType="begin"/>
      </w:r>
      <w:r>
        <w:instrText xml:space="preserve"> HYPERLINK "https://vetnet.gov.au/Pages/TrainingDocs.aspx?q=12998f8d-d0ac-40bc-a69e-72a600d4fd93" </w:instrText>
      </w:r>
      <w:r>
        <w:fldChar w:fldCharType="separate"/>
      </w:r>
      <w:r w:rsidRPr="003D0BD7">
        <w:rPr>
          <w:rStyle w:val="Hyperlink"/>
        </w:rPr>
        <w:t>https://vetnet.gov.au/Pages/TrainingDocs.aspx?q=12998f8d-d0ac-40bc-a69e-72a600d4fd93</w:t>
      </w:r>
      <w:r>
        <w:fldChar w:fldCharType="end"/>
      </w:r>
    </w:p>
    <w:p w:rsidR="00000000" w:rsidRPr="00EE5C9D" w:rsidP="00EE5C9D"/>
    <w:sectPr w:rsidSect="00EE5C9D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E5C9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E5C9D" w:rsidRPr="00E80C60" w:rsidP="00E80C6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E5C9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80C60" w:rsidP="00EE5C9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E80C60" w:rsidP="00EE5C9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E80C60" w:rsidP="00EE5C9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E5C9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80C6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E5C9D" w:rsidRPr="00E80C60" w:rsidP="00E80C6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E5C9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80C60" w:rsidRPr="002D2AF8" w:rsidP="00EE5C9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PPMPRV201 Operate ancillary equipment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22 February 2023</w:t>
    </w:r>
    <w:r>
      <w:fldChar w:fldCharType="end"/>
    </w:r>
  </w:p>
  <w:p w:rsidR="00E80C60" w:rsidP="00EE5C9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3EB87D0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CF1AB7D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31329AE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E5C9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E5C9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E5C9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E5C9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E5C9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E5C9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E5C9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E5C9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E5C9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E5C9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E5C9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E5C9D"/>
  </w:style>
  <w:style w:type="character" w:customStyle="1" w:styleId="Heading1Char">
    <w:name w:val="Heading 1 Char"/>
    <w:basedOn w:val="DefaultParagraphFont"/>
    <w:link w:val="Heading1"/>
    <w:rsid w:val="00EE5C9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E5C9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E5C9D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EE5C9D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EE5C9D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EE5C9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E5C9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EE5C9D"/>
    <w:rPr>
      <w:b/>
    </w:rPr>
  </w:style>
  <w:style w:type="character" w:customStyle="1" w:styleId="Heading2Char">
    <w:name w:val="Heading 2 Char"/>
    <w:basedOn w:val="DefaultParagraphFont"/>
    <w:link w:val="Heading2"/>
    <w:rsid w:val="00EE5C9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E5C9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E5C9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E5C9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E5C9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E5C9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E5C9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E5C9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E5C9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E5C9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E5C9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E5C9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E5C9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E5C9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E5C9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E5C9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E5C9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E5C9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E5C9D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EE5C9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EE5C9D"/>
    <w:rPr>
      <w:b/>
      <w:spacing w:val="0"/>
    </w:rPr>
  </w:style>
  <w:style w:type="paragraph" w:customStyle="1" w:styleId="SuperTitle">
    <w:name w:val="SuperTitle"/>
    <w:basedOn w:val="Title"/>
    <w:rsid w:val="00EE5C9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E5C9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E5C9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EE5C9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E5C9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E5C9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E5C9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E5C9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E5C9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E5C9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E5C9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E5C9D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EE5C9D"/>
    <w:rPr>
      <w:i/>
    </w:rPr>
  </w:style>
  <w:style w:type="paragraph" w:styleId="Caption">
    <w:name w:val="caption"/>
    <w:basedOn w:val="BodyText"/>
    <w:next w:val="Normal"/>
    <w:qFormat/>
    <w:rsid w:val="00EE5C9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E5C9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E5C9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E5C9D"/>
  </w:style>
  <w:style w:type="paragraph" w:styleId="TableofFigures">
    <w:name w:val="table of figures"/>
    <w:basedOn w:val="Normal"/>
    <w:next w:val="Normal"/>
    <w:semiHidden/>
    <w:rsid w:val="00EE5C9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E5C9D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EE5C9D"/>
    <w:rPr>
      <w:rFonts w:ascii="Wingdings" w:hAnsi="Wingdings"/>
    </w:rPr>
  </w:style>
  <w:style w:type="paragraph" w:customStyle="1" w:styleId="TableHeading">
    <w:name w:val="Table Heading"/>
    <w:basedOn w:val="HeadingBase"/>
    <w:rsid w:val="00EE5C9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E5C9D"/>
    <w:rPr>
      <w:color w:val="0033CC"/>
      <w:u w:val="none"/>
    </w:rPr>
  </w:style>
  <w:style w:type="paragraph" w:customStyle="1" w:styleId="BodyTextRight">
    <w:name w:val="Body Text Right"/>
    <w:basedOn w:val="BodyText"/>
    <w:rsid w:val="00EE5C9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E5C9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E5C9D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E5C9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E5C9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E5C9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E5C9D"/>
    <w:rPr>
      <w:sz w:val="32"/>
    </w:rPr>
  </w:style>
  <w:style w:type="paragraph" w:customStyle="1" w:styleId="HeadingProcedure">
    <w:name w:val="Heading Procedure"/>
    <w:basedOn w:val="HeadingBase"/>
    <w:next w:val="Normal"/>
    <w:rsid w:val="00EE5C9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E5C9D"/>
    <w:pPr>
      <w:spacing w:before="60" w:after="60"/>
    </w:pPr>
  </w:style>
  <w:style w:type="paragraph" w:styleId="ListContinue">
    <w:name w:val="List Continue"/>
    <w:basedOn w:val="List"/>
    <w:rsid w:val="00EE5C9D"/>
    <w:pPr>
      <w:ind w:firstLine="0"/>
    </w:pPr>
  </w:style>
  <w:style w:type="paragraph" w:customStyle="1" w:styleId="ListNote">
    <w:name w:val="List Note"/>
    <w:basedOn w:val="List"/>
    <w:rsid w:val="00EE5C9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E5C9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E5C9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E5C9D"/>
    <w:rPr>
      <w:rFonts w:ascii="Courier New" w:hAnsi="Courier New"/>
    </w:rPr>
  </w:style>
  <w:style w:type="paragraph" w:customStyle="1" w:styleId="NoteBullet">
    <w:name w:val="Note Bullet"/>
    <w:basedOn w:val="Note"/>
    <w:rsid w:val="00EE5C9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E5C9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E5C9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E5C9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E5C9D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EE5C9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E5C9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E5C9D"/>
    <w:rPr>
      <w:b/>
      <w:smallCaps/>
    </w:rPr>
  </w:style>
  <w:style w:type="paragraph" w:customStyle="1" w:styleId="TableListNumber">
    <w:name w:val="Table List Number"/>
    <w:basedOn w:val="ListNumber"/>
    <w:rsid w:val="00EE5C9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E5C9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E5C9D"/>
    <w:pPr>
      <w:numPr>
        <w:numId w:val="9"/>
      </w:numPr>
    </w:pPr>
  </w:style>
  <w:style w:type="paragraph" w:customStyle="1" w:styleId="ListAlpha2">
    <w:name w:val="List Alpha 2"/>
    <w:basedOn w:val="List2"/>
    <w:rsid w:val="00EE5C9D"/>
    <w:pPr>
      <w:numPr>
        <w:numId w:val="8"/>
      </w:numPr>
    </w:pPr>
  </w:style>
  <w:style w:type="paragraph" w:styleId="List2">
    <w:name w:val="List 2"/>
    <w:basedOn w:val="BodyText"/>
    <w:rsid w:val="00EE5C9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E5C9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E5C9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E5C9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E5C9D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E5C9D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EE5C9D"/>
    <w:pPr>
      <w:numPr>
        <w:numId w:val="4"/>
      </w:numPr>
    </w:pPr>
  </w:style>
  <w:style w:type="paragraph" w:styleId="ListContinue2">
    <w:name w:val="List Continue 2"/>
    <w:basedOn w:val="List2"/>
    <w:rsid w:val="00EE5C9D"/>
    <w:pPr>
      <w:ind w:firstLine="0"/>
    </w:pPr>
  </w:style>
  <w:style w:type="paragraph" w:styleId="ListContinue3">
    <w:name w:val="List Continue 3"/>
    <w:basedOn w:val="List3"/>
    <w:rsid w:val="00EE5C9D"/>
    <w:pPr>
      <w:ind w:left="1021" w:firstLine="0"/>
    </w:pPr>
  </w:style>
  <w:style w:type="paragraph" w:styleId="ListContinue4">
    <w:name w:val="List Continue 4"/>
    <w:basedOn w:val="List4"/>
    <w:rsid w:val="00EE5C9D"/>
    <w:pPr>
      <w:ind w:firstLine="0"/>
    </w:pPr>
  </w:style>
  <w:style w:type="paragraph" w:styleId="ListContinue5">
    <w:name w:val="List Continue 5"/>
    <w:basedOn w:val="List5"/>
    <w:rsid w:val="00EE5C9D"/>
    <w:pPr>
      <w:ind w:firstLine="0"/>
    </w:pPr>
  </w:style>
  <w:style w:type="paragraph" w:styleId="ListNumber3">
    <w:name w:val="List Number 3"/>
    <w:basedOn w:val="List3"/>
    <w:rsid w:val="00EE5C9D"/>
    <w:pPr>
      <w:numPr>
        <w:numId w:val="5"/>
      </w:numPr>
    </w:pPr>
  </w:style>
  <w:style w:type="paragraph" w:styleId="ListNumber4">
    <w:name w:val="List Number 4"/>
    <w:basedOn w:val="List4"/>
    <w:rsid w:val="00EE5C9D"/>
    <w:pPr>
      <w:numPr>
        <w:numId w:val="6"/>
      </w:numPr>
    </w:pPr>
  </w:style>
  <w:style w:type="paragraph" w:styleId="ListNumber5">
    <w:name w:val="List Number 5"/>
    <w:basedOn w:val="List5"/>
    <w:rsid w:val="00EE5C9D"/>
    <w:pPr>
      <w:numPr>
        <w:numId w:val="7"/>
      </w:numPr>
    </w:pPr>
  </w:style>
  <w:style w:type="paragraph" w:styleId="BlockText">
    <w:name w:val="Block Text"/>
    <w:basedOn w:val="Normal"/>
    <w:rsid w:val="00EE5C9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E5C9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E5C9D"/>
    <w:rPr>
      <w:sz w:val="16"/>
      <w:vertAlign w:val="superscript"/>
    </w:rPr>
  </w:style>
  <w:style w:type="character" w:customStyle="1" w:styleId="Symbols">
    <w:name w:val="Symbols"/>
    <w:basedOn w:val="DefaultParagraphFont"/>
    <w:rsid w:val="00EE5C9D"/>
    <w:rPr>
      <w:rFonts w:ascii="Symbol" w:hAnsi="Symbol"/>
    </w:rPr>
  </w:style>
  <w:style w:type="character" w:customStyle="1" w:styleId="MenuOptions">
    <w:name w:val="Menu Options"/>
    <w:basedOn w:val="DefaultParagraphFont"/>
    <w:rsid w:val="00EE5C9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E5C9D"/>
    <w:rPr>
      <w:b/>
    </w:rPr>
  </w:style>
  <w:style w:type="character" w:customStyle="1" w:styleId="Underlined">
    <w:name w:val="Underlined"/>
    <w:basedOn w:val="DefaultParagraphFont"/>
    <w:rsid w:val="00EE5C9D"/>
    <w:rPr>
      <w:u w:val="single"/>
    </w:rPr>
  </w:style>
  <w:style w:type="paragraph" w:customStyle="1" w:styleId="TableBodyTextRight">
    <w:name w:val="Table Body Text Right"/>
    <w:basedOn w:val="TableBodyText"/>
    <w:rsid w:val="00EE5C9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E5C9D"/>
    <w:rPr>
      <w:sz w:val="18"/>
    </w:rPr>
  </w:style>
  <w:style w:type="paragraph" w:customStyle="1" w:styleId="BodySmallRight">
    <w:name w:val="Body Small Right"/>
    <w:basedOn w:val="BodyTextRight"/>
    <w:rsid w:val="00EE5C9D"/>
    <w:rPr>
      <w:sz w:val="18"/>
      <w:szCs w:val="18"/>
    </w:rPr>
  </w:style>
  <w:style w:type="paragraph" w:customStyle="1" w:styleId="MarginEdition">
    <w:name w:val="Margin Edition"/>
    <w:basedOn w:val="MarginNote"/>
    <w:rsid w:val="00EE5C9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E5C9D"/>
    <w:rPr>
      <w:sz w:val="2"/>
      <w:szCs w:val="2"/>
    </w:rPr>
  </w:style>
  <w:style w:type="character" w:customStyle="1" w:styleId="Small">
    <w:name w:val="Small"/>
    <w:basedOn w:val="DefaultParagraphFont"/>
    <w:rsid w:val="00EE5C9D"/>
    <w:rPr>
      <w:sz w:val="16"/>
    </w:rPr>
  </w:style>
  <w:style w:type="paragraph" w:customStyle="1" w:styleId="WideTable">
    <w:name w:val="Wide Table"/>
    <w:basedOn w:val="Normal"/>
    <w:rsid w:val="00EE5C9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E5C9D"/>
  </w:style>
  <w:style w:type="paragraph" w:styleId="Quote">
    <w:name w:val="Quote"/>
    <w:basedOn w:val="Heading1"/>
    <w:link w:val="QuoteChar"/>
    <w:qFormat/>
    <w:rsid w:val="00EE5C9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E5C9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E5C9D"/>
    <w:pPr>
      <w:pageBreakBefore/>
    </w:pPr>
  </w:style>
  <w:style w:type="paragraph" w:customStyle="1" w:styleId="Border">
    <w:name w:val="Border"/>
    <w:basedOn w:val="Normal"/>
    <w:qFormat/>
    <w:rsid w:val="00EE5C9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E5C9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E5C9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E5C9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E5C9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E5C9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E5C9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E5C9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E5C9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E5C9D"/>
    <w:rPr>
      <w:u w:val="single"/>
    </w:rPr>
  </w:style>
  <w:style w:type="character" w:customStyle="1" w:styleId="BoldandItalics">
    <w:name w:val="Bold and Italics"/>
    <w:qFormat/>
    <w:rsid w:val="00EE5C9D"/>
    <w:rPr>
      <w:b/>
      <w:i/>
      <w:u w:val="none"/>
    </w:rPr>
  </w:style>
  <w:style w:type="paragraph" w:styleId="BalloonText">
    <w:name w:val="Balloon Text"/>
    <w:basedOn w:val="Normal"/>
    <w:link w:val="BalloonTextChar"/>
    <w:rsid w:val="00EE5C9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E5C9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E5C9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E5C9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E5C9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E5C9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E5C9D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E80C6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498</Words>
  <Characters>3412</Characters>
  <Application>Microsoft Office Word</Application>
  <DocSecurity>0</DocSecurity>
  <Lines>92</Lines>
  <Paragraphs>73</Paragraphs>
  <ScaleCrop>false</ScaleCrop>
  <Company>Author-it Software Corporation Ltd.</Company>
  <LinksUpToDate>false</LinksUpToDate>
  <CharactersWithSpaces>3837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PPMPRV201 Operate ancillary equipment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2023-02-22T01:10:00Z</dcterms:created>
  <dcterms:modified xsi:type="dcterms:W3CDTF">2023-02-22T01:10:00Z</dcterms:modified>
</cp:coreProperties>
</file>