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0EA" w:rsidP="00512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PPMENV201 Identify and monitor environmental discharges and emissions</w:t>
      </w:r>
      <w:r>
        <w:fldChar w:fldCharType="end"/>
      </w:r>
    </w:p>
    <w:p w:rsidR="005120EA" w:rsidP="005120EA">
      <w:pPr>
        <w:pStyle w:val="Version"/>
        <w:sectPr w:rsidSect="00FD0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E93" w:rsidP="00FD0E93">
      <w:pPr>
        <w:pStyle w:val="SuperHeading"/>
      </w:pPr>
      <w:r w:rsidRPr="00FD0E93">
        <w:t>PPMENV201 Identify and monitor environmental discharges and emissions</w:t>
      </w:r>
    </w:p>
    <w:p w:rsidR="00000000" w:rsidRPr="00FD0E93" w:rsidP="00FD0E93">
      <w:pPr>
        <w:pStyle w:val="Heading1"/>
      </w:pPr>
      <w:bookmarkStart w:id="1" w:name="O_1205729"/>
      <w:bookmarkEnd w:id="1"/>
      <w:r w:rsidRPr="00FD0E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Comments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t>This version released with PPM Pulp and Paper Manufacturing Training Package Version 3.0.</w:t>
            </w:r>
          </w:p>
        </w:tc>
      </w:tr>
    </w:tbl>
    <w:p w:rsidR="005120EA" w:rsidP="00FD0E93">
      <w:pPr>
        <w:pStyle w:val="BodyText"/>
      </w:pPr>
    </w:p>
    <w:p w:rsidR="005120EA" w:rsidP="00FD0E93">
      <w:pPr>
        <w:pStyle w:val="BodyText"/>
      </w:pPr>
    </w:p>
    <w:p w:rsidR="00000000" w:rsidRPr="00FD0E93" w:rsidP="00FD0E93">
      <w:pPr>
        <w:pStyle w:val="Heading1"/>
      </w:pPr>
      <w:bookmarkStart w:id="2" w:name="O_1205730"/>
      <w:bookmarkEnd w:id="2"/>
      <w:r w:rsidRPr="00FD0E93">
        <w:t>Application</w:t>
      </w:r>
    </w:p>
    <w:p w:rsidR="00000000" w:rsidRPr="00FD0E93" w:rsidP="005120EA">
      <w:pPr>
        <w:pStyle w:val="BodyText"/>
      </w:pPr>
      <w:r w:rsidRPr="00FD0E93">
        <w:t>This unit of competency describes the skills and knowledge required to identify, monitor and report on environmental discharges and emissions in a pulp and/or paper manufacturing facility.</w:t>
      </w:r>
    </w:p>
    <w:p w:rsidR="00000000" w:rsidRPr="00FD0E93" w:rsidP="005120EA">
      <w:pPr>
        <w:pStyle w:val="BodyText"/>
      </w:pPr>
      <w:r w:rsidRPr="00FD0E93">
        <w:t>The unit applies to production support operators who pe</w:t>
      </w:r>
      <w:r w:rsidRPr="00FD0E93">
        <w:t xml:space="preserve">rform a range of routine tasks requiring environmentally sustainable work practices. </w:t>
      </w:r>
    </w:p>
    <w:p w:rsidR="00000000" w:rsidRPr="00FD0E93" w:rsidP="005120EA">
      <w:pPr>
        <w:pStyle w:val="BodyText"/>
      </w:pPr>
      <w:r w:rsidRPr="00FD0E93">
        <w:t>No licensing, legislative or certification requirements apply to this unit at the time of publication.</w:t>
      </w:r>
    </w:p>
    <w:p w:rsidR="00000000" w:rsidRPr="00FD0E93" w:rsidP="00FD0E93">
      <w:pPr>
        <w:pStyle w:val="Heading1"/>
      </w:pPr>
      <w:bookmarkStart w:id="3" w:name="O_1205731"/>
      <w:bookmarkEnd w:id="3"/>
      <w:r w:rsidRPr="00FD0E93">
        <w:t>Pre-requisite Unit</w:t>
      </w:r>
    </w:p>
    <w:p w:rsidR="00000000" w:rsidRPr="00FD0E93" w:rsidP="005120EA">
      <w:pPr>
        <w:pStyle w:val="BodyText"/>
      </w:pPr>
      <w:r w:rsidRPr="00FD0E93">
        <w:t>Nil</w:t>
      </w:r>
    </w:p>
    <w:p w:rsidR="00000000" w:rsidRPr="00FD0E93" w:rsidP="00FD0E93">
      <w:pPr>
        <w:pStyle w:val="Heading1"/>
      </w:pPr>
      <w:bookmarkStart w:id="4" w:name="O_1205733"/>
      <w:bookmarkEnd w:id="4"/>
      <w:r w:rsidRPr="00FD0E93">
        <w:t>Unit S</w:t>
      </w:r>
      <w:r w:rsidRPr="00FD0E93">
        <w:t>ector</w:t>
      </w:r>
    </w:p>
    <w:p w:rsidR="00000000" w:rsidRPr="00FD0E93" w:rsidP="005120EA">
      <w:pPr>
        <w:pStyle w:val="BodyText"/>
      </w:pPr>
      <w:r w:rsidRPr="00FD0E93">
        <w:t>Environmental Monitoring (ENV)</w:t>
      </w:r>
    </w:p>
    <w:p w:rsidR="00000000" w:rsidRPr="00FD0E93" w:rsidP="00FD0E93">
      <w:pPr>
        <w:pStyle w:val="Heading1"/>
      </w:pPr>
      <w:bookmarkStart w:id="5" w:name="O_1205734"/>
      <w:bookmarkEnd w:id="5"/>
      <w:r w:rsidRPr="00FD0E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2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Performance Criteria</w:t>
            </w:r>
          </w:p>
        </w:tc>
      </w:tr>
      <w:tr w:rsidTr="00512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2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1. Monitor environmental discharges and emissions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t>1.1 Identify workplace environmental discharge and emissions issues in the pulp and paper manufacturing indus</w:t>
            </w:r>
            <w:r w:rsidRPr="00FD0E93">
              <w:t>try</w:t>
            </w:r>
          </w:p>
          <w:p w:rsidR="00000000" w:rsidRPr="00FD0E93" w:rsidP="00FD0E93">
            <w:pPr>
              <w:pStyle w:val="BodyText"/>
            </w:pPr>
            <w:r w:rsidRPr="00FD0E93">
              <w:t>1.2 Identify plant system, equipment and materials used in own work role and consider environmental discharge and emission impact</w:t>
            </w:r>
          </w:p>
          <w:p w:rsidR="00000000" w:rsidRPr="00FD0E93" w:rsidP="00FD0E93">
            <w:pPr>
              <w:pStyle w:val="BodyText"/>
            </w:pPr>
            <w:r w:rsidRPr="00FD0E93">
              <w:t>1.3 Recognise discharge and emission levels and consequences of exceeding allowable discharge and emission levels</w:t>
            </w:r>
          </w:p>
          <w:p w:rsidR="00000000" w:rsidRPr="00FD0E93" w:rsidP="00FD0E93">
            <w:pPr>
              <w:pStyle w:val="BodyText"/>
            </w:pPr>
            <w:r w:rsidRPr="00FD0E93">
              <w:t>1.4 Moni</w:t>
            </w:r>
            <w:r w:rsidRPr="00FD0E93">
              <w:t>tor and measure discharge and emission levels using equipment</w:t>
            </w:r>
          </w:p>
          <w:p w:rsidR="00000000" w:rsidRPr="00FD0E93" w:rsidP="00FD0E93">
            <w:pPr>
              <w:pStyle w:val="BodyText"/>
            </w:pPr>
            <w:r w:rsidRPr="00FD0E93">
              <w:t>1.5 Keep discharges and emissions within targeted limits</w:t>
            </w:r>
          </w:p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1.6 Remove waste from work area according to workplace and environmental procedures</w:t>
            </w:r>
          </w:p>
        </w:tc>
      </w:tr>
      <w:tr w:rsidTr="00512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2. Respond to abnormal environmental discharges and emissions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t>2.1 Report abnormal discharges and emissions to relevant personnel</w:t>
            </w:r>
          </w:p>
          <w:p w:rsidR="00000000" w:rsidRPr="00FD0E93" w:rsidP="00FD0E93">
            <w:pPr>
              <w:pStyle w:val="BodyText"/>
            </w:pPr>
            <w:r w:rsidRPr="00FD0E93">
              <w:t>2.2 Apply workplace containment procedures to respond to abnormal discharges and emissions levels</w:t>
            </w:r>
          </w:p>
          <w:p w:rsidR="00000000" w:rsidRPr="00FD0E93" w:rsidP="00FD0E93">
            <w:pPr>
              <w:pStyle w:val="BodyText"/>
            </w:pPr>
            <w:r w:rsidRPr="00FD0E93">
              <w:t>2.3 Record abnormal discharge</w:t>
            </w:r>
            <w:r w:rsidRPr="00FD0E93">
              <w:t>s and emissions levels according to workplace requirements</w:t>
            </w:r>
          </w:p>
        </w:tc>
      </w:tr>
    </w:tbl>
    <w:p w:rsidR="00000000" w:rsidRPr="00FD0E93" w:rsidP="00FD0E93">
      <w:pPr>
        <w:pStyle w:val="BodyText"/>
      </w:pPr>
    </w:p>
    <w:p w:rsidR="00000000" w:rsidRPr="00FD0E93" w:rsidP="00FD0E93">
      <w:pPr>
        <w:pStyle w:val="AllowPageBreak"/>
      </w:pPr>
    </w:p>
    <w:p w:rsidR="00000000" w:rsidRPr="00FD0E93" w:rsidP="00FD0E93">
      <w:pPr>
        <w:pStyle w:val="Heading1"/>
      </w:pPr>
      <w:bookmarkStart w:id="6" w:name="O_1205735"/>
      <w:bookmarkEnd w:id="6"/>
      <w:r w:rsidRPr="00FD0E93">
        <w:t>Foundation Skills</w:t>
      </w:r>
    </w:p>
    <w:p w:rsidR="00000000" w:rsidRPr="005120EA" w:rsidP="005120EA">
      <w:pPr>
        <w:pStyle w:val="BodyText"/>
        <w:rPr>
          <w:i/>
        </w:rPr>
      </w:pPr>
      <w:r w:rsidRPr="005120EA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5120EA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Description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ListBullet"/>
              <w:rPr>
                <w:lang w:val="en-NZ"/>
              </w:rPr>
            </w:pPr>
            <w:r w:rsidRPr="00FD0E93">
              <w:t>Interpret information in workplace procedures and documentation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ListBullet"/>
              <w:rPr>
                <w:lang w:val="en-NZ"/>
              </w:rPr>
            </w:pPr>
            <w:r w:rsidRPr="00FD0E93">
              <w:t xml:space="preserve">Record workplace information using clear language and industry terminology 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ListBullet"/>
            </w:pPr>
            <w:r w:rsidRPr="00FD0E93">
              <w:t xml:space="preserve">Ask </w:t>
            </w:r>
            <w:r w:rsidRPr="00FD0E93">
              <w:t>questions and actively listen to clarify workplace requirements</w:t>
            </w:r>
          </w:p>
          <w:p w:rsidR="00000000" w:rsidP="00FD0E93">
            <w:pPr>
              <w:pStyle w:val="ListBullet"/>
              <w:rPr>
                <w:lang w:val="en-NZ"/>
              </w:rPr>
            </w:pPr>
            <w:r w:rsidRPr="00FD0E93">
              <w:t>Report abnormal discharge and emissions levels using clear language and industry terminology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ListBullet"/>
            </w:pPr>
            <w:r w:rsidRPr="00FD0E93">
              <w:t xml:space="preserve">Interpret numerical settings on instruments, gauges and other recording equipment to </w:t>
            </w:r>
            <w:r w:rsidRPr="00FD0E93">
              <w:t>monitor emissions</w:t>
            </w:r>
          </w:p>
        </w:tc>
      </w:tr>
    </w:tbl>
    <w:p w:rsidR="00000000" w:rsidRPr="00FD0E93" w:rsidP="00FD0E93">
      <w:pPr>
        <w:pStyle w:val="BodyText"/>
      </w:pPr>
    </w:p>
    <w:p w:rsidR="00000000" w:rsidRPr="00FD0E93" w:rsidP="00FD0E93">
      <w:pPr>
        <w:pStyle w:val="AllowPageBreak"/>
      </w:pPr>
    </w:p>
    <w:p w:rsidR="00000000" w:rsidRPr="00FD0E93" w:rsidP="00FD0E93">
      <w:pPr>
        <w:pStyle w:val="Heading1"/>
      </w:pPr>
      <w:bookmarkStart w:id="7" w:name="O_1205737"/>
      <w:bookmarkEnd w:id="7"/>
      <w:r w:rsidRPr="00FD0E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Bold"/>
              <w:rPr>
                <w:lang w:val="en-NZ"/>
              </w:rPr>
            </w:pPr>
            <w:r w:rsidRPr="00FD0E93">
              <w:t>Equivalence status</w:t>
            </w:r>
          </w:p>
        </w:tc>
      </w:tr>
      <w:tr w:rsidTr="00FD0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PPMENV201 Identify and monitor environmental discharges and emissions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PPMENV210 Identify and monito</w:t>
            </w:r>
            <w:r w:rsidRPr="00FD0E93">
              <w:t>r environmental discharges/emissions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t>Minor amendment to unit title</w:t>
            </w:r>
          </w:p>
          <w:p w:rsidR="00000000" w:rsidRPr="00FD0E93" w:rsidP="00FD0E93">
            <w:pPr>
              <w:pStyle w:val="BodyText"/>
            </w:pPr>
            <w:r w:rsidRPr="00FD0E93">
              <w:t>Changes to elements, performance criteria, foundation skills, performance evidence and knowledge evidence</w:t>
            </w:r>
          </w:p>
          <w:p w:rsidR="00000000" w:rsidP="00FD0E93">
            <w:pPr>
              <w:pStyle w:val="BodyText"/>
              <w:rPr>
                <w:lang w:val="en-NZ"/>
              </w:rPr>
            </w:pPr>
            <w:r w:rsidRPr="00FD0E9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93" w:rsidP="00FD0E93">
            <w:pPr>
              <w:pStyle w:val="BodyText"/>
            </w:pPr>
            <w:r w:rsidRPr="00FD0E93">
              <w:t>Not equivalent</w:t>
            </w:r>
          </w:p>
        </w:tc>
      </w:tr>
    </w:tbl>
    <w:p w:rsidR="00000000" w:rsidRPr="00FD0E93" w:rsidP="00FD0E93">
      <w:pPr>
        <w:pStyle w:val="BodyText"/>
      </w:pPr>
    </w:p>
    <w:p w:rsidR="00000000" w:rsidRPr="00FD0E93" w:rsidP="00FD0E93">
      <w:pPr>
        <w:pStyle w:val="AllowPageBreak"/>
      </w:pPr>
    </w:p>
    <w:p w:rsidR="00000000" w:rsidRPr="00FD0E93" w:rsidP="00FD0E93">
      <w:pPr>
        <w:pStyle w:val="Heading1"/>
      </w:pPr>
      <w:bookmarkStart w:id="8" w:name="O_1205744"/>
      <w:bookmarkEnd w:id="8"/>
      <w:r w:rsidRPr="00FD0E93">
        <w:t>Links</w:t>
      </w:r>
    </w:p>
    <w:p w:rsidR="00000000" w:rsidRPr="00FD0E93" w:rsidP="005120EA">
      <w:pPr>
        <w:pStyle w:val="BodyText"/>
      </w:pPr>
      <w:r w:rsidRPr="00FD0E93">
        <w:t>Companion V</w:t>
      </w:r>
      <w:r w:rsidRPr="00FD0E93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B585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D0E93" w:rsidP="00FD0E93"/>
    <w:sectPr w:rsidSect="00FD0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3" w:rsidRPr="005120EA" w:rsidP="00512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EA" w:rsidP="00FD0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0EA" w:rsidP="00FD0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20EA" w:rsidP="00FD0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E93" w:rsidRPr="005120EA" w:rsidP="00512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EA" w:rsidRPr="002D2AF8" w:rsidP="00FD0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PPMENV201 Identify and monitor environmental discharges and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120EA" w:rsidP="00FD0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6A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DCF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E93"/>
  </w:style>
  <w:style w:type="character" w:customStyle="1" w:styleId="Heading1Char">
    <w:name w:val="Heading 1 Char"/>
    <w:basedOn w:val="DefaultParagraphFont"/>
    <w:link w:val="Heading1"/>
    <w:rsid w:val="00FD0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E9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0E93"/>
    <w:rPr>
      <w:i/>
    </w:rPr>
  </w:style>
  <w:style w:type="paragraph" w:customStyle="1" w:styleId="SuperHeading">
    <w:name w:val="SuperHeading"/>
    <w:basedOn w:val="Normal"/>
    <w:rsid w:val="00FD0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0E93"/>
    <w:rPr>
      <w:b/>
    </w:rPr>
  </w:style>
  <w:style w:type="character" w:customStyle="1" w:styleId="Heading2Char">
    <w:name w:val="Heading 2 Char"/>
    <w:basedOn w:val="DefaultParagraphFont"/>
    <w:link w:val="Heading2"/>
    <w:rsid w:val="00FD0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0E93"/>
    <w:rPr>
      <w:b/>
      <w:spacing w:val="0"/>
    </w:rPr>
  </w:style>
  <w:style w:type="paragraph" w:customStyle="1" w:styleId="SuperTitle">
    <w:name w:val="SuperTitle"/>
    <w:basedOn w:val="Title"/>
    <w:rsid w:val="00FD0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E93"/>
  </w:style>
  <w:style w:type="paragraph" w:styleId="TableofFigures">
    <w:name w:val="table of figures"/>
    <w:basedOn w:val="Normal"/>
    <w:next w:val="Normal"/>
    <w:semiHidden/>
    <w:rsid w:val="00FD0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E93"/>
    <w:rPr>
      <w:rFonts w:ascii="Wingdings" w:hAnsi="Wingdings"/>
    </w:rPr>
  </w:style>
  <w:style w:type="paragraph" w:customStyle="1" w:styleId="TableHeading">
    <w:name w:val="Table Heading"/>
    <w:basedOn w:val="HeadingBase"/>
    <w:rsid w:val="00FD0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E93"/>
    <w:rPr>
      <w:color w:val="0033CC"/>
      <w:u w:val="none"/>
    </w:rPr>
  </w:style>
  <w:style w:type="paragraph" w:customStyle="1" w:styleId="BodyTextRight">
    <w:name w:val="Body Text Right"/>
    <w:basedOn w:val="BodyText"/>
    <w:rsid w:val="00FD0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E93"/>
    <w:rPr>
      <w:sz w:val="32"/>
    </w:rPr>
  </w:style>
  <w:style w:type="paragraph" w:customStyle="1" w:styleId="HeadingProcedure">
    <w:name w:val="Heading Procedure"/>
    <w:basedOn w:val="HeadingBase"/>
    <w:next w:val="Normal"/>
    <w:rsid w:val="00FD0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E93"/>
    <w:pPr>
      <w:spacing w:before="60" w:after="60"/>
    </w:pPr>
  </w:style>
  <w:style w:type="paragraph" w:styleId="ListContinue">
    <w:name w:val="List Continue"/>
    <w:basedOn w:val="List"/>
    <w:rsid w:val="00FD0E93"/>
    <w:pPr>
      <w:ind w:firstLine="0"/>
    </w:pPr>
  </w:style>
  <w:style w:type="paragraph" w:customStyle="1" w:styleId="ListNote">
    <w:name w:val="List Note"/>
    <w:basedOn w:val="List"/>
    <w:rsid w:val="00FD0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E93"/>
    <w:rPr>
      <w:rFonts w:ascii="Courier New" w:hAnsi="Courier New"/>
    </w:rPr>
  </w:style>
  <w:style w:type="paragraph" w:customStyle="1" w:styleId="NoteBullet">
    <w:name w:val="Note Bullet"/>
    <w:basedOn w:val="Note"/>
    <w:rsid w:val="00FD0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E93"/>
    <w:rPr>
      <w:b/>
      <w:smallCaps/>
    </w:rPr>
  </w:style>
  <w:style w:type="paragraph" w:customStyle="1" w:styleId="TableListNumber">
    <w:name w:val="Table List Number"/>
    <w:basedOn w:val="ListNumber"/>
    <w:rsid w:val="00FD0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E93"/>
    <w:pPr>
      <w:numPr>
        <w:numId w:val="8"/>
      </w:numPr>
    </w:pPr>
  </w:style>
  <w:style w:type="paragraph" w:customStyle="1" w:styleId="ListAlpha2">
    <w:name w:val="List Alpha 2"/>
    <w:basedOn w:val="List2"/>
    <w:rsid w:val="00FD0E93"/>
    <w:pPr>
      <w:numPr>
        <w:numId w:val="7"/>
      </w:numPr>
    </w:pPr>
  </w:style>
  <w:style w:type="paragraph" w:styleId="List2">
    <w:name w:val="List 2"/>
    <w:basedOn w:val="BodyText"/>
    <w:rsid w:val="00FD0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E93"/>
    <w:pPr>
      <w:numPr>
        <w:numId w:val="3"/>
      </w:numPr>
    </w:pPr>
  </w:style>
  <w:style w:type="paragraph" w:styleId="ListContinue2">
    <w:name w:val="List Continue 2"/>
    <w:basedOn w:val="List2"/>
    <w:rsid w:val="00FD0E93"/>
    <w:pPr>
      <w:ind w:firstLine="0"/>
    </w:pPr>
  </w:style>
  <w:style w:type="paragraph" w:styleId="ListContinue3">
    <w:name w:val="List Continue 3"/>
    <w:basedOn w:val="List3"/>
    <w:rsid w:val="00FD0E93"/>
    <w:pPr>
      <w:ind w:left="1021" w:firstLine="0"/>
    </w:pPr>
  </w:style>
  <w:style w:type="paragraph" w:styleId="ListContinue4">
    <w:name w:val="List Continue 4"/>
    <w:basedOn w:val="List4"/>
    <w:rsid w:val="00FD0E93"/>
    <w:pPr>
      <w:ind w:firstLine="0"/>
    </w:pPr>
  </w:style>
  <w:style w:type="paragraph" w:styleId="ListContinue5">
    <w:name w:val="List Continue 5"/>
    <w:basedOn w:val="List5"/>
    <w:rsid w:val="00FD0E93"/>
    <w:pPr>
      <w:ind w:firstLine="0"/>
    </w:pPr>
  </w:style>
  <w:style w:type="paragraph" w:styleId="ListNumber3">
    <w:name w:val="List Number 3"/>
    <w:basedOn w:val="List3"/>
    <w:rsid w:val="00FD0E93"/>
    <w:pPr>
      <w:numPr>
        <w:numId w:val="4"/>
      </w:numPr>
    </w:pPr>
  </w:style>
  <w:style w:type="paragraph" w:styleId="ListNumber4">
    <w:name w:val="List Number 4"/>
    <w:basedOn w:val="List4"/>
    <w:rsid w:val="00FD0E93"/>
    <w:pPr>
      <w:numPr>
        <w:numId w:val="5"/>
      </w:numPr>
    </w:pPr>
  </w:style>
  <w:style w:type="paragraph" w:styleId="ListNumber5">
    <w:name w:val="List Number 5"/>
    <w:basedOn w:val="List5"/>
    <w:rsid w:val="00FD0E93"/>
    <w:pPr>
      <w:numPr>
        <w:numId w:val="6"/>
      </w:numPr>
    </w:pPr>
  </w:style>
  <w:style w:type="paragraph" w:styleId="BlockText">
    <w:name w:val="Block Text"/>
    <w:basedOn w:val="Normal"/>
    <w:rsid w:val="00FD0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E93"/>
    <w:rPr>
      <w:sz w:val="16"/>
      <w:vertAlign w:val="superscript"/>
    </w:rPr>
  </w:style>
  <w:style w:type="character" w:customStyle="1" w:styleId="Symbols">
    <w:name w:val="Symbols"/>
    <w:basedOn w:val="DefaultParagraphFont"/>
    <w:rsid w:val="00FD0E93"/>
    <w:rPr>
      <w:rFonts w:ascii="Symbol" w:hAnsi="Symbol"/>
    </w:rPr>
  </w:style>
  <w:style w:type="character" w:customStyle="1" w:styleId="MenuOptions">
    <w:name w:val="Menu Options"/>
    <w:basedOn w:val="DefaultParagraphFont"/>
    <w:rsid w:val="00FD0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E93"/>
    <w:rPr>
      <w:b/>
    </w:rPr>
  </w:style>
  <w:style w:type="character" w:customStyle="1" w:styleId="Underlined">
    <w:name w:val="Underlined"/>
    <w:basedOn w:val="DefaultParagraphFont"/>
    <w:rsid w:val="00FD0E93"/>
    <w:rPr>
      <w:u w:val="single"/>
    </w:rPr>
  </w:style>
  <w:style w:type="paragraph" w:customStyle="1" w:styleId="TableBodyTextRight">
    <w:name w:val="Table Body Text Right"/>
    <w:basedOn w:val="TableBodyText"/>
    <w:rsid w:val="00FD0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E93"/>
    <w:rPr>
      <w:sz w:val="18"/>
    </w:rPr>
  </w:style>
  <w:style w:type="paragraph" w:customStyle="1" w:styleId="BodySmallRight">
    <w:name w:val="Body Small Right"/>
    <w:basedOn w:val="BodyTextRight"/>
    <w:rsid w:val="00FD0E93"/>
    <w:rPr>
      <w:sz w:val="18"/>
      <w:szCs w:val="18"/>
    </w:rPr>
  </w:style>
  <w:style w:type="paragraph" w:customStyle="1" w:styleId="MarginEdition">
    <w:name w:val="Margin Edition"/>
    <w:basedOn w:val="MarginNote"/>
    <w:rsid w:val="00FD0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E93"/>
    <w:rPr>
      <w:sz w:val="2"/>
      <w:szCs w:val="2"/>
    </w:rPr>
  </w:style>
  <w:style w:type="character" w:customStyle="1" w:styleId="Small">
    <w:name w:val="Small"/>
    <w:basedOn w:val="DefaultParagraphFont"/>
    <w:rsid w:val="00FD0E93"/>
    <w:rPr>
      <w:sz w:val="16"/>
    </w:rPr>
  </w:style>
  <w:style w:type="paragraph" w:customStyle="1" w:styleId="WideTable">
    <w:name w:val="Wide Table"/>
    <w:basedOn w:val="Normal"/>
    <w:rsid w:val="00FD0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E93"/>
  </w:style>
  <w:style w:type="paragraph" w:styleId="Quote">
    <w:name w:val="Quote"/>
    <w:basedOn w:val="Heading1"/>
    <w:link w:val="QuoteChar"/>
    <w:qFormat/>
    <w:rsid w:val="00FD0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E93"/>
    <w:pPr>
      <w:pageBreakBefore/>
    </w:pPr>
  </w:style>
  <w:style w:type="paragraph" w:customStyle="1" w:styleId="Border">
    <w:name w:val="Border"/>
    <w:basedOn w:val="Normal"/>
    <w:qFormat/>
    <w:rsid w:val="00FD0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E93"/>
    <w:rPr>
      <w:u w:val="single"/>
    </w:rPr>
  </w:style>
  <w:style w:type="character" w:customStyle="1" w:styleId="BoldandItalics">
    <w:name w:val="Bold and Italics"/>
    <w:qFormat/>
    <w:rsid w:val="00FD0E93"/>
    <w:rPr>
      <w:b/>
      <w:i/>
      <w:u w:val="none"/>
    </w:rPr>
  </w:style>
  <w:style w:type="paragraph" w:styleId="BalloonText">
    <w:name w:val="Balloon Text"/>
    <w:basedOn w:val="Normal"/>
    <w:link w:val="BalloonTextChar"/>
    <w:rsid w:val="00FD0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E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2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2976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PPMENV201 Identify and monitor environmental discharges and emissions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