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45C" w:rsidP="00DE2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PPMDIK301 Perform de-inking operations</w:t>
      </w:r>
      <w:r>
        <w:fldChar w:fldCharType="end"/>
      </w:r>
    </w:p>
    <w:p w:rsidR="00DE245C" w:rsidP="00DE245C">
      <w:pPr>
        <w:pStyle w:val="Version"/>
        <w:sectPr w:rsidSect="00B25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917" w:rsidP="00B25917">
      <w:pPr>
        <w:pStyle w:val="SuperHeading"/>
      </w:pPr>
      <w:r w:rsidRPr="00B25917">
        <w:t>PPMDIK301 Perform de-inking operations</w:t>
      </w:r>
    </w:p>
    <w:p w:rsidR="00000000" w:rsidRPr="00B25917" w:rsidP="00B25917">
      <w:pPr>
        <w:pStyle w:val="Heading1"/>
      </w:pPr>
      <w:bookmarkStart w:id="1" w:name="O_1205683"/>
      <w:bookmarkEnd w:id="1"/>
      <w:r w:rsidRPr="00B259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Comments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This version released with PPM Pulp and Paper Manufacturing Training Package Version 3.0.</w:t>
            </w:r>
          </w:p>
        </w:tc>
      </w:tr>
    </w:tbl>
    <w:p w:rsidR="00000000" w:rsidRPr="00B25917" w:rsidP="00B25917">
      <w:pPr>
        <w:pStyle w:val="BodyText"/>
      </w:pPr>
    </w:p>
    <w:p w:rsidR="00000000" w:rsidRPr="00B25917" w:rsidP="00B25917">
      <w:pPr>
        <w:pStyle w:val="AllowPageBreak"/>
      </w:pPr>
    </w:p>
    <w:p w:rsidR="00000000" w:rsidRPr="00B25917" w:rsidP="00B25917">
      <w:pPr>
        <w:pStyle w:val="Heading1"/>
      </w:pPr>
      <w:bookmarkStart w:id="2" w:name="O_1205684"/>
      <w:bookmarkEnd w:id="2"/>
      <w:r w:rsidRPr="00B25917">
        <w:t>Application</w:t>
      </w:r>
    </w:p>
    <w:p w:rsidR="00000000" w:rsidRPr="00B25917" w:rsidP="00DE245C">
      <w:pPr>
        <w:pStyle w:val="BodyText"/>
      </w:pPr>
      <w:r w:rsidRPr="00B25917">
        <w:t xml:space="preserve">This unit of competency describes the skills and knowledge required to prepare for, </w:t>
      </w:r>
      <w:r w:rsidRPr="00B25917">
        <w:t>start up, stabilise and shut down systems for de-inking operations.</w:t>
      </w:r>
    </w:p>
    <w:p w:rsidR="00000000" w:rsidRPr="00B25917" w:rsidP="00DE245C">
      <w:pPr>
        <w:pStyle w:val="BodyText"/>
      </w:pPr>
      <w:r w:rsidRPr="00B25917">
        <w:t>This unit applies to production operators who perform de-inking operations in a pulp and/or paper manufacturing facility and respond to contingencies that occur working with complex integr</w:t>
      </w:r>
      <w:r w:rsidRPr="00B25917">
        <w:t xml:space="preserve">ated equipment and continuous operations. </w:t>
      </w:r>
    </w:p>
    <w:p w:rsidR="00000000" w:rsidRPr="00B25917" w:rsidP="00DE245C">
      <w:pPr>
        <w:pStyle w:val="BodyText"/>
      </w:pPr>
      <w:r w:rsidRPr="00B25917">
        <w:t>No licensing, legislative or certification requirements apply to this unit at the time of publication.</w:t>
      </w:r>
    </w:p>
    <w:p w:rsidR="00000000" w:rsidRPr="00B25917" w:rsidP="00B25917">
      <w:pPr>
        <w:pStyle w:val="Heading1"/>
      </w:pPr>
      <w:bookmarkStart w:id="3" w:name="O_1205685"/>
      <w:bookmarkEnd w:id="3"/>
      <w:r w:rsidRPr="00B25917">
        <w:t>Pre-requisite Unit</w:t>
      </w:r>
    </w:p>
    <w:p w:rsidR="00000000" w:rsidRPr="00B25917" w:rsidP="00DE245C">
      <w:pPr>
        <w:pStyle w:val="BodyText"/>
      </w:pPr>
      <w:r w:rsidRPr="00B25917">
        <w:t>Nil</w:t>
      </w:r>
    </w:p>
    <w:p w:rsidR="00000000" w:rsidRPr="00B25917" w:rsidP="00B25917">
      <w:pPr>
        <w:pStyle w:val="Heading1"/>
      </w:pPr>
      <w:bookmarkStart w:id="4" w:name="O_1205687"/>
      <w:bookmarkEnd w:id="4"/>
      <w:r w:rsidRPr="00B25917">
        <w:t>Unit Sector</w:t>
      </w:r>
    </w:p>
    <w:p w:rsidR="00000000" w:rsidRPr="00B25917" w:rsidP="00DE245C">
      <w:pPr>
        <w:pStyle w:val="BodyText"/>
      </w:pPr>
      <w:r w:rsidRPr="00B25917">
        <w:t>De-inking Operations (DIK)</w:t>
      </w:r>
    </w:p>
    <w:p w:rsidR="00000000" w:rsidRPr="00B25917" w:rsidP="00B25917">
      <w:pPr>
        <w:pStyle w:val="Heading1"/>
      </w:pPr>
      <w:bookmarkStart w:id="5" w:name="O_1205688"/>
      <w:bookmarkEnd w:id="5"/>
      <w:r w:rsidRPr="00B259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Performance Criteria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1. Prepare for de-inking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1.1 Identify production requirements and specifications to plan system operations and processes</w:t>
            </w:r>
          </w:p>
          <w:p w:rsidR="00000000" w:rsidRPr="00B25917" w:rsidP="00B25917">
            <w:pPr>
              <w:pStyle w:val="BodyText"/>
            </w:pPr>
            <w:r w:rsidRPr="00B25917">
              <w:t>1.2 Identify workplace health and safety hazards, assess risks and determine control measures</w:t>
            </w:r>
          </w:p>
          <w:p w:rsidR="00000000" w:rsidRPr="00B25917" w:rsidP="00B25917">
            <w:pPr>
              <w:pStyle w:val="BodyText"/>
            </w:pPr>
            <w:r w:rsidRPr="00B25917">
              <w:t>1.3 Identify process control points according to production specif</w:t>
            </w:r>
            <w:r w:rsidRPr="00B25917">
              <w:t>ications</w:t>
            </w:r>
          </w:p>
          <w:p w:rsidR="00000000" w:rsidRPr="00B25917" w:rsidP="00B25917">
            <w:pPr>
              <w:pStyle w:val="BodyText"/>
            </w:pPr>
            <w:r w:rsidRPr="00B25917">
              <w:t>1.4 Confirm availability of machine supplies</w:t>
            </w:r>
          </w:p>
          <w:p w:rsidR="00000000" w:rsidRPr="00B25917" w:rsidP="00B25917">
            <w:pPr>
              <w:pStyle w:val="BodyText"/>
            </w:pPr>
            <w:r w:rsidRPr="00B25917">
              <w:t xml:space="preserve">1.5 Select, fit and use personal protective equipment according to job requirements and task to be undertaken </w:t>
            </w:r>
          </w:p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1.6 Communicate production requirements and specifications, workplace health and safety and</w:t>
            </w:r>
            <w:r w:rsidRPr="00B25917">
              <w:t xml:space="preserve"> environmental requirements and operating procedures to relevant personnel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2.1 Inspect de-inking and electronic control systems for warning signals or alarms</w:t>
            </w:r>
          </w:p>
          <w:p w:rsidR="00000000" w:rsidRPr="00B25917" w:rsidP="00B25917">
            <w:pPr>
              <w:pStyle w:val="BodyText"/>
            </w:pPr>
            <w:r w:rsidRPr="00B25917">
              <w:t>2.2 Remove isolations according to operating procedur</w:t>
            </w:r>
            <w:r w:rsidRPr="00B25917">
              <w:t>es</w:t>
            </w:r>
          </w:p>
          <w:p w:rsidR="00000000" w:rsidRPr="00B25917" w:rsidP="00B25917">
            <w:pPr>
              <w:pStyle w:val="BodyText"/>
            </w:pPr>
            <w:r w:rsidRPr="00B25917">
              <w:t>2.3 Set and confirm operational settings according to production requirements and specifications</w:t>
            </w:r>
          </w:p>
          <w:p w:rsidR="00000000" w:rsidRPr="00B25917" w:rsidP="00B25917">
            <w:pPr>
              <w:pStyle w:val="BodyText"/>
            </w:pPr>
            <w:r w:rsidRPr="00B25917">
              <w:t>2.4 Complete pre-start check-ups and confirm operation of monitoring devices</w:t>
            </w:r>
          </w:p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2.5 Identify and rectify common faults or refer complex faults to specialist te</w:t>
            </w:r>
            <w:r w:rsidRPr="00B25917">
              <w:t>chnician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3. Start up de-inking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3.1 Coordinate, communicate and implement start-up procedures for de-inking operations</w:t>
            </w:r>
          </w:p>
          <w:p w:rsidR="00000000" w:rsidRPr="00B25917" w:rsidP="00B25917">
            <w:pPr>
              <w:pStyle w:val="BodyText"/>
            </w:pPr>
            <w:r w:rsidRPr="00B25917">
              <w:t>3.2 Confirm system functions by monitoring plant, equipment and control system and display monitors</w:t>
            </w:r>
          </w:p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3.3 Monitor and adjust systems</w:t>
            </w:r>
            <w:r w:rsidRPr="00B25917">
              <w:t xml:space="preserve"> to rectify variations from specifications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 xml:space="preserve">4.1 Coordinate and communicate planned shutdown of de-inking operations to relevant personnel </w:t>
            </w:r>
          </w:p>
          <w:p w:rsidR="00000000" w:rsidRPr="00B25917" w:rsidP="00B25917">
            <w:pPr>
              <w:pStyle w:val="BodyText"/>
            </w:pPr>
            <w:r w:rsidRPr="00B25917">
              <w:t>4.2 Shut down plant or system according to productivity, workplace health a</w:t>
            </w:r>
            <w:r w:rsidRPr="00B25917">
              <w:t>nd safety and environmental requirements and operating procedures</w:t>
            </w:r>
          </w:p>
          <w:p w:rsidR="00000000" w:rsidRPr="00B25917" w:rsidP="00B25917">
            <w:pPr>
              <w:pStyle w:val="BodyText"/>
            </w:pPr>
            <w:r w:rsidRPr="00B25917">
              <w:t>4.3 Monitor functionality of equipment during shutdown</w:t>
            </w:r>
          </w:p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4.4 Implement isolation requirements according to operating and housekeeping procedures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5.1 Respond to unplanned faults and stoppages according to operating, emergency and workplace health and safety procedures</w:t>
            </w:r>
          </w:p>
          <w:p w:rsidR="00000000" w:rsidRPr="00B25917" w:rsidP="00B25917">
            <w:pPr>
              <w:pStyle w:val="BodyText"/>
            </w:pPr>
            <w:r w:rsidRPr="00B25917">
              <w:t>5.2 Complete shutdown and isolation according to operating procedures</w:t>
            </w:r>
          </w:p>
          <w:p w:rsidR="00000000" w:rsidRPr="00B25917" w:rsidP="00B25917">
            <w:pPr>
              <w:pStyle w:val="BodyText"/>
            </w:pPr>
            <w:r w:rsidRPr="00B25917">
              <w:t xml:space="preserve">5.3 Locate and rectify cause of unplanned shutdown within area </w:t>
            </w:r>
            <w:r w:rsidRPr="00B25917">
              <w:t xml:space="preserve">of </w:t>
            </w:r>
            <w:r w:rsidRPr="00B25917">
              <w:t xml:space="preserve">responsibility </w:t>
            </w:r>
          </w:p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5.4 Communicate shutdown information to relevant personnel</w:t>
            </w:r>
          </w:p>
        </w:tc>
      </w:tr>
      <w:tr w:rsidTr="00DE2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>6.1 Record production and quality data and system operation information according to workplace requirements</w:t>
            </w:r>
          </w:p>
          <w:p w:rsidR="00000000" w:rsidRPr="00B25917" w:rsidP="00B25917">
            <w:pPr>
              <w:pStyle w:val="BodyText"/>
            </w:pPr>
            <w:r w:rsidRPr="00B25917">
              <w:t>6.2 Report problems or va</w:t>
            </w:r>
            <w:r w:rsidRPr="00B25917">
              <w:t>riations with production, quality and system to relevant personnel</w:t>
            </w:r>
          </w:p>
        </w:tc>
      </w:tr>
    </w:tbl>
    <w:p w:rsidR="00000000" w:rsidRPr="00B25917" w:rsidP="00B25917">
      <w:pPr>
        <w:pStyle w:val="BodyText"/>
      </w:pPr>
    </w:p>
    <w:p w:rsidR="00000000" w:rsidRPr="00B25917" w:rsidP="00B25917">
      <w:pPr>
        <w:pStyle w:val="AllowPageBreak"/>
      </w:pPr>
    </w:p>
    <w:p w:rsidR="00000000" w:rsidRPr="00B25917" w:rsidP="00B25917">
      <w:pPr>
        <w:pStyle w:val="Heading1"/>
      </w:pPr>
      <w:bookmarkStart w:id="6" w:name="O_1205689"/>
      <w:bookmarkEnd w:id="6"/>
      <w:r w:rsidRPr="00B25917">
        <w:t>Foundation Skills</w:t>
      </w:r>
    </w:p>
    <w:p w:rsidR="00000000" w:rsidRPr="00DE245C" w:rsidP="00DE245C">
      <w:pPr>
        <w:pStyle w:val="BodyText"/>
        <w:rPr>
          <w:i/>
        </w:rPr>
      </w:pPr>
      <w:r w:rsidRPr="00DE245C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DE245C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Description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ListBullet"/>
              <w:rPr>
                <w:lang w:val="en-NZ"/>
              </w:rPr>
            </w:pPr>
            <w:r w:rsidRPr="00B25917">
              <w:t>Interpret information from workplace procedures and documentation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ListBullet"/>
              <w:rPr>
                <w:lang w:val="en-NZ"/>
              </w:rPr>
            </w:pPr>
            <w:r w:rsidRPr="00B25917">
              <w:t>Complete records accurately and legibly using clear language and industry terminology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ListBullet"/>
              <w:rPr>
                <w:lang w:val="en-NZ"/>
              </w:rPr>
            </w:pPr>
            <w:r w:rsidRPr="00B25917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ListBullet"/>
            </w:pPr>
            <w:r w:rsidRPr="00B25917">
              <w:t>Interpret numerical settings on instruments, gauges and data recording equipment</w:t>
            </w:r>
          </w:p>
          <w:p w:rsidR="00000000" w:rsidRPr="00B25917" w:rsidP="00B25917">
            <w:pPr>
              <w:pStyle w:val="ListBullet"/>
            </w:pPr>
            <w:r w:rsidRPr="00B25917">
              <w:t>Record numerical data for system and operational performance</w:t>
            </w:r>
          </w:p>
        </w:tc>
      </w:tr>
    </w:tbl>
    <w:p w:rsidR="00000000" w:rsidRPr="00B25917" w:rsidP="00B25917">
      <w:pPr>
        <w:pStyle w:val="BodyText"/>
      </w:pPr>
    </w:p>
    <w:p w:rsidR="00000000" w:rsidRPr="00B25917" w:rsidP="00B25917">
      <w:pPr>
        <w:pStyle w:val="AllowPageBreak"/>
      </w:pPr>
    </w:p>
    <w:p w:rsidR="00000000" w:rsidRPr="00B25917" w:rsidP="00B25917">
      <w:pPr>
        <w:pStyle w:val="Heading1"/>
      </w:pPr>
      <w:bookmarkStart w:id="7" w:name="O_1205691"/>
      <w:bookmarkEnd w:id="7"/>
      <w:r w:rsidRPr="00B259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Bold"/>
              <w:rPr>
                <w:lang w:val="en-NZ"/>
              </w:rPr>
            </w:pPr>
            <w:r w:rsidRPr="00B25917">
              <w:t>Equivalence status</w:t>
            </w:r>
          </w:p>
        </w:tc>
      </w:tr>
      <w:tr w:rsidTr="00B259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PPMDIK301 Perform de-inking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917">
            <w:pPr>
              <w:pStyle w:val="BodyText"/>
              <w:rPr>
                <w:lang w:val="en-NZ"/>
              </w:rPr>
            </w:pPr>
            <w:r w:rsidRPr="00B2591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917" w:rsidP="00B25917">
            <w:pPr>
              <w:pStyle w:val="BodyText"/>
            </w:pPr>
            <w:r w:rsidRPr="00B25917">
              <w:t xml:space="preserve">Newly created </w:t>
            </w:r>
          </w:p>
        </w:tc>
      </w:tr>
    </w:tbl>
    <w:p w:rsidR="00000000" w:rsidRPr="00B25917" w:rsidP="00B25917">
      <w:pPr>
        <w:pStyle w:val="BodyText"/>
      </w:pPr>
    </w:p>
    <w:p w:rsidR="00000000" w:rsidRPr="00B25917" w:rsidP="00B25917">
      <w:pPr>
        <w:pStyle w:val="AllowPageBreak"/>
      </w:pPr>
    </w:p>
    <w:p w:rsidR="00000000" w:rsidRPr="00B25917" w:rsidP="00B25917">
      <w:pPr>
        <w:pStyle w:val="Heading1"/>
      </w:pPr>
      <w:bookmarkStart w:id="8" w:name="O_1205698"/>
      <w:bookmarkEnd w:id="8"/>
      <w:r w:rsidRPr="00B25917">
        <w:t>Links</w:t>
      </w:r>
    </w:p>
    <w:p w:rsidR="00000000" w:rsidRPr="00B25917" w:rsidP="00DE245C">
      <w:pPr>
        <w:pStyle w:val="BodyText"/>
      </w:pPr>
      <w:r w:rsidRPr="00B259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D517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25917" w:rsidP="00B25917"/>
    <w:sectPr w:rsidSect="00B259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 w:rsidP="00B25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45C" w:rsidP="00B25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245C" w:rsidP="00B25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917" w:rsidRPr="00DE245C" w:rsidP="00DE2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5C" w:rsidRPr="002D2AF8" w:rsidP="00B25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PPMDIK301 Perform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E245C" w:rsidP="00B25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49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F83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917"/>
  </w:style>
  <w:style w:type="character" w:customStyle="1" w:styleId="Heading1Char">
    <w:name w:val="Heading 1 Char"/>
    <w:basedOn w:val="DefaultParagraphFont"/>
    <w:link w:val="Heading1"/>
    <w:rsid w:val="00B25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9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5917"/>
    <w:rPr>
      <w:i/>
    </w:rPr>
  </w:style>
  <w:style w:type="paragraph" w:customStyle="1" w:styleId="SuperHeading">
    <w:name w:val="SuperHeading"/>
    <w:basedOn w:val="Normal"/>
    <w:rsid w:val="00B25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5917"/>
    <w:rPr>
      <w:b/>
    </w:rPr>
  </w:style>
  <w:style w:type="character" w:customStyle="1" w:styleId="Heading2Char">
    <w:name w:val="Heading 2 Char"/>
    <w:basedOn w:val="DefaultParagraphFont"/>
    <w:link w:val="Heading2"/>
    <w:rsid w:val="00B25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5917"/>
    <w:rPr>
      <w:b/>
      <w:spacing w:val="0"/>
    </w:rPr>
  </w:style>
  <w:style w:type="paragraph" w:customStyle="1" w:styleId="SuperTitle">
    <w:name w:val="SuperTitle"/>
    <w:basedOn w:val="Title"/>
    <w:rsid w:val="00B25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9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9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917"/>
  </w:style>
  <w:style w:type="paragraph" w:styleId="TableofFigures">
    <w:name w:val="table of figures"/>
    <w:basedOn w:val="Normal"/>
    <w:next w:val="Normal"/>
    <w:semiHidden/>
    <w:rsid w:val="00B25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9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917"/>
    <w:rPr>
      <w:rFonts w:ascii="Wingdings" w:hAnsi="Wingdings"/>
    </w:rPr>
  </w:style>
  <w:style w:type="paragraph" w:customStyle="1" w:styleId="TableHeading">
    <w:name w:val="Table Heading"/>
    <w:basedOn w:val="HeadingBase"/>
    <w:rsid w:val="00B25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917"/>
    <w:rPr>
      <w:color w:val="0033CC"/>
      <w:u w:val="none"/>
    </w:rPr>
  </w:style>
  <w:style w:type="paragraph" w:customStyle="1" w:styleId="BodyTextRight">
    <w:name w:val="Body Text Right"/>
    <w:basedOn w:val="BodyText"/>
    <w:rsid w:val="00B25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9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917"/>
    <w:rPr>
      <w:sz w:val="32"/>
    </w:rPr>
  </w:style>
  <w:style w:type="paragraph" w:customStyle="1" w:styleId="HeadingProcedure">
    <w:name w:val="Heading Procedure"/>
    <w:basedOn w:val="HeadingBase"/>
    <w:next w:val="Normal"/>
    <w:rsid w:val="00B25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917"/>
    <w:pPr>
      <w:spacing w:before="60" w:after="60"/>
    </w:pPr>
  </w:style>
  <w:style w:type="paragraph" w:styleId="ListContinue">
    <w:name w:val="List Continue"/>
    <w:basedOn w:val="List"/>
    <w:rsid w:val="00B25917"/>
    <w:pPr>
      <w:ind w:firstLine="0"/>
    </w:pPr>
  </w:style>
  <w:style w:type="paragraph" w:customStyle="1" w:styleId="ListNote">
    <w:name w:val="List Note"/>
    <w:basedOn w:val="List"/>
    <w:rsid w:val="00B25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917"/>
    <w:rPr>
      <w:rFonts w:ascii="Courier New" w:hAnsi="Courier New"/>
    </w:rPr>
  </w:style>
  <w:style w:type="paragraph" w:customStyle="1" w:styleId="NoteBullet">
    <w:name w:val="Note Bullet"/>
    <w:basedOn w:val="Note"/>
    <w:rsid w:val="00B25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9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917"/>
    <w:rPr>
      <w:b/>
      <w:smallCaps/>
    </w:rPr>
  </w:style>
  <w:style w:type="paragraph" w:customStyle="1" w:styleId="TableListNumber">
    <w:name w:val="Table List Number"/>
    <w:basedOn w:val="ListNumber"/>
    <w:rsid w:val="00B25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917"/>
    <w:pPr>
      <w:numPr>
        <w:numId w:val="8"/>
      </w:numPr>
    </w:pPr>
  </w:style>
  <w:style w:type="paragraph" w:customStyle="1" w:styleId="ListAlpha2">
    <w:name w:val="List Alpha 2"/>
    <w:basedOn w:val="List2"/>
    <w:rsid w:val="00B25917"/>
    <w:pPr>
      <w:numPr>
        <w:numId w:val="7"/>
      </w:numPr>
    </w:pPr>
  </w:style>
  <w:style w:type="paragraph" w:styleId="List2">
    <w:name w:val="List 2"/>
    <w:basedOn w:val="BodyText"/>
    <w:rsid w:val="00B25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9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9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917"/>
    <w:pPr>
      <w:numPr>
        <w:numId w:val="3"/>
      </w:numPr>
    </w:pPr>
  </w:style>
  <w:style w:type="paragraph" w:styleId="ListContinue2">
    <w:name w:val="List Continue 2"/>
    <w:basedOn w:val="List2"/>
    <w:rsid w:val="00B25917"/>
    <w:pPr>
      <w:ind w:firstLine="0"/>
    </w:pPr>
  </w:style>
  <w:style w:type="paragraph" w:styleId="ListContinue3">
    <w:name w:val="List Continue 3"/>
    <w:basedOn w:val="List3"/>
    <w:rsid w:val="00B25917"/>
    <w:pPr>
      <w:ind w:left="1021" w:firstLine="0"/>
    </w:pPr>
  </w:style>
  <w:style w:type="paragraph" w:styleId="ListContinue4">
    <w:name w:val="List Continue 4"/>
    <w:basedOn w:val="List4"/>
    <w:rsid w:val="00B25917"/>
    <w:pPr>
      <w:ind w:firstLine="0"/>
    </w:pPr>
  </w:style>
  <w:style w:type="paragraph" w:styleId="ListContinue5">
    <w:name w:val="List Continue 5"/>
    <w:basedOn w:val="List5"/>
    <w:rsid w:val="00B25917"/>
    <w:pPr>
      <w:ind w:firstLine="0"/>
    </w:pPr>
  </w:style>
  <w:style w:type="paragraph" w:styleId="ListNumber3">
    <w:name w:val="List Number 3"/>
    <w:basedOn w:val="List3"/>
    <w:rsid w:val="00B25917"/>
    <w:pPr>
      <w:numPr>
        <w:numId w:val="4"/>
      </w:numPr>
    </w:pPr>
  </w:style>
  <w:style w:type="paragraph" w:styleId="ListNumber4">
    <w:name w:val="List Number 4"/>
    <w:basedOn w:val="List4"/>
    <w:rsid w:val="00B25917"/>
    <w:pPr>
      <w:numPr>
        <w:numId w:val="5"/>
      </w:numPr>
    </w:pPr>
  </w:style>
  <w:style w:type="paragraph" w:styleId="ListNumber5">
    <w:name w:val="List Number 5"/>
    <w:basedOn w:val="List5"/>
    <w:rsid w:val="00B25917"/>
    <w:pPr>
      <w:numPr>
        <w:numId w:val="6"/>
      </w:numPr>
    </w:pPr>
  </w:style>
  <w:style w:type="paragraph" w:styleId="BlockText">
    <w:name w:val="Block Text"/>
    <w:basedOn w:val="Normal"/>
    <w:rsid w:val="00B25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917"/>
    <w:rPr>
      <w:sz w:val="16"/>
      <w:vertAlign w:val="superscript"/>
    </w:rPr>
  </w:style>
  <w:style w:type="character" w:customStyle="1" w:styleId="Symbols">
    <w:name w:val="Symbols"/>
    <w:basedOn w:val="DefaultParagraphFont"/>
    <w:rsid w:val="00B25917"/>
    <w:rPr>
      <w:rFonts w:ascii="Symbol" w:hAnsi="Symbol"/>
    </w:rPr>
  </w:style>
  <w:style w:type="character" w:customStyle="1" w:styleId="MenuOptions">
    <w:name w:val="Menu Options"/>
    <w:basedOn w:val="DefaultParagraphFont"/>
    <w:rsid w:val="00B25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917"/>
    <w:rPr>
      <w:b/>
    </w:rPr>
  </w:style>
  <w:style w:type="character" w:customStyle="1" w:styleId="Underlined">
    <w:name w:val="Underlined"/>
    <w:basedOn w:val="DefaultParagraphFont"/>
    <w:rsid w:val="00B25917"/>
    <w:rPr>
      <w:u w:val="single"/>
    </w:rPr>
  </w:style>
  <w:style w:type="paragraph" w:customStyle="1" w:styleId="TableBodyTextRight">
    <w:name w:val="Table Body Text Right"/>
    <w:basedOn w:val="TableBodyText"/>
    <w:rsid w:val="00B25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917"/>
    <w:rPr>
      <w:sz w:val="18"/>
    </w:rPr>
  </w:style>
  <w:style w:type="paragraph" w:customStyle="1" w:styleId="BodySmallRight">
    <w:name w:val="Body Small Right"/>
    <w:basedOn w:val="BodyTextRight"/>
    <w:rsid w:val="00B25917"/>
    <w:rPr>
      <w:sz w:val="18"/>
      <w:szCs w:val="18"/>
    </w:rPr>
  </w:style>
  <w:style w:type="paragraph" w:customStyle="1" w:styleId="MarginEdition">
    <w:name w:val="Margin Edition"/>
    <w:basedOn w:val="MarginNote"/>
    <w:rsid w:val="00B25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917"/>
    <w:rPr>
      <w:sz w:val="2"/>
      <w:szCs w:val="2"/>
    </w:rPr>
  </w:style>
  <w:style w:type="character" w:customStyle="1" w:styleId="Small">
    <w:name w:val="Small"/>
    <w:basedOn w:val="DefaultParagraphFont"/>
    <w:rsid w:val="00B25917"/>
    <w:rPr>
      <w:sz w:val="16"/>
    </w:rPr>
  </w:style>
  <w:style w:type="paragraph" w:customStyle="1" w:styleId="WideTable">
    <w:name w:val="Wide Table"/>
    <w:basedOn w:val="Normal"/>
    <w:rsid w:val="00B25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917"/>
  </w:style>
  <w:style w:type="paragraph" w:styleId="Quote">
    <w:name w:val="Quote"/>
    <w:basedOn w:val="Heading1"/>
    <w:link w:val="QuoteChar"/>
    <w:qFormat/>
    <w:rsid w:val="00B25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917"/>
    <w:pPr>
      <w:pageBreakBefore/>
    </w:pPr>
  </w:style>
  <w:style w:type="paragraph" w:customStyle="1" w:styleId="Border">
    <w:name w:val="Border"/>
    <w:basedOn w:val="Normal"/>
    <w:qFormat/>
    <w:rsid w:val="00B25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917"/>
    <w:rPr>
      <w:u w:val="single"/>
    </w:rPr>
  </w:style>
  <w:style w:type="character" w:customStyle="1" w:styleId="BoldandItalics">
    <w:name w:val="Bold and Italics"/>
    <w:qFormat/>
    <w:rsid w:val="00B25917"/>
    <w:rPr>
      <w:b/>
      <w:i/>
      <w:u w:val="none"/>
    </w:rPr>
  </w:style>
  <w:style w:type="paragraph" w:styleId="BalloonText">
    <w:name w:val="Balloon Text"/>
    <w:basedOn w:val="Normal"/>
    <w:link w:val="BalloonTextChar"/>
    <w:rsid w:val="00B25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9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2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4147</Characters>
  <Application>Microsoft Office Word</Application>
  <DocSecurity>0</DocSecurity>
  <Lines>148</Lines>
  <Paragraphs>88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PPMDIK301 Perform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