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9AE" w:rsidP="007219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PPMCSK310 Operate process control equipment</w:t>
      </w:r>
      <w:r>
        <w:fldChar w:fldCharType="end"/>
      </w:r>
    </w:p>
    <w:p w:rsidR="007219AE" w:rsidP="007219AE">
      <w:pPr>
        <w:pStyle w:val="Version"/>
        <w:sectPr w:rsidSect="001450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507E" w:rsidP="0014507E">
      <w:pPr>
        <w:pStyle w:val="SuperHeading"/>
      </w:pPr>
      <w:r w:rsidRPr="0014507E">
        <w:t>PPMCSK310 Operate process control equipment</w:t>
      </w:r>
    </w:p>
    <w:p w:rsidR="00000000" w:rsidRPr="0014507E" w:rsidP="0014507E">
      <w:pPr>
        <w:pStyle w:val="Heading1"/>
      </w:pPr>
      <w:bookmarkStart w:id="1" w:name="O_911406"/>
      <w:bookmarkEnd w:id="1"/>
      <w:r w:rsidRPr="0014507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219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7E" w:rsidP="0014507E">
            <w:pPr>
              <w:pStyle w:val="BodyText"/>
            </w:pPr>
            <w:r w:rsidRPr="0014507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7E">
            <w:pPr>
              <w:pStyle w:val="BodyText"/>
              <w:rPr>
                <w:lang w:val="en-NZ"/>
              </w:rPr>
            </w:pPr>
            <w:r w:rsidRPr="0014507E">
              <w:rPr>
                <w:rStyle w:val="SpecialBold"/>
              </w:rPr>
              <w:t>Comment</w:t>
            </w:r>
          </w:p>
        </w:tc>
      </w:tr>
      <w:tr w:rsidTr="007219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7E">
            <w:pPr>
              <w:pStyle w:val="BodyText"/>
              <w:rPr>
                <w:lang w:val="en-NZ"/>
              </w:rPr>
            </w:pPr>
            <w:r w:rsidRPr="0014507E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7E" w:rsidP="0014507E">
            <w:pPr>
              <w:pStyle w:val="BodyText"/>
            </w:pPr>
            <w:r w:rsidRPr="0014507E">
              <w:t xml:space="preserve">Replaces equivalent unit FPPCSK310A Operate process control equipment, which was first released with FPP10 Pulp and Paper Manufacturing Industry Training Package Version 1. </w:t>
            </w:r>
          </w:p>
          <w:p w:rsidR="00000000" w:rsidRPr="0014507E" w:rsidP="0014507E">
            <w:pPr>
              <w:pStyle w:val="BodyText"/>
            </w:pPr>
            <w:r w:rsidRPr="0014507E">
              <w:t xml:space="preserve">This is the first release of this unit in </w:t>
            </w:r>
            <w:r w:rsidRPr="0014507E">
              <w:t>the new standards format.</w:t>
            </w:r>
          </w:p>
        </w:tc>
      </w:tr>
    </w:tbl>
    <w:p w:rsidR="00000000" w:rsidRPr="0014507E" w:rsidP="0014507E">
      <w:pPr>
        <w:pStyle w:val="BodyText"/>
      </w:pPr>
    </w:p>
    <w:p w:rsidR="00000000" w:rsidRPr="0014507E" w:rsidP="0014507E">
      <w:pPr>
        <w:pStyle w:val="AllowPageBreak"/>
      </w:pPr>
    </w:p>
    <w:p w:rsidR="00000000" w:rsidRPr="0014507E" w:rsidP="0014507E">
      <w:pPr>
        <w:pStyle w:val="Heading1"/>
      </w:pPr>
      <w:bookmarkStart w:id="2" w:name="O_911407"/>
      <w:bookmarkEnd w:id="2"/>
      <w:r w:rsidRPr="0014507E">
        <w:t>Application</w:t>
      </w:r>
    </w:p>
    <w:p w:rsidR="00000000" w:rsidRPr="0014507E" w:rsidP="0014507E">
      <w:pPr>
        <w:pStyle w:val="BodyText"/>
      </w:pPr>
      <w:r w:rsidRPr="0014507E">
        <w:t>This unit of competency describes the outcomes required to operate process control equipment in a pulp or paper manufacturing facility.</w:t>
      </w:r>
    </w:p>
    <w:p w:rsidR="00000000" w:rsidRPr="0014507E" w:rsidP="0014507E">
      <w:pPr>
        <w:pStyle w:val="BodyText"/>
      </w:pPr>
      <w:r w:rsidRPr="0014507E">
        <w:t>The unit applies to production operators and technicians who ac</w:t>
      </w:r>
      <w:r w:rsidRPr="0014507E">
        <w:t>cess, monitor and control and process control equipment including responding to process variations and problems. This work is typically undertaken within an operating environment with complex integrated equipment and continuous operations</w:t>
      </w:r>
    </w:p>
    <w:p w:rsidR="00000000" w:rsidRPr="0014507E" w:rsidP="0014507E">
      <w:pPr>
        <w:pStyle w:val="BodyText"/>
      </w:pPr>
      <w:r w:rsidRPr="0014507E">
        <w:t>No licensing, leg</w:t>
      </w:r>
      <w:r w:rsidRPr="0014507E">
        <w:t>islative, regulatory or certification requirements apply to this unit at the time of publication.</w:t>
      </w:r>
    </w:p>
    <w:p w:rsidR="00000000" w:rsidRPr="0014507E" w:rsidP="0014507E">
      <w:pPr>
        <w:pStyle w:val="AllowPageBreak"/>
      </w:pPr>
    </w:p>
    <w:p w:rsidR="00000000" w:rsidRPr="0014507E" w:rsidP="0014507E">
      <w:pPr>
        <w:pStyle w:val="Heading1"/>
      </w:pPr>
      <w:bookmarkStart w:id="3" w:name="O_911408"/>
      <w:bookmarkEnd w:id="3"/>
      <w:r w:rsidRPr="0014507E">
        <w:t>Pre-requisite Unit</w:t>
      </w:r>
    </w:p>
    <w:p w:rsidR="00000000" w:rsidRPr="0014507E" w:rsidP="0014507E">
      <w:pPr>
        <w:pStyle w:val="BodyText"/>
      </w:pPr>
      <w:r w:rsidRPr="0014507E">
        <w:t>Nil</w:t>
      </w:r>
    </w:p>
    <w:p w:rsidR="00000000" w:rsidRPr="0014507E" w:rsidP="0014507E">
      <w:pPr>
        <w:pStyle w:val="AllowPageBreak"/>
      </w:pPr>
    </w:p>
    <w:p w:rsidR="00000000" w:rsidRPr="0014507E" w:rsidP="0014507E">
      <w:pPr>
        <w:pStyle w:val="Heading1"/>
      </w:pPr>
      <w:bookmarkStart w:id="4" w:name="O_911410"/>
      <w:bookmarkEnd w:id="4"/>
      <w:r w:rsidRPr="0014507E">
        <w:t>Unit Sector</w:t>
      </w:r>
    </w:p>
    <w:p w:rsidR="00000000" w:rsidRPr="0014507E" w:rsidP="0014507E">
      <w:pPr>
        <w:pStyle w:val="BodyText"/>
      </w:pPr>
      <w:r w:rsidRPr="0014507E">
        <w:t>Pulp and Paper Manufacturing</w:t>
      </w:r>
    </w:p>
    <w:p w:rsidR="00000000" w:rsidRPr="0014507E" w:rsidP="0014507E">
      <w:pPr>
        <w:pStyle w:val="AllowPageBreak"/>
      </w:pPr>
    </w:p>
    <w:p w:rsidR="00000000" w:rsidRPr="0014507E" w:rsidP="0014507E">
      <w:pPr>
        <w:pStyle w:val="Heading1"/>
      </w:pPr>
      <w:bookmarkStart w:id="5" w:name="O_911411"/>
      <w:bookmarkEnd w:id="5"/>
      <w:r w:rsidRPr="0014507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219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7E" w:rsidP="0014507E">
            <w:pPr>
              <w:pStyle w:val="BodyText"/>
            </w:pPr>
            <w:r w:rsidRPr="0014507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7E">
            <w:pPr>
              <w:pStyle w:val="BodyText"/>
              <w:rPr>
                <w:lang w:val="en-NZ"/>
              </w:rPr>
            </w:pPr>
            <w:r w:rsidRPr="0014507E">
              <w:rPr>
                <w:rStyle w:val="SpecialBold"/>
              </w:rPr>
              <w:t>PERFORMANCE CRITERIA</w:t>
            </w:r>
          </w:p>
        </w:tc>
      </w:tr>
      <w:tr w:rsidTr="007219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7E">
            <w:pPr>
              <w:pStyle w:val="BodyText"/>
              <w:rPr>
                <w:lang w:val="en-NZ"/>
              </w:rPr>
            </w:pPr>
            <w:r w:rsidRPr="0014507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7E">
            <w:pPr>
              <w:pStyle w:val="BodyText"/>
              <w:rPr>
                <w:lang w:val="en-NZ"/>
              </w:rPr>
            </w:pPr>
            <w:r w:rsidRPr="0014507E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7219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7E">
            <w:pPr>
              <w:pStyle w:val="BodyText"/>
              <w:rPr>
                <w:lang w:val="en-NZ"/>
              </w:rPr>
            </w:pPr>
            <w:r w:rsidRPr="0014507E">
              <w:t>1. Access and navigate control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7E" w:rsidP="0014507E">
            <w:pPr>
              <w:pStyle w:val="BodyText"/>
            </w:pPr>
            <w:r w:rsidRPr="0014507E">
              <w:t xml:space="preserve">1.1. Identify control systems </w:t>
            </w:r>
          </w:p>
          <w:p w:rsidR="00000000" w:rsidRPr="0014507E" w:rsidP="0014507E">
            <w:pPr>
              <w:pStyle w:val="BodyText"/>
            </w:pPr>
            <w:r w:rsidRPr="0014507E">
              <w:t>1.2. Access control systems as required</w:t>
            </w:r>
          </w:p>
          <w:p w:rsidR="00000000" w:rsidP="0014507E">
            <w:pPr>
              <w:pStyle w:val="BodyText"/>
              <w:rPr>
                <w:lang w:val="en-NZ"/>
              </w:rPr>
            </w:pPr>
            <w:r w:rsidRPr="0014507E">
              <w:t>1.3. Navigate control systems to meet job requirements</w:t>
            </w:r>
          </w:p>
        </w:tc>
      </w:tr>
      <w:tr w:rsidTr="007219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7E">
            <w:pPr>
              <w:pStyle w:val="BodyText"/>
              <w:rPr>
                <w:lang w:val="en-NZ"/>
              </w:rPr>
            </w:pPr>
            <w:r w:rsidRPr="0014507E">
              <w:t>2. Monitor and control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7E" w:rsidP="0014507E">
            <w:pPr>
              <w:pStyle w:val="BodyText"/>
            </w:pPr>
            <w:r w:rsidRPr="0014507E">
              <w:t>2.1. Monitor key variables using control screen/s to check process status</w:t>
            </w:r>
          </w:p>
          <w:p w:rsidR="00000000" w:rsidP="0014507E">
            <w:pPr>
              <w:pStyle w:val="BodyText"/>
              <w:rPr>
                <w:lang w:val="en-NZ"/>
              </w:rPr>
            </w:pPr>
            <w:r w:rsidRPr="0014507E">
              <w:t>2.2 Make equipment adjustments using process control systems in line with work health and safety (WHS) and safe work practices</w:t>
            </w:r>
          </w:p>
        </w:tc>
      </w:tr>
      <w:tr w:rsidTr="007219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7E">
            <w:pPr>
              <w:pStyle w:val="BodyText"/>
              <w:rPr>
                <w:lang w:val="en-NZ"/>
              </w:rPr>
            </w:pPr>
            <w:r w:rsidRPr="0014507E">
              <w:t>3. Respond to process variations and problems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7E" w:rsidP="0014507E">
            <w:pPr>
              <w:pStyle w:val="BodyText"/>
            </w:pPr>
            <w:r w:rsidRPr="0014507E">
              <w:t>3.1. Ide</w:t>
            </w:r>
            <w:r w:rsidRPr="0014507E">
              <w:t>ntify process variations</w:t>
            </w:r>
          </w:p>
          <w:p w:rsidR="00000000" w:rsidRPr="0014507E" w:rsidP="0014507E">
            <w:pPr>
              <w:pStyle w:val="BodyText"/>
            </w:pPr>
            <w:r w:rsidRPr="0014507E">
              <w:t>3.2. Adjust equipment in response to process variations and alarms</w:t>
            </w:r>
          </w:p>
          <w:p w:rsidR="00000000" w:rsidRPr="0014507E" w:rsidP="0014507E">
            <w:pPr>
              <w:pStyle w:val="BodyText"/>
            </w:pPr>
            <w:r w:rsidRPr="0014507E">
              <w:t>3.3. Report process variations according to site procedures</w:t>
            </w:r>
          </w:p>
        </w:tc>
      </w:tr>
    </w:tbl>
    <w:p w:rsidR="00000000" w:rsidRPr="0014507E" w:rsidP="0014507E">
      <w:pPr>
        <w:pStyle w:val="BodyText"/>
      </w:pPr>
    </w:p>
    <w:p w:rsidR="00000000" w:rsidRPr="0014507E" w:rsidP="0014507E">
      <w:pPr>
        <w:pStyle w:val="AllowPageBreak"/>
      </w:pPr>
    </w:p>
    <w:p w:rsidR="00000000" w:rsidRPr="0014507E" w:rsidP="0014507E">
      <w:pPr>
        <w:pStyle w:val="Heading1"/>
      </w:pPr>
      <w:bookmarkStart w:id="6" w:name="O_911412"/>
      <w:bookmarkEnd w:id="6"/>
      <w:r w:rsidRPr="0014507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219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7E">
            <w:pPr>
              <w:pStyle w:val="BodyText"/>
              <w:rPr>
                <w:lang w:val="en-NZ"/>
              </w:rPr>
            </w:pPr>
            <w:r w:rsidRPr="0014507E">
              <w:t>This section describes those core and employment skills that are es</w:t>
            </w:r>
            <w:r w:rsidRPr="0014507E">
              <w:t>sential to performance and are not explicit in the performance criteria</w:t>
            </w:r>
          </w:p>
        </w:tc>
      </w:tr>
      <w:tr w:rsidTr="007219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7E">
            <w:pPr>
              <w:pStyle w:val="BodyText"/>
              <w:rPr>
                <w:lang w:val="en-NZ"/>
              </w:rPr>
            </w:pPr>
            <w:r w:rsidRPr="0014507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7E" w:rsidP="0014507E">
            <w:pPr>
              <w:pStyle w:val="ListBullet"/>
            </w:pPr>
            <w:r w:rsidRPr="0014507E">
              <w:t>interpret instruments and gauges</w:t>
            </w:r>
          </w:p>
          <w:p w:rsidR="00000000" w:rsidP="0014507E">
            <w:pPr>
              <w:pStyle w:val="ListBullet"/>
              <w:rPr>
                <w:lang w:val="en-NZ"/>
              </w:rPr>
            </w:pPr>
            <w:r w:rsidRPr="0014507E">
              <w:t>interpret symbols used in process controls.</w:t>
            </w:r>
          </w:p>
        </w:tc>
      </w:tr>
      <w:tr w:rsidTr="007219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7E">
            <w:pPr>
              <w:pStyle w:val="BodyText"/>
              <w:rPr>
                <w:lang w:val="en-NZ"/>
              </w:rPr>
            </w:pPr>
            <w:r w:rsidRPr="0014507E">
              <w:t>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7E">
            <w:pPr>
              <w:pStyle w:val="ListBullet"/>
              <w:rPr>
                <w:lang w:val="en-NZ"/>
              </w:rPr>
            </w:pPr>
            <w:r w:rsidRPr="0014507E">
              <w:t>respond to non-verbal signals including hand signals and alarms.</w:t>
            </w:r>
          </w:p>
        </w:tc>
      </w:tr>
      <w:tr w:rsidTr="007219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7E">
            <w:pPr>
              <w:pStyle w:val="BodyText"/>
              <w:rPr>
                <w:lang w:val="en-NZ"/>
              </w:rPr>
            </w:pPr>
            <w:r w:rsidRPr="0014507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7E" w:rsidP="0014507E">
            <w:pPr>
              <w:pStyle w:val="ListBullet"/>
            </w:pPr>
            <w:r w:rsidRPr="0014507E">
              <w:t>interpret documentation including standard operating procedures, operation manuals, checklists, drawings and signage</w:t>
            </w:r>
          </w:p>
          <w:p w:rsidR="00000000" w:rsidP="0014507E">
            <w:pPr>
              <w:pStyle w:val="ListBullet"/>
              <w:rPr>
                <w:lang w:val="en-NZ"/>
              </w:rPr>
            </w:pPr>
            <w:r w:rsidRPr="0014507E">
              <w:t>interpret symbols used in process controls.</w:t>
            </w:r>
          </w:p>
        </w:tc>
      </w:tr>
      <w:tr w:rsidTr="007219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7E">
            <w:pPr>
              <w:pStyle w:val="BodyText"/>
              <w:rPr>
                <w:lang w:val="en-NZ"/>
              </w:rPr>
            </w:pPr>
            <w:r w:rsidRPr="0014507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7E" w:rsidP="0014507E">
            <w:pPr>
              <w:pStyle w:val="ListBullet"/>
            </w:pPr>
            <w:r w:rsidRPr="0014507E">
              <w:t>record shift data using log books or computer systems</w:t>
            </w:r>
          </w:p>
          <w:p w:rsidR="00000000" w:rsidP="0014507E">
            <w:pPr>
              <w:pStyle w:val="ListBullet"/>
              <w:rPr>
                <w:lang w:val="en-NZ"/>
              </w:rPr>
            </w:pPr>
            <w:r w:rsidRPr="0014507E">
              <w:t>record equipment malfunctions and product or part deviations.</w:t>
            </w:r>
          </w:p>
        </w:tc>
      </w:tr>
      <w:tr w:rsidTr="007219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7E">
            <w:pPr>
              <w:pStyle w:val="BodyText"/>
              <w:rPr>
                <w:lang w:val="en-NZ"/>
              </w:rPr>
            </w:pPr>
            <w:r w:rsidRPr="0014507E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7E" w:rsidP="0014507E">
            <w:pPr>
              <w:pStyle w:val="ListBullet"/>
            </w:pPr>
            <w:r w:rsidRPr="0014507E">
              <w:t>maintain situational awareness in the work area</w:t>
            </w:r>
          </w:p>
          <w:p w:rsidR="00000000" w:rsidP="0014507E">
            <w:pPr>
              <w:pStyle w:val="ListBullet"/>
              <w:rPr>
                <w:lang w:val="en-NZ"/>
              </w:rPr>
            </w:pPr>
            <w:r w:rsidRPr="0014507E">
              <w:t>interpret sensory information that indicate</w:t>
            </w:r>
            <w:r w:rsidRPr="0014507E">
              <w:t>s a deviation from standard operating parameters.</w:t>
            </w:r>
          </w:p>
        </w:tc>
      </w:tr>
      <w:tr w:rsidTr="007219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07E">
            <w:pPr>
              <w:pStyle w:val="BodyText"/>
              <w:rPr>
                <w:lang w:val="en-NZ"/>
              </w:rPr>
            </w:pPr>
            <w:r w:rsidRPr="0014507E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07E" w:rsidP="0014507E">
            <w:pPr>
              <w:pStyle w:val="ListBullet"/>
            </w:pPr>
            <w:r w:rsidRPr="0014507E">
              <w:t>use electronic and other control systems to control equipment and processes.</w:t>
            </w:r>
          </w:p>
        </w:tc>
      </w:tr>
    </w:tbl>
    <w:p w:rsidR="00000000" w:rsidRPr="0014507E" w:rsidP="0014507E">
      <w:pPr>
        <w:pStyle w:val="BodyText"/>
      </w:pPr>
    </w:p>
    <w:p w:rsidR="00000000" w:rsidRPr="0014507E" w:rsidP="0014507E">
      <w:pPr>
        <w:pStyle w:val="AllowPageBreak"/>
      </w:pPr>
    </w:p>
    <w:p w:rsidR="00000000" w:rsidRPr="0014507E" w:rsidP="0014507E">
      <w:pPr>
        <w:pStyle w:val="Heading1"/>
      </w:pPr>
      <w:bookmarkStart w:id="7" w:name="O_911413"/>
      <w:bookmarkEnd w:id="7"/>
      <w:r w:rsidRPr="0014507E">
        <w:t>Range of Conditions</w:t>
      </w:r>
    </w:p>
    <w:p w:rsidR="00000000" w:rsidRPr="0014507E" w:rsidP="0014507E">
      <w:pPr>
        <w:pStyle w:val="BodyText"/>
      </w:pPr>
      <w:r w:rsidRPr="0014507E">
        <w:t>Not Applicable</w:t>
      </w:r>
    </w:p>
    <w:p w:rsidR="00000000" w:rsidRPr="0014507E" w:rsidP="0014507E">
      <w:pPr>
        <w:pStyle w:val="AllowPageBreak"/>
      </w:pPr>
    </w:p>
    <w:p w:rsidR="00000000" w:rsidRPr="0014507E" w:rsidP="0014507E">
      <w:pPr>
        <w:pStyle w:val="Heading1"/>
      </w:pPr>
      <w:bookmarkStart w:id="8" w:name="O_911414"/>
      <w:bookmarkEnd w:id="8"/>
      <w:r w:rsidRPr="0014507E">
        <w:t>Unit Mapping Information</w:t>
      </w:r>
    </w:p>
    <w:p w:rsidR="00000000" w:rsidRPr="0014507E" w:rsidP="0014507E">
      <w:pPr>
        <w:pStyle w:val="BodyText"/>
      </w:pPr>
      <w:r w:rsidRPr="0014507E">
        <w:t>FPPCSK310A Operate process control equipment</w:t>
      </w:r>
    </w:p>
    <w:p w:rsidR="00000000" w:rsidRPr="0014507E" w:rsidP="0014507E">
      <w:pPr>
        <w:pStyle w:val="AllowPageBreak"/>
      </w:pPr>
    </w:p>
    <w:p w:rsidR="00000000" w:rsidRPr="0014507E" w:rsidP="0014507E">
      <w:pPr>
        <w:pStyle w:val="Heading1"/>
      </w:pPr>
      <w:bookmarkStart w:id="9" w:name="O_911421"/>
      <w:bookmarkEnd w:id="9"/>
      <w:r w:rsidRPr="0014507E">
        <w:t>Links</w:t>
      </w:r>
    </w:p>
    <w:p w:rsidR="00000000" w:rsidRPr="0014507E" w:rsidP="0014507E">
      <w:pPr>
        <w:pStyle w:val="BodyText"/>
      </w:pPr>
      <w:r w:rsidRPr="0014507E">
        <w:t>Companion Volume implementation guides are found in VETNet - https://vetnet.education.gov.au/Pages/TrainingPackages.aspx/Pages/Home.aspx</w:t>
      </w:r>
    </w:p>
    <w:p w:rsidR="00000000" w:rsidRPr="0014507E" w:rsidP="0014507E"/>
    <w:sectPr w:rsidSect="001450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7E" w:rsidRPr="007219AE" w:rsidP="007219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9AE" w:rsidP="001450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19AE" w:rsidP="001450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219AE" w:rsidP="001450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9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507E" w:rsidRPr="007219AE" w:rsidP="007219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9AE" w:rsidRPr="002D2AF8" w:rsidP="001450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PPMCSK310 Operate process control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7219AE" w:rsidP="001450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1C4F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C20B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0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0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0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0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0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0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0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0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0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0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0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07E"/>
  </w:style>
  <w:style w:type="character" w:customStyle="1" w:styleId="Heading1Char">
    <w:name w:val="Heading 1 Char"/>
    <w:basedOn w:val="DefaultParagraphFont"/>
    <w:link w:val="Heading1"/>
    <w:rsid w:val="001450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0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0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50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507E"/>
    <w:rPr>
      <w:b/>
      <w:spacing w:val="0"/>
    </w:rPr>
  </w:style>
  <w:style w:type="paragraph" w:customStyle="1" w:styleId="SuperHeading">
    <w:name w:val="SuperHeading"/>
    <w:basedOn w:val="Normal"/>
    <w:rsid w:val="001450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0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50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0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0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0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0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0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0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0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0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0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0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0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0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0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50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50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50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0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0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507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50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0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0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0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0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0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0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0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0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507E"/>
    <w:rPr>
      <w:i/>
    </w:rPr>
  </w:style>
  <w:style w:type="paragraph" w:styleId="Caption">
    <w:name w:val="caption"/>
    <w:basedOn w:val="BodyText"/>
    <w:next w:val="Normal"/>
    <w:qFormat/>
    <w:rsid w:val="001450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0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0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07E"/>
  </w:style>
  <w:style w:type="paragraph" w:styleId="TableofFigures">
    <w:name w:val="table of figures"/>
    <w:basedOn w:val="Normal"/>
    <w:next w:val="Normal"/>
    <w:semiHidden/>
    <w:rsid w:val="001450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07E"/>
    <w:pPr>
      <w:numPr>
        <w:numId w:val="10"/>
      </w:numPr>
    </w:pPr>
  </w:style>
  <w:style w:type="character" w:customStyle="1" w:styleId="WingdingSymbols">
    <w:name w:val="Wingding Symbols"/>
    <w:rsid w:val="0014507E"/>
    <w:rPr>
      <w:rFonts w:ascii="Wingdings" w:hAnsi="Wingdings"/>
    </w:rPr>
  </w:style>
  <w:style w:type="paragraph" w:customStyle="1" w:styleId="TableHeading">
    <w:name w:val="Table Heading"/>
    <w:basedOn w:val="HeadingBase"/>
    <w:rsid w:val="001450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07E"/>
    <w:rPr>
      <w:color w:val="0033CC"/>
      <w:u w:val="none"/>
    </w:rPr>
  </w:style>
  <w:style w:type="paragraph" w:customStyle="1" w:styleId="BodyTextRight">
    <w:name w:val="Body Text Right"/>
    <w:basedOn w:val="BodyText"/>
    <w:rsid w:val="001450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0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0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0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0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0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07E"/>
    <w:rPr>
      <w:sz w:val="32"/>
    </w:rPr>
  </w:style>
  <w:style w:type="paragraph" w:customStyle="1" w:styleId="HeadingProcedure">
    <w:name w:val="Heading Procedure"/>
    <w:basedOn w:val="HeadingBase"/>
    <w:next w:val="Normal"/>
    <w:rsid w:val="001450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07E"/>
    <w:pPr>
      <w:spacing w:before="60" w:after="60"/>
    </w:pPr>
  </w:style>
  <w:style w:type="paragraph" w:styleId="ListContinue">
    <w:name w:val="List Continue"/>
    <w:basedOn w:val="List"/>
    <w:rsid w:val="0014507E"/>
    <w:pPr>
      <w:ind w:firstLine="0"/>
    </w:pPr>
  </w:style>
  <w:style w:type="paragraph" w:customStyle="1" w:styleId="ListNote">
    <w:name w:val="List Note"/>
    <w:basedOn w:val="List"/>
    <w:rsid w:val="001450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0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0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07E"/>
    <w:rPr>
      <w:rFonts w:ascii="Courier New" w:hAnsi="Courier New"/>
    </w:rPr>
  </w:style>
  <w:style w:type="paragraph" w:customStyle="1" w:styleId="NoteBullet">
    <w:name w:val="Note Bullet"/>
    <w:basedOn w:val="Note"/>
    <w:rsid w:val="001450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0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0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0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0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50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0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07E"/>
    <w:rPr>
      <w:b/>
      <w:smallCaps/>
    </w:rPr>
  </w:style>
  <w:style w:type="paragraph" w:customStyle="1" w:styleId="TableListNumber">
    <w:name w:val="Table List Number"/>
    <w:basedOn w:val="ListNumber"/>
    <w:rsid w:val="001450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0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07E"/>
    <w:pPr>
      <w:numPr>
        <w:numId w:val="8"/>
      </w:numPr>
    </w:pPr>
  </w:style>
  <w:style w:type="paragraph" w:customStyle="1" w:styleId="ListAlpha2">
    <w:name w:val="List Alpha 2"/>
    <w:basedOn w:val="List2"/>
    <w:rsid w:val="0014507E"/>
    <w:pPr>
      <w:numPr>
        <w:numId w:val="7"/>
      </w:numPr>
    </w:pPr>
  </w:style>
  <w:style w:type="paragraph" w:styleId="List2">
    <w:name w:val="List 2"/>
    <w:basedOn w:val="BodyText"/>
    <w:rsid w:val="001450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0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0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0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0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50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507E"/>
    <w:pPr>
      <w:numPr>
        <w:numId w:val="3"/>
      </w:numPr>
    </w:pPr>
  </w:style>
  <w:style w:type="paragraph" w:styleId="ListContinue2">
    <w:name w:val="List Continue 2"/>
    <w:basedOn w:val="List2"/>
    <w:rsid w:val="0014507E"/>
    <w:pPr>
      <w:ind w:firstLine="0"/>
    </w:pPr>
  </w:style>
  <w:style w:type="paragraph" w:styleId="ListContinue3">
    <w:name w:val="List Continue 3"/>
    <w:basedOn w:val="List3"/>
    <w:rsid w:val="0014507E"/>
    <w:pPr>
      <w:ind w:left="1021" w:firstLine="0"/>
    </w:pPr>
  </w:style>
  <w:style w:type="paragraph" w:styleId="ListContinue4">
    <w:name w:val="List Continue 4"/>
    <w:basedOn w:val="List4"/>
    <w:rsid w:val="0014507E"/>
    <w:pPr>
      <w:ind w:firstLine="0"/>
    </w:pPr>
  </w:style>
  <w:style w:type="paragraph" w:styleId="ListContinue5">
    <w:name w:val="List Continue 5"/>
    <w:basedOn w:val="List5"/>
    <w:rsid w:val="0014507E"/>
    <w:pPr>
      <w:ind w:firstLine="0"/>
    </w:pPr>
  </w:style>
  <w:style w:type="paragraph" w:styleId="ListNumber3">
    <w:name w:val="List Number 3"/>
    <w:basedOn w:val="List3"/>
    <w:rsid w:val="0014507E"/>
    <w:pPr>
      <w:numPr>
        <w:numId w:val="4"/>
      </w:numPr>
    </w:pPr>
  </w:style>
  <w:style w:type="paragraph" w:styleId="ListNumber4">
    <w:name w:val="List Number 4"/>
    <w:basedOn w:val="List4"/>
    <w:rsid w:val="0014507E"/>
    <w:pPr>
      <w:numPr>
        <w:numId w:val="5"/>
      </w:numPr>
    </w:pPr>
  </w:style>
  <w:style w:type="paragraph" w:styleId="ListNumber5">
    <w:name w:val="List Number 5"/>
    <w:basedOn w:val="List5"/>
    <w:rsid w:val="0014507E"/>
    <w:pPr>
      <w:numPr>
        <w:numId w:val="6"/>
      </w:numPr>
    </w:pPr>
  </w:style>
  <w:style w:type="paragraph" w:styleId="BlockText">
    <w:name w:val="Block Text"/>
    <w:basedOn w:val="Normal"/>
    <w:rsid w:val="001450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0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07E"/>
    <w:rPr>
      <w:sz w:val="16"/>
      <w:vertAlign w:val="superscript"/>
    </w:rPr>
  </w:style>
  <w:style w:type="character" w:customStyle="1" w:styleId="Symbols">
    <w:name w:val="Symbols"/>
    <w:basedOn w:val="DefaultParagraphFont"/>
    <w:rsid w:val="0014507E"/>
    <w:rPr>
      <w:rFonts w:ascii="Symbol" w:hAnsi="Symbol"/>
    </w:rPr>
  </w:style>
  <w:style w:type="character" w:customStyle="1" w:styleId="MenuOptions">
    <w:name w:val="Menu Options"/>
    <w:basedOn w:val="DefaultParagraphFont"/>
    <w:rsid w:val="001450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07E"/>
    <w:rPr>
      <w:b/>
    </w:rPr>
  </w:style>
  <w:style w:type="character" w:customStyle="1" w:styleId="Underlined">
    <w:name w:val="Underlined"/>
    <w:basedOn w:val="DefaultParagraphFont"/>
    <w:rsid w:val="0014507E"/>
    <w:rPr>
      <w:u w:val="single"/>
    </w:rPr>
  </w:style>
  <w:style w:type="paragraph" w:customStyle="1" w:styleId="TableBodyTextRight">
    <w:name w:val="Table Body Text Right"/>
    <w:basedOn w:val="TableBodyText"/>
    <w:rsid w:val="001450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07E"/>
    <w:rPr>
      <w:sz w:val="18"/>
    </w:rPr>
  </w:style>
  <w:style w:type="paragraph" w:customStyle="1" w:styleId="BodySmallRight">
    <w:name w:val="Body Small Right"/>
    <w:basedOn w:val="BodyTextRight"/>
    <w:rsid w:val="0014507E"/>
    <w:rPr>
      <w:sz w:val="18"/>
      <w:szCs w:val="18"/>
    </w:rPr>
  </w:style>
  <w:style w:type="paragraph" w:customStyle="1" w:styleId="MarginEdition">
    <w:name w:val="Margin Edition"/>
    <w:basedOn w:val="MarginNote"/>
    <w:rsid w:val="001450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07E"/>
    <w:rPr>
      <w:sz w:val="2"/>
      <w:szCs w:val="2"/>
    </w:rPr>
  </w:style>
  <w:style w:type="character" w:customStyle="1" w:styleId="Small">
    <w:name w:val="Small"/>
    <w:basedOn w:val="DefaultParagraphFont"/>
    <w:rsid w:val="0014507E"/>
    <w:rPr>
      <w:sz w:val="16"/>
    </w:rPr>
  </w:style>
  <w:style w:type="paragraph" w:customStyle="1" w:styleId="WideTable">
    <w:name w:val="Wide Table"/>
    <w:basedOn w:val="Normal"/>
    <w:rsid w:val="001450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07E"/>
  </w:style>
  <w:style w:type="paragraph" w:styleId="Quote">
    <w:name w:val="Quote"/>
    <w:basedOn w:val="Heading1"/>
    <w:link w:val="QuoteChar"/>
    <w:qFormat/>
    <w:rsid w:val="001450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0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07E"/>
    <w:pPr>
      <w:pageBreakBefore/>
    </w:pPr>
  </w:style>
  <w:style w:type="paragraph" w:customStyle="1" w:styleId="Border">
    <w:name w:val="Border"/>
    <w:basedOn w:val="Normal"/>
    <w:qFormat/>
    <w:rsid w:val="001450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0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0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0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0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0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0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0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0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07E"/>
    <w:rPr>
      <w:u w:val="single"/>
    </w:rPr>
  </w:style>
  <w:style w:type="character" w:customStyle="1" w:styleId="BoldandItalics">
    <w:name w:val="Bold and Italics"/>
    <w:qFormat/>
    <w:rsid w:val="0014507E"/>
    <w:rPr>
      <w:b/>
      <w:i/>
      <w:u w:val="none"/>
    </w:rPr>
  </w:style>
  <w:style w:type="paragraph" w:styleId="BalloonText">
    <w:name w:val="Balloon Text"/>
    <w:basedOn w:val="Normal"/>
    <w:link w:val="BalloonTextChar"/>
    <w:rsid w:val="001450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0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0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0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0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0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507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416</Words>
  <Characters>2675</Characters>
  <Application>Microsoft Office Word</Application>
  <DocSecurity>0</DocSecurity>
  <Lines>95</Lines>
  <Paragraphs>57</Paragraphs>
  <ScaleCrop>false</ScaleCrop>
  <Company>Author-it Software Corporation Ltd.</Company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PPMCSK310 Operate process control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2018-10-24T01:33:00Z</dcterms:created>
  <dcterms:modified xsi:type="dcterms:W3CDTF">2018-10-24T01:33:00Z</dcterms:modified>
</cp:coreProperties>
</file>