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EF0" w:rsidP="00082E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PPMCSK301 Operate process control equipment</w:t>
      </w:r>
      <w:r>
        <w:fldChar w:fldCharType="end"/>
      </w:r>
    </w:p>
    <w:p w:rsidR="00082EF0" w:rsidP="00082EF0">
      <w:pPr>
        <w:pStyle w:val="Version"/>
        <w:sectPr w:rsidSect="00AC6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0CD" w:rsidP="00AC60CD">
      <w:pPr>
        <w:pStyle w:val="SuperHeading"/>
      </w:pPr>
      <w:r w:rsidRPr="00AC60CD">
        <w:t>PPMCSK301 Operate process control equipment</w:t>
      </w:r>
    </w:p>
    <w:p w:rsidR="00000000" w:rsidRPr="00AC60CD" w:rsidP="00AC60CD">
      <w:pPr>
        <w:pStyle w:val="Heading1"/>
      </w:pPr>
      <w:bookmarkStart w:id="1" w:name="O_1205580"/>
      <w:bookmarkEnd w:id="1"/>
      <w:r w:rsidRPr="00AC60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6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Bold"/>
              <w:rPr>
                <w:lang w:val="en-NZ"/>
              </w:rPr>
            </w:pPr>
            <w:r w:rsidRPr="00AC60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Bold"/>
              <w:rPr>
                <w:lang w:val="en-NZ"/>
              </w:rPr>
            </w:pPr>
            <w:r w:rsidRPr="00AC60CD">
              <w:t>Comments</w:t>
            </w:r>
          </w:p>
        </w:tc>
      </w:tr>
      <w:tr w:rsidTr="00AC6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0CD" w:rsidP="00AC60CD">
            <w:pPr>
              <w:pStyle w:val="BodyText"/>
            </w:pPr>
            <w:r w:rsidRPr="00AC60CD">
              <w:t>This version released with PPM Pulp and Paper Manufacturing Training Package Version 3.0.</w:t>
            </w:r>
          </w:p>
        </w:tc>
      </w:tr>
    </w:tbl>
    <w:p w:rsidR="00000000" w:rsidRPr="00AC60CD" w:rsidP="00AC60CD">
      <w:pPr>
        <w:pStyle w:val="BodyText"/>
      </w:pPr>
    </w:p>
    <w:p w:rsidR="00000000" w:rsidRPr="00AC60CD" w:rsidP="00AC60CD">
      <w:pPr>
        <w:pStyle w:val="AllowPageBreak"/>
      </w:pPr>
    </w:p>
    <w:p w:rsidR="00000000" w:rsidRPr="00AC60CD" w:rsidP="00AC60CD">
      <w:pPr>
        <w:pStyle w:val="Heading1"/>
      </w:pPr>
      <w:bookmarkStart w:id="2" w:name="O_1205581"/>
      <w:bookmarkEnd w:id="2"/>
      <w:r w:rsidRPr="00AC60CD">
        <w:t>Application</w:t>
      </w:r>
    </w:p>
    <w:p w:rsidR="00000000" w:rsidRPr="00AC60CD" w:rsidP="00082EF0">
      <w:pPr>
        <w:pStyle w:val="BodyText"/>
      </w:pPr>
      <w:r w:rsidRPr="00AC60CD">
        <w:t>This unit of competency describes the skills and knowledge required to oper</w:t>
      </w:r>
      <w:r w:rsidRPr="00AC60CD">
        <w:t>ate process control equipment in a pulp and/or paper manufacturing facility.</w:t>
      </w:r>
    </w:p>
    <w:p w:rsidR="00000000" w:rsidRPr="00AC60CD" w:rsidP="00082EF0">
      <w:pPr>
        <w:pStyle w:val="BodyText"/>
      </w:pPr>
      <w:r w:rsidRPr="00AC60CD">
        <w:t>The unit applies to production operators and technicians who access, monitor and control process control equipment, including responding to process variations and problems involve</w:t>
      </w:r>
      <w:r w:rsidRPr="00AC60CD">
        <w:t>d in working within an operating environment with complex integrated equipment and continuous operations.</w:t>
      </w:r>
    </w:p>
    <w:p w:rsidR="00000000" w:rsidRPr="00AC60CD" w:rsidP="00082EF0">
      <w:pPr>
        <w:pStyle w:val="BodyText"/>
      </w:pPr>
      <w:r w:rsidRPr="00AC60CD">
        <w:t>No licensing, legislative or certification requirements apply to this unit at the time of publication.</w:t>
      </w:r>
    </w:p>
    <w:p w:rsidR="00000000" w:rsidRPr="00AC60CD" w:rsidP="00AC60CD">
      <w:pPr>
        <w:pStyle w:val="Heading1"/>
      </w:pPr>
      <w:bookmarkStart w:id="3" w:name="O_1205582"/>
      <w:bookmarkEnd w:id="3"/>
      <w:r w:rsidRPr="00AC60CD">
        <w:t>Pre-requisite Unit</w:t>
      </w:r>
    </w:p>
    <w:p w:rsidR="00000000" w:rsidRPr="00AC60CD" w:rsidP="00082EF0">
      <w:pPr>
        <w:pStyle w:val="BodyText"/>
      </w:pPr>
      <w:r w:rsidRPr="00AC60CD">
        <w:t>Nil</w:t>
      </w:r>
    </w:p>
    <w:p w:rsidR="00000000" w:rsidRPr="00AC60CD" w:rsidP="00AC60CD">
      <w:pPr>
        <w:pStyle w:val="Heading1"/>
      </w:pPr>
      <w:bookmarkStart w:id="4" w:name="O_1205584"/>
      <w:bookmarkEnd w:id="4"/>
      <w:r w:rsidRPr="00AC60CD">
        <w:t>Unit Sector</w:t>
      </w:r>
    </w:p>
    <w:p w:rsidR="00000000" w:rsidRPr="00AC60CD" w:rsidP="00082EF0">
      <w:pPr>
        <w:pStyle w:val="BodyText"/>
      </w:pPr>
      <w:r w:rsidRPr="00AC60CD">
        <w:t>Computer/Process Control Equipment (CSK)</w:t>
      </w:r>
    </w:p>
    <w:p w:rsidR="00000000" w:rsidRPr="00AC60CD" w:rsidP="00AC60CD">
      <w:pPr>
        <w:pStyle w:val="Heading1"/>
      </w:pPr>
      <w:bookmarkStart w:id="5" w:name="O_1205585"/>
      <w:bookmarkEnd w:id="5"/>
      <w:r w:rsidRPr="00AC60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2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Bold"/>
              <w:rPr>
                <w:lang w:val="en-NZ"/>
              </w:rPr>
            </w:pPr>
            <w:r w:rsidRPr="00AC60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Bold"/>
              <w:rPr>
                <w:lang w:val="en-NZ"/>
              </w:rPr>
            </w:pPr>
            <w:r w:rsidRPr="00AC60CD">
              <w:t>Performance Criteria</w:t>
            </w:r>
          </w:p>
        </w:tc>
      </w:tr>
      <w:tr w:rsidTr="00082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0CD" w:rsidP="00AC60CD">
            <w:pPr>
              <w:pStyle w:val="BodyText"/>
            </w:pPr>
            <w:r w:rsidRPr="00AC60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2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>1. Access and navigate control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0CD" w:rsidP="00AC60CD">
            <w:pPr>
              <w:pStyle w:val="BodyText"/>
            </w:pPr>
            <w:r w:rsidRPr="00AC60CD">
              <w:t>1.1 Receive and give shift handover</w:t>
            </w:r>
          </w:p>
          <w:p w:rsidR="00000000" w:rsidRPr="00AC60CD" w:rsidP="00AC60CD">
            <w:pPr>
              <w:pStyle w:val="BodyText"/>
            </w:pPr>
            <w:r w:rsidRPr="00AC60CD">
              <w:t>1.2 Identify, control and report safety risks and hazards</w:t>
            </w:r>
          </w:p>
          <w:p w:rsidR="00000000" w:rsidRPr="00AC60CD" w:rsidP="00AC60CD">
            <w:pPr>
              <w:pStyle w:val="BodyText"/>
            </w:pPr>
            <w:r w:rsidRPr="00AC60CD">
              <w:t>1.3 Identify and check oper</w:t>
            </w:r>
            <w:r w:rsidRPr="00AC60CD">
              <w:t>ational status of control system</w:t>
            </w:r>
          </w:p>
          <w:p w:rsidR="00000000" w:rsidRPr="00AC60CD" w:rsidP="00AC60CD">
            <w:pPr>
              <w:pStyle w:val="BodyText"/>
            </w:pPr>
            <w:r w:rsidRPr="00AC60CD">
              <w:t xml:space="preserve">1.4 Use control screens to access control system </w:t>
            </w:r>
          </w:p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 xml:space="preserve">1.5 Navigate control system to meet job and specifications </w:t>
            </w:r>
            <w:r w:rsidRPr="00AC60CD">
              <w:t>requirements</w:t>
            </w:r>
          </w:p>
        </w:tc>
      </w:tr>
      <w:tr w:rsidTr="00082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>2. Monitor and control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0CD" w:rsidP="00AC60CD">
            <w:pPr>
              <w:pStyle w:val="BodyText"/>
            </w:pPr>
            <w:r w:rsidRPr="00AC60CD">
              <w:t>2.1 Monitor key variables frequently using control screen/s to check process status</w:t>
            </w:r>
          </w:p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>2.2 Make equipment adjustments using process control systems according to operating and workplace health and safety procedures</w:t>
            </w:r>
          </w:p>
        </w:tc>
      </w:tr>
      <w:tr w:rsidTr="00082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>3. Respond to process variations and problem</w:t>
            </w:r>
            <w:r w:rsidRPr="00AC60CD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0CD" w:rsidP="00AC60CD">
            <w:pPr>
              <w:pStyle w:val="BodyText"/>
            </w:pPr>
            <w:r w:rsidRPr="00AC60CD">
              <w:t>3.1 Identify process variations through faulty signals</w:t>
            </w:r>
          </w:p>
          <w:p w:rsidR="00000000" w:rsidRPr="00AC60CD" w:rsidP="00AC60CD">
            <w:pPr>
              <w:pStyle w:val="BodyText"/>
            </w:pPr>
            <w:r w:rsidRPr="00AC60CD">
              <w:t>3.2 Adjust equipment in response to process variations and alarms and specifications requirements</w:t>
            </w:r>
          </w:p>
          <w:p w:rsidR="00000000" w:rsidRPr="00AC60CD" w:rsidP="00AC60CD">
            <w:pPr>
              <w:pStyle w:val="BodyText"/>
            </w:pPr>
            <w:r w:rsidRPr="00AC60CD">
              <w:t>3.3 Report process variations according to organisational procedures</w:t>
            </w:r>
          </w:p>
        </w:tc>
      </w:tr>
    </w:tbl>
    <w:p w:rsidR="00000000" w:rsidRPr="00AC60CD" w:rsidP="00AC60CD">
      <w:pPr>
        <w:pStyle w:val="BodyText"/>
      </w:pPr>
    </w:p>
    <w:p w:rsidR="00000000" w:rsidRPr="00AC60CD" w:rsidP="00AC60CD">
      <w:pPr>
        <w:pStyle w:val="AllowPageBreak"/>
      </w:pPr>
    </w:p>
    <w:p w:rsidR="00000000" w:rsidRPr="00AC60CD" w:rsidP="00AC60CD">
      <w:pPr>
        <w:pStyle w:val="Heading1"/>
      </w:pPr>
      <w:bookmarkStart w:id="6" w:name="O_1205586"/>
      <w:bookmarkEnd w:id="6"/>
      <w:r w:rsidRPr="00AC60CD">
        <w:t xml:space="preserve">Foundation </w:t>
      </w:r>
      <w:r w:rsidRPr="00AC60CD">
        <w:t>Skills</w:t>
      </w:r>
    </w:p>
    <w:p w:rsidR="00000000" w:rsidRPr="00082EF0" w:rsidP="00082EF0">
      <w:pPr>
        <w:pStyle w:val="BodyText"/>
        <w:rPr>
          <w:i/>
        </w:rPr>
      </w:pPr>
      <w:r w:rsidRPr="00082E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6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Bold"/>
              <w:rPr>
                <w:lang w:val="en-NZ"/>
              </w:rPr>
            </w:pPr>
            <w:r w:rsidRPr="00AC60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Bold"/>
              <w:rPr>
                <w:lang w:val="en-NZ"/>
              </w:rPr>
            </w:pPr>
            <w:r w:rsidRPr="00AC60CD">
              <w:t>Description</w:t>
            </w:r>
          </w:p>
        </w:tc>
      </w:tr>
      <w:tr w:rsidTr="00AC6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ListBullet"/>
              <w:rPr>
                <w:lang w:val="en-NZ"/>
              </w:rPr>
            </w:pPr>
            <w:r w:rsidRPr="00AC60CD">
              <w:t>Interpret information from a range of workplace documentation including standard operating procedures, operation manuals, checklists, drawings and signage</w:t>
            </w:r>
          </w:p>
        </w:tc>
      </w:tr>
      <w:tr w:rsidTr="00AC6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0CD" w:rsidP="00AC60CD">
            <w:pPr>
              <w:pStyle w:val="ListBullet"/>
            </w:pPr>
            <w:r w:rsidRPr="00AC60CD">
              <w:t>Record shift data using log books or computer systems</w:t>
            </w:r>
          </w:p>
          <w:p w:rsidR="00000000" w:rsidP="00AC60CD">
            <w:pPr>
              <w:pStyle w:val="ListBullet"/>
              <w:rPr>
                <w:lang w:val="en-NZ"/>
              </w:rPr>
            </w:pPr>
            <w:r w:rsidRPr="00AC60CD">
              <w:t>Record equipment malfunctions and pr</w:t>
            </w:r>
            <w:r w:rsidRPr="00AC60CD">
              <w:t>oduct or part deviations using clear language and industry terminology</w:t>
            </w:r>
          </w:p>
        </w:tc>
      </w:tr>
      <w:tr w:rsidTr="00AC6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 xml:space="preserve">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ListBullet"/>
              <w:rPr>
                <w:lang w:val="en-NZ"/>
              </w:rPr>
            </w:pPr>
            <w:r w:rsidRPr="00AC60CD">
              <w:t>Respond to non-verbal signals, including hand signals and alarms</w:t>
            </w:r>
          </w:p>
        </w:tc>
      </w:tr>
      <w:tr w:rsidTr="00AC6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0CD" w:rsidP="00AC60CD">
            <w:pPr>
              <w:pStyle w:val="ListBullet"/>
            </w:pPr>
            <w:r w:rsidRPr="00AC60CD">
              <w:t>Interpret numerical readings on instruments and gauges</w:t>
            </w:r>
          </w:p>
          <w:p w:rsidR="00000000" w:rsidRPr="00AC60CD" w:rsidP="00AC60CD">
            <w:pPr>
              <w:pStyle w:val="ListBullet"/>
            </w:pPr>
            <w:r w:rsidRPr="00AC60CD">
              <w:t>Interpret symbols used in process controls</w:t>
            </w:r>
          </w:p>
        </w:tc>
      </w:tr>
    </w:tbl>
    <w:p w:rsidR="00000000" w:rsidRPr="00AC60CD" w:rsidP="00AC60CD">
      <w:pPr>
        <w:pStyle w:val="BodyText"/>
      </w:pPr>
    </w:p>
    <w:p w:rsidR="00000000" w:rsidRPr="00AC60CD" w:rsidP="00AC60CD">
      <w:pPr>
        <w:pStyle w:val="AllowPageBreak"/>
      </w:pPr>
    </w:p>
    <w:p w:rsidR="00000000" w:rsidRPr="00AC60CD" w:rsidP="00AC60CD">
      <w:pPr>
        <w:pStyle w:val="Heading1"/>
      </w:pPr>
      <w:bookmarkStart w:id="7" w:name="O_1205588"/>
      <w:bookmarkEnd w:id="7"/>
      <w:r w:rsidRPr="00AC60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6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Bold"/>
              <w:rPr>
                <w:lang w:val="en-NZ"/>
              </w:rPr>
            </w:pPr>
            <w:r w:rsidRPr="00AC60C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Bold"/>
              <w:rPr>
                <w:lang w:val="en-NZ"/>
              </w:rPr>
            </w:pPr>
            <w:r w:rsidRPr="00AC60C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Bold"/>
              <w:rPr>
                <w:lang w:val="en-NZ"/>
              </w:rPr>
            </w:pPr>
            <w:r w:rsidRPr="00AC60C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Bold"/>
              <w:rPr>
                <w:lang w:val="en-NZ"/>
              </w:rPr>
            </w:pPr>
            <w:r w:rsidRPr="00AC60CD">
              <w:t>Equivalence status</w:t>
            </w:r>
          </w:p>
        </w:tc>
      </w:tr>
      <w:tr w:rsidTr="00AC6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>PPMCSK301 Operate process control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>PPMCSK310 Operate process control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0CD" w:rsidP="00AC60CD">
            <w:pPr>
              <w:pStyle w:val="BodyText"/>
            </w:pPr>
            <w:r w:rsidRPr="00AC60CD">
              <w:t>Changes to performance criteria, foundation skills, performance evidence and knowledge evidence</w:t>
            </w:r>
          </w:p>
          <w:p w:rsidR="00000000" w:rsidP="00AC60CD">
            <w:pPr>
              <w:pStyle w:val="BodyText"/>
              <w:rPr>
                <w:lang w:val="en-NZ"/>
              </w:rPr>
            </w:pPr>
            <w:r w:rsidRPr="00AC60CD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0CD" w:rsidP="00AC60CD">
            <w:pPr>
              <w:pStyle w:val="BodyText"/>
            </w:pPr>
            <w:r w:rsidRPr="00AC60CD">
              <w:t>Not equivalent</w:t>
            </w:r>
          </w:p>
        </w:tc>
      </w:tr>
    </w:tbl>
    <w:p w:rsidR="00000000" w:rsidRPr="00AC60CD" w:rsidP="00AC60CD">
      <w:pPr>
        <w:pStyle w:val="BodyText"/>
      </w:pPr>
    </w:p>
    <w:p w:rsidR="00000000" w:rsidRPr="00AC60CD" w:rsidP="00AC60CD">
      <w:pPr>
        <w:pStyle w:val="AllowPageBreak"/>
      </w:pPr>
    </w:p>
    <w:p w:rsidR="00000000" w:rsidRPr="00AC60CD" w:rsidP="00AC60CD">
      <w:pPr>
        <w:pStyle w:val="Heading1"/>
      </w:pPr>
      <w:bookmarkStart w:id="8" w:name="O_1205595"/>
      <w:bookmarkEnd w:id="8"/>
      <w:r w:rsidRPr="00AC60CD">
        <w:t>Links</w:t>
      </w:r>
    </w:p>
    <w:p w:rsidR="00000000" w:rsidRPr="00AC60CD" w:rsidP="00082EF0">
      <w:pPr>
        <w:pStyle w:val="BodyText"/>
      </w:pPr>
      <w:r w:rsidRPr="00AC60CD">
        <w:t xml:space="preserve">Companion Volumes, including Implementation </w:t>
      </w:r>
      <w:r w:rsidRPr="00AC60CD">
        <w:t xml:space="preserve">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B794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C60CD" w:rsidP="00AC60CD"/>
    <w:sectPr w:rsidSect="00AC60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CD" w:rsidRPr="00082EF0" w:rsidP="00082E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F0" w:rsidP="00AC6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EF0" w:rsidP="00AC6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2EF0" w:rsidP="00AC6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0CD" w:rsidRPr="00082EF0" w:rsidP="00082E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F0" w:rsidRPr="002D2AF8" w:rsidP="00AC6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PPMCSK301 Operate process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082EF0" w:rsidP="00AC6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1A8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627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0CD"/>
  </w:style>
  <w:style w:type="character" w:customStyle="1" w:styleId="Heading1Char">
    <w:name w:val="Heading 1 Char"/>
    <w:basedOn w:val="DefaultParagraphFont"/>
    <w:link w:val="Heading1"/>
    <w:rsid w:val="00AC6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0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0C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C60CD"/>
    <w:rPr>
      <w:i/>
    </w:rPr>
  </w:style>
  <w:style w:type="paragraph" w:customStyle="1" w:styleId="SuperHeading">
    <w:name w:val="SuperHeading"/>
    <w:basedOn w:val="Normal"/>
    <w:rsid w:val="00AC6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60CD"/>
    <w:rPr>
      <w:b/>
    </w:rPr>
  </w:style>
  <w:style w:type="character" w:customStyle="1" w:styleId="Heading2Char">
    <w:name w:val="Heading 2 Char"/>
    <w:basedOn w:val="DefaultParagraphFont"/>
    <w:link w:val="Heading2"/>
    <w:rsid w:val="00AC6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0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0CD"/>
    <w:rPr>
      <w:b/>
      <w:spacing w:val="0"/>
    </w:rPr>
  </w:style>
  <w:style w:type="paragraph" w:customStyle="1" w:styleId="SuperTitle">
    <w:name w:val="SuperTitle"/>
    <w:basedOn w:val="Title"/>
    <w:rsid w:val="00AC6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0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0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0CD"/>
  </w:style>
  <w:style w:type="paragraph" w:styleId="TableofFigures">
    <w:name w:val="table of figures"/>
    <w:basedOn w:val="Normal"/>
    <w:next w:val="Normal"/>
    <w:semiHidden/>
    <w:rsid w:val="00AC6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0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0CD"/>
    <w:rPr>
      <w:rFonts w:ascii="Wingdings" w:hAnsi="Wingdings"/>
    </w:rPr>
  </w:style>
  <w:style w:type="paragraph" w:customStyle="1" w:styleId="TableHeading">
    <w:name w:val="Table Heading"/>
    <w:basedOn w:val="HeadingBase"/>
    <w:rsid w:val="00AC6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0CD"/>
    <w:rPr>
      <w:color w:val="0033CC"/>
      <w:u w:val="none"/>
    </w:rPr>
  </w:style>
  <w:style w:type="paragraph" w:customStyle="1" w:styleId="BodyTextRight">
    <w:name w:val="Body Text Right"/>
    <w:basedOn w:val="BodyText"/>
    <w:rsid w:val="00AC6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0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0CD"/>
    <w:rPr>
      <w:sz w:val="32"/>
    </w:rPr>
  </w:style>
  <w:style w:type="paragraph" w:customStyle="1" w:styleId="HeadingProcedure">
    <w:name w:val="Heading Procedure"/>
    <w:basedOn w:val="HeadingBase"/>
    <w:next w:val="Normal"/>
    <w:rsid w:val="00AC6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0CD"/>
    <w:pPr>
      <w:spacing w:before="60" w:after="60"/>
    </w:pPr>
  </w:style>
  <w:style w:type="paragraph" w:styleId="ListContinue">
    <w:name w:val="List Continue"/>
    <w:basedOn w:val="List"/>
    <w:rsid w:val="00AC60CD"/>
    <w:pPr>
      <w:ind w:firstLine="0"/>
    </w:pPr>
  </w:style>
  <w:style w:type="paragraph" w:customStyle="1" w:styleId="ListNote">
    <w:name w:val="List Note"/>
    <w:basedOn w:val="List"/>
    <w:rsid w:val="00AC6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0CD"/>
    <w:rPr>
      <w:rFonts w:ascii="Courier New" w:hAnsi="Courier New"/>
    </w:rPr>
  </w:style>
  <w:style w:type="paragraph" w:customStyle="1" w:styleId="NoteBullet">
    <w:name w:val="Note Bullet"/>
    <w:basedOn w:val="Note"/>
    <w:rsid w:val="00AC6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0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0CD"/>
    <w:rPr>
      <w:b/>
      <w:smallCaps/>
    </w:rPr>
  </w:style>
  <w:style w:type="paragraph" w:customStyle="1" w:styleId="TableListNumber">
    <w:name w:val="Table List Number"/>
    <w:basedOn w:val="ListNumber"/>
    <w:rsid w:val="00AC6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0CD"/>
    <w:pPr>
      <w:numPr>
        <w:numId w:val="8"/>
      </w:numPr>
    </w:pPr>
  </w:style>
  <w:style w:type="paragraph" w:customStyle="1" w:styleId="ListAlpha2">
    <w:name w:val="List Alpha 2"/>
    <w:basedOn w:val="List2"/>
    <w:rsid w:val="00AC60CD"/>
    <w:pPr>
      <w:numPr>
        <w:numId w:val="7"/>
      </w:numPr>
    </w:pPr>
  </w:style>
  <w:style w:type="paragraph" w:styleId="List2">
    <w:name w:val="List 2"/>
    <w:basedOn w:val="BodyText"/>
    <w:rsid w:val="00AC6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0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0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0CD"/>
    <w:pPr>
      <w:numPr>
        <w:numId w:val="3"/>
      </w:numPr>
    </w:pPr>
  </w:style>
  <w:style w:type="paragraph" w:styleId="ListContinue2">
    <w:name w:val="List Continue 2"/>
    <w:basedOn w:val="List2"/>
    <w:rsid w:val="00AC60CD"/>
    <w:pPr>
      <w:ind w:firstLine="0"/>
    </w:pPr>
  </w:style>
  <w:style w:type="paragraph" w:styleId="ListContinue3">
    <w:name w:val="List Continue 3"/>
    <w:basedOn w:val="List3"/>
    <w:rsid w:val="00AC60CD"/>
    <w:pPr>
      <w:ind w:left="1021" w:firstLine="0"/>
    </w:pPr>
  </w:style>
  <w:style w:type="paragraph" w:styleId="ListContinue4">
    <w:name w:val="List Continue 4"/>
    <w:basedOn w:val="List4"/>
    <w:rsid w:val="00AC60CD"/>
    <w:pPr>
      <w:ind w:firstLine="0"/>
    </w:pPr>
  </w:style>
  <w:style w:type="paragraph" w:styleId="ListContinue5">
    <w:name w:val="List Continue 5"/>
    <w:basedOn w:val="List5"/>
    <w:rsid w:val="00AC60CD"/>
    <w:pPr>
      <w:ind w:firstLine="0"/>
    </w:pPr>
  </w:style>
  <w:style w:type="paragraph" w:styleId="ListNumber3">
    <w:name w:val="List Number 3"/>
    <w:basedOn w:val="List3"/>
    <w:rsid w:val="00AC60CD"/>
    <w:pPr>
      <w:numPr>
        <w:numId w:val="4"/>
      </w:numPr>
    </w:pPr>
  </w:style>
  <w:style w:type="paragraph" w:styleId="ListNumber4">
    <w:name w:val="List Number 4"/>
    <w:basedOn w:val="List4"/>
    <w:rsid w:val="00AC60CD"/>
    <w:pPr>
      <w:numPr>
        <w:numId w:val="5"/>
      </w:numPr>
    </w:pPr>
  </w:style>
  <w:style w:type="paragraph" w:styleId="ListNumber5">
    <w:name w:val="List Number 5"/>
    <w:basedOn w:val="List5"/>
    <w:rsid w:val="00AC60CD"/>
    <w:pPr>
      <w:numPr>
        <w:numId w:val="6"/>
      </w:numPr>
    </w:pPr>
  </w:style>
  <w:style w:type="paragraph" w:styleId="BlockText">
    <w:name w:val="Block Text"/>
    <w:basedOn w:val="Normal"/>
    <w:rsid w:val="00AC6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0CD"/>
    <w:rPr>
      <w:sz w:val="16"/>
      <w:vertAlign w:val="superscript"/>
    </w:rPr>
  </w:style>
  <w:style w:type="character" w:customStyle="1" w:styleId="Symbols">
    <w:name w:val="Symbols"/>
    <w:basedOn w:val="DefaultParagraphFont"/>
    <w:rsid w:val="00AC60CD"/>
    <w:rPr>
      <w:rFonts w:ascii="Symbol" w:hAnsi="Symbol"/>
    </w:rPr>
  </w:style>
  <w:style w:type="character" w:customStyle="1" w:styleId="MenuOptions">
    <w:name w:val="Menu Options"/>
    <w:basedOn w:val="DefaultParagraphFont"/>
    <w:rsid w:val="00AC6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0CD"/>
    <w:rPr>
      <w:b/>
    </w:rPr>
  </w:style>
  <w:style w:type="character" w:customStyle="1" w:styleId="Underlined">
    <w:name w:val="Underlined"/>
    <w:basedOn w:val="DefaultParagraphFont"/>
    <w:rsid w:val="00AC60CD"/>
    <w:rPr>
      <w:u w:val="single"/>
    </w:rPr>
  </w:style>
  <w:style w:type="paragraph" w:customStyle="1" w:styleId="TableBodyTextRight">
    <w:name w:val="Table Body Text Right"/>
    <w:basedOn w:val="TableBodyText"/>
    <w:rsid w:val="00AC6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0CD"/>
    <w:rPr>
      <w:sz w:val="18"/>
    </w:rPr>
  </w:style>
  <w:style w:type="paragraph" w:customStyle="1" w:styleId="BodySmallRight">
    <w:name w:val="Body Small Right"/>
    <w:basedOn w:val="BodyTextRight"/>
    <w:rsid w:val="00AC60CD"/>
    <w:rPr>
      <w:sz w:val="18"/>
      <w:szCs w:val="18"/>
    </w:rPr>
  </w:style>
  <w:style w:type="paragraph" w:customStyle="1" w:styleId="MarginEdition">
    <w:name w:val="Margin Edition"/>
    <w:basedOn w:val="MarginNote"/>
    <w:rsid w:val="00AC6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0CD"/>
    <w:rPr>
      <w:sz w:val="2"/>
      <w:szCs w:val="2"/>
    </w:rPr>
  </w:style>
  <w:style w:type="character" w:customStyle="1" w:styleId="Small">
    <w:name w:val="Small"/>
    <w:basedOn w:val="DefaultParagraphFont"/>
    <w:rsid w:val="00AC60CD"/>
    <w:rPr>
      <w:sz w:val="16"/>
    </w:rPr>
  </w:style>
  <w:style w:type="paragraph" w:customStyle="1" w:styleId="WideTable">
    <w:name w:val="Wide Table"/>
    <w:basedOn w:val="Normal"/>
    <w:rsid w:val="00AC6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0CD"/>
  </w:style>
  <w:style w:type="paragraph" w:styleId="Quote">
    <w:name w:val="Quote"/>
    <w:basedOn w:val="Heading1"/>
    <w:link w:val="QuoteChar"/>
    <w:qFormat/>
    <w:rsid w:val="00AC6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0CD"/>
    <w:pPr>
      <w:pageBreakBefore/>
    </w:pPr>
  </w:style>
  <w:style w:type="paragraph" w:customStyle="1" w:styleId="Border">
    <w:name w:val="Border"/>
    <w:basedOn w:val="Normal"/>
    <w:qFormat/>
    <w:rsid w:val="00AC6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0CD"/>
    <w:rPr>
      <w:u w:val="single"/>
    </w:rPr>
  </w:style>
  <w:style w:type="character" w:customStyle="1" w:styleId="BoldandItalics">
    <w:name w:val="Bold and Italics"/>
    <w:qFormat/>
    <w:rsid w:val="00AC60CD"/>
    <w:rPr>
      <w:b/>
      <w:i/>
      <w:u w:val="none"/>
    </w:rPr>
  </w:style>
  <w:style w:type="paragraph" w:styleId="BalloonText">
    <w:name w:val="Balloon Text"/>
    <w:basedOn w:val="Normal"/>
    <w:link w:val="BalloonTextChar"/>
    <w:rsid w:val="00AC6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0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2E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2915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PPMCSK301 Operate process control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