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4.0 -->
  <w:body>
    <w:p w:rsidR="00113C48" w:rsidRPr="00113C48" w:rsidP="00FA4076" w14:paraId="2979BD29" w14:textId="082047C8">
      <w:pPr>
        <w:pStyle w:val="Title-TOCExcluded"/>
        <w:spacing w:before="5200" w:after="120"/>
        <w:sectPr w:rsidSect="00F31508">
          <w:headerReference w:type="default" r:id="rId5"/>
          <w:footerReference w:type="default" r:id="rId6"/>
          <w:pgSz w:w="11906" w:h="16838"/>
          <w:pgMar w:top="1701" w:right="1418" w:bottom="1701" w:left="1418" w:header="709" w:footer="709" w:gutter="0"/>
          <w:cols w:space="708"/>
          <w:docGrid w:linePitch="360"/>
        </w:sectPr>
      </w:pPr>
      <w:bookmarkStart w:id="0" w:name="_Toc184217249"/>
      <w:bookmarkStart w:id="1" w:name="_Toc184220964"/>
      <w:r w:rsidRPr="00262572">
        <w:t>POLSAR026 Undertake marine search and rescue duties</w:t>
      </w:r>
      <w:bookmarkEnd w:id="0"/>
      <w:bookmarkEnd w:id="1"/>
    </w:p>
    <w:p w:rsidR="00D44002" w:rsidRPr="00F31CE3" w:rsidP="00F31CE3" w14:paraId="160C8F32" w14:textId="3B105B63">
      <w:pPr>
        <w:pStyle w:val="ChapterTitle"/>
      </w:pPr>
      <w:bookmarkStart w:id="2" w:name="POLSAR026"/>
      <w:r w:rsidRPr="00F31CE3">
        <w:t>POLSAR026 Undertake marine search and rescue duties</w:t>
      </w:r>
    </w:p>
    <w:p w:rsidR="00D44002" w:rsidRPr="00F31CE3" w:rsidP="00F31CE3">
      <w:pPr>
        <w:pStyle w:val="Heading1"/>
      </w:pPr>
      <w:bookmarkEnd w:id="2"/>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unit of competency was first released in POL Police Training Package Release 11.0.</w:t>
            </w:r>
          </w:p>
        </w:tc>
      </w:tr>
    </w:tbl>
    <w:p w:rsidR="00D44002" w:rsidRPr="00F31CE3" w:rsidP="00F31CE3">
      <w:pPr>
        <w:pStyle w:val="Heading1"/>
      </w:pPr>
      <w:r w:rsidRPr="00F31CE3">
        <w:t>Application</w:t>
      </w:r>
    </w:p>
    <w:p w:rsidR="00D44002" w:rsidRPr="00F31CE3" w:rsidP="00F31CE3">
      <w:r w:rsidRPr="00F31CE3">
        <w:t>This unit describes the skills and knowledge required to coordinate marine search and rescue (SAR) responses, determine current location and destination of subject(s), plan safe routes/courses, and plan marine SAR operations.</w:t>
      </w:r>
    </w:p>
    <w:p w:rsidR="00D44002" w:rsidRPr="00F31CE3" w:rsidP="00F31CE3">
      <w:r w:rsidRPr="00F31CE3">
        <w:t>This unit applies to those working as police staff involved in police marine SAR operations. It may be applied in the field and within an office environment.</w:t>
      </w:r>
    </w:p>
    <w:p w:rsidR="00D44002" w:rsidRPr="00F31CE3" w:rsidP="00F31CE3">
      <w:r w:rsidRPr="00F31CE3">
        <w:t>The skills and knowledge described in this unit must be applied within the legislative, regulatory and policy environment in which they are carried out. Organisational policies and procedures must be consulted and adhered to, particularly those related to work health and safety (WHS).</w:t>
      </w:r>
    </w:p>
    <w:p w:rsidR="00D44002" w:rsidRPr="00F31CE3" w:rsidP="00F31CE3">
      <w:r w:rsidRPr="00F31CE3">
        <w:t>Those undertaking this unit would work within multi-agency teams and often liaise with stakeholders, while completing complex tasks in a broad range of contexts. They would make decisions independently while giving consideration to financial and human resource management requirements.</w:t>
      </w:r>
    </w:p>
    <w:p w:rsidR="00D44002" w:rsidRPr="00F31CE3" w:rsidP="00F31CE3">
      <w:pPr>
        <w:pStyle w:val="Heading1"/>
      </w:pPr>
      <w:r w:rsidRPr="00F31CE3">
        <w:t>Licensing/Regulatory Information</w:t>
      </w:r>
    </w:p>
    <w:p w:rsidR="00D44002" w:rsidRPr="00F31CE3" w:rsidP="00F31CE3">
      <w:r w:rsidRPr="00F31CE3">
        <w:t>No licensing, legislative or certification requirements apply to this unit at the time of publication.</w:t>
      </w:r>
    </w:p>
    <w:p w:rsidR="00D44002" w:rsidRPr="00F31CE3" w:rsidP="00F31CE3">
      <w:pPr>
        <w:pStyle w:val="Heading1"/>
      </w:pPr>
      <w:r w:rsidRPr="00F31CE3">
        <w:t>Pre-requisite unit(s)</w:t>
      </w:r>
    </w:p>
    <w:p w:rsidR="00D44002" w:rsidRPr="00F31CE3" w:rsidP="00F31CE3">
      <w:r w:rsidRPr="00F31CE3">
        <w:t>No pre-requisite units</w:t>
      </w:r>
    </w:p>
    <w:p w:rsidR="00D44002" w:rsidRPr="00F31CE3" w:rsidP="00F31CE3">
      <w:pPr>
        <w:pStyle w:val="Heading1"/>
      </w:pPr>
      <w:r w:rsidRPr="00F31CE3">
        <w:t>Competency field(s)</w:t>
      </w:r>
    </w:p>
    <w:p w:rsidR="00D44002" w:rsidRPr="00F31CE3" w:rsidP="00F31CE3">
      <w:r w:rsidRPr="00F31CE3">
        <w:t>Search and Rescue</w:t>
      </w:r>
    </w:p>
    <w:p w:rsidR="00D44002" w:rsidRPr="00F31CE3" w:rsidP="00F31CE3">
      <w:pPr>
        <w:pStyle w:val="Heading1"/>
      </w:pPr>
      <w:r w:rsidRPr="00F31CE3">
        <w:t>Unit sector(s)</w:t>
      </w:r>
    </w:p>
    <w:p w:rsidR="00D44002" w:rsidRPr="00F31CE3" w:rsidP="00F31CE3">
      <w:r w:rsidRPr="00F31CE3">
        <w:t>N/A</w:t>
      </w:r>
    </w:p>
    <w:p w:rsidR="00D44002" w:rsidRPr="00F31CE3" w:rsidP="00F31CE3">
      <w:pPr>
        <w:pStyle w:val="Heading1"/>
      </w:pPr>
      <w:r w:rsidRPr="00F31CE3">
        <w:t>Elements and Performance Criteria</w:t>
      </w:r>
    </w:p>
    <w:tbl>
      <w:tblPr>
        <w:tblStyle w:val="TableGrid"/>
        <w:tblW w:w="5000" w:type="pct"/>
        <w:jc w:val="left"/>
      </w:tblPr>
      <w:tblGrid>
        <w:gridCol w:w="2788"/>
        <w:gridCol w:w="6272"/>
      </w:tblGrid>
      <w:tr>
        <w:tblPrEx>
          <w:tblW w:w="5000" w:type="pct"/>
        </w:tblPrEx>
        <w:tc>
          <w:tcPr>
            <w:tcW w:w="0" w:type="auto"/>
          </w:tcPr>
          <w:p w:rsidR="00D44002" w:rsidRPr="00F31CE3" w:rsidP="00F31CE3">
            <w:pPr>
              <w:jc w:val="left"/>
              <w:rPr>
                <w:b/>
                <w:bCs/>
              </w:rPr>
            </w:pPr>
            <w:r w:rsidRPr="00F31CE3">
              <w:rPr>
                <w:b/>
                <w:bCs/>
              </w:rPr>
              <w:t>Elements</w:t>
            </w:r>
          </w:p>
        </w:tc>
        <w:tc>
          <w:tcPr>
            <w:tcW w:w="0" w:type="auto"/>
          </w:tcPr>
          <w:p w:rsidR="00D44002" w:rsidRPr="00F31CE3" w:rsidP="00F31CE3">
            <w:pPr>
              <w:jc w:val="left"/>
              <w:rPr>
                <w:b/>
                <w:bCs/>
              </w:rPr>
            </w:pPr>
            <w:r w:rsidRPr="00F31CE3">
              <w:rPr>
                <w:b/>
                <w:bCs/>
              </w:rPr>
              <w:t>Performance criteria</w:t>
            </w:r>
          </w:p>
        </w:tc>
      </w:tr>
      <w:tr>
        <w:tblPrEx>
          <w:tblW w:w="5000" w:type="pct"/>
        </w:tblPrEx>
        <w:tc>
          <w:tcPr>
            <w:tcW w:w="0" w:type="auto"/>
          </w:tcPr>
          <w:p w:rsidR="00D44002" w:rsidRPr="00F31CE3" w:rsidP="00F31CE3">
            <w:r w:rsidRPr="00F31CE3">
              <w:rPr>
                <w:i/>
                <w:iCs/>
              </w:rPr>
              <w:t>Elements describe the essential outcomes.</w:t>
            </w:r>
          </w:p>
        </w:tc>
        <w:tc>
          <w:tcPr>
            <w:tcW w:w="0" w:type="auto"/>
          </w:tcPr>
          <w:p w:rsidR="00D44002" w:rsidRPr="00F31CE3" w:rsidP="00F31CE3">
            <w:r w:rsidRPr="00F31CE3">
              <w:rPr>
                <w:i/>
                <w:iCs/>
              </w:rPr>
              <w:t>Performance criteria describe the performance needed to demonstrate achievement of the element.</w:t>
            </w:r>
          </w:p>
        </w:tc>
      </w:tr>
      <w:tr>
        <w:tblPrEx>
          <w:tblW w:w="5000" w:type="pct"/>
        </w:tblPrEx>
        <w:tc>
          <w:tcPr>
            <w:tcW w:w="0" w:type="auto"/>
          </w:tcPr>
          <w:p w:rsidR="00D44002" w:rsidRPr="00F31CE3" w:rsidP="00F31CE3">
            <w:r w:rsidRPr="00F31CE3">
              <w:t>1. Prepare for marine SAR response</w:t>
            </w:r>
          </w:p>
        </w:tc>
        <w:tc>
          <w:tcPr>
            <w:tcW w:w="0" w:type="auto"/>
          </w:tcPr>
          <w:p w:rsidR="00D44002" w:rsidRPr="00F31CE3" w:rsidP="00F31CE3">
            <w:r w:rsidRPr="00F31CE3">
              <w:t>1.1 Identify a command and control structure to facilitate marine SAR operations.</w:t>
            </w:r>
          </w:p>
        </w:tc>
      </w:tr>
      <w:tr>
        <w:tblPrEx>
          <w:tblW w:w="5000" w:type="pct"/>
        </w:tblPrEx>
        <w:tc>
          <w:tcPr>
            <w:tcW w:w="0" w:type="auto"/>
          </w:tcPr>
          <w:p w:rsidR="00D44002" w:rsidRPr="00F31CE3"/>
        </w:tc>
        <w:tc>
          <w:tcPr>
            <w:tcW w:w="0" w:type="auto"/>
          </w:tcPr>
          <w:p w:rsidR="00D44002" w:rsidRPr="00F31CE3" w:rsidP="00F31CE3">
            <w:r w:rsidRPr="00F31CE3">
              <w:t>1.2 Identify SAR coordination centre from which to facilitate marine SAR operations.</w:t>
            </w:r>
          </w:p>
        </w:tc>
      </w:tr>
      <w:tr>
        <w:tblPrEx>
          <w:tblW w:w="5000" w:type="pct"/>
        </w:tblPrEx>
        <w:tc>
          <w:tcPr>
            <w:tcW w:w="0" w:type="auto"/>
          </w:tcPr>
          <w:p w:rsidR="00D44002" w:rsidRPr="00F31CE3"/>
        </w:tc>
        <w:tc>
          <w:tcPr>
            <w:tcW w:w="0" w:type="auto"/>
          </w:tcPr>
          <w:p w:rsidR="00D44002" w:rsidRPr="00F31CE3" w:rsidP="00F31CE3">
            <w:r w:rsidRPr="00F31CE3">
              <w:t>1.3 Conduct risk and search urgency assessment to determine level of response.</w:t>
            </w:r>
          </w:p>
        </w:tc>
      </w:tr>
      <w:tr>
        <w:tblPrEx>
          <w:tblW w:w="5000" w:type="pct"/>
        </w:tblPrEx>
        <w:tc>
          <w:tcPr>
            <w:tcW w:w="0" w:type="auto"/>
          </w:tcPr>
          <w:p w:rsidR="00D44002" w:rsidRPr="00F31CE3"/>
        </w:tc>
        <w:tc>
          <w:tcPr>
            <w:tcW w:w="0" w:type="auto"/>
          </w:tcPr>
          <w:p w:rsidR="00D44002" w:rsidRPr="00F31CE3" w:rsidP="00F31CE3">
            <w:r w:rsidRPr="00F31CE3">
              <w:t>1.4 Identify jurisdictional information management systems required to gather information in relation to the subject(s).</w:t>
            </w:r>
          </w:p>
        </w:tc>
      </w:tr>
      <w:tr>
        <w:tblPrEx>
          <w:tblW w:w="5000" w:type="pct"/>
        </w:tblPrEx>
        <w:tc>
          <w:tcPr>
            <w:tcW w:w="0" w:type="auto"/>
          </w:tcPr>
          <w:p w:rsidR="00D44002" w:rsidRPr="00F31CE3"/>
        </w:tc>
        <w:tc>
          <w:tcPr>
            <w:tcW w:w="0" w:type="auto"/>
          </w:tcPr>
          <w:p w:rsidR="00D44002" w:rsidRPr="00F31CE3" w:rsidP="00F31CE3">
            <w:r w:rsidRPr="00F31CE3">
              <w:t>1.5 Assess information obtained from jurisdictional information management systems to inform marine SAR operations.</w:t>
            </w:r>
          </w:p>
        </w:tc>
      </w:tr>
      <w:tr>
        <w:tblPrEx>
          <w:tblW w:w="5000" w:type="pct"/>
        </w:tblPrEx>
        <w:tc>
          <w:tcPr>
            <w:tcW w:w="0" w:type="auto"/>
          </w:tcPr>
          <w:p w:rsidR="00D44002" w:rsidRPr="00F31CE3"/>
        </w:tc>
        <w:tc>
          <w:tcPr>
            <w:tcW w:w="0" w:type="auto"/>
          </w:tcPr>
          <w:p w:rsidR="00D44002" w:rsidRPr="00F31CE3" w:rsidP="00F31CE3">
            <w:r w:rsidRPr="00F31CE3">
              <w:t>1.6 Assess characteristics of the subject(s) and environment to inform SAR response.</w:t>
            </w:r>
          </w:p>
        </w:tc>
      </w:tr>
      <w:tr>
        <w:tblPrEx>
          <w:tblW w:w="5000" w:type="pct"/>
        </w:tblPrEx>
        <w:tc>
          <w:tcPr>
            <w:tcW w:w="0" w:type="auto"/>
          </w:tcPr>
          <w:p w:rsidR="00D44002" w:rsidRPr="00F31CE3"/>
        </w:tc>
        <w:tc>
          <w:tcPr>
            <w:tcW w:w="0" w:type="auto"/>
          </w:tcPr>
          <w:p w:rsidR="00D44002" w:rsidRPr="00F31CE3" w:rsidP="00F31CE3">
            <w:r w:rsidRPr="00F31CE3">
              <w:t>1.7 Communicate with stakeholders to facilitate flow of information to progress SAR operation.</w:t>
            </w:r>
          </w:p>
        </w:tc>
      </w:tr>
      <w:tr>
        <w:tblPrEx>
          <w:tblW w:w="5000" w:type="pct"/>
        </w:tblPrEx>
        <w:tc>
          <w:tcPr>
            <w:tcW w:w="0" w:type="auto"/>
          </w:tcPr>
          <w:p w:rsidR="00D44002" w:rsidRPr="00F31CE3" w:rsidP="00F31CE3">
            <w:r w:rsidRPr="00F31CE3">
              <w:t>2. Determine current location, destination and resources</w:t>
            </w:r>
          </w:p>
        </w:tc>
        <w:tc>
          <w:tcPr>
            <w:tcW w:w="0" w:type="auto"/>
          </w:tcPr>
          <w:p w:rsidR="00D44002" w:rsidRPr="00F31CE3" w:rsidP="00F31CE3">
            <w:r w:rsidRPr="00F31CE3">
              <w:t>2.1 Assess information and intelligence gathered relating to the location and details of incident.</w:t>
            </w:r>
          </w:p>
        </w:tc>
      </w:tr>
      <w:tr>
        <w:tblPrEx>
          <w:tblW w:w="5000" w:type="pct"/>
        </w:tblPrEx>
        <w:tc>
          <w:tcPr>
            <w:tcW w:w="0" w:type="auto"/>
          </w:tcPr>
          <w:p w:rsidR="00D44002" w:rsidRPr="00F31CE3"/>
        </w:tc>
        <w:tc>
          <w:tcPr>
            <w:tcW w:w="0" w:type="auto"/>
          </w:tcPr>
          <w:p w:rsidR="00D44002" w:rsidRPr="00F31CE3" w:rsidP="00F31CE3">
            <w:r w:rsidRPr="00F31CE3">
              <w:t>2.2 Select appropriate charts, electronic navigation aids and navigation equipment from which to source and interpret information.</w:t>
            </w:r>
          </w:p>
        </w:tc>
      </w:tr>
      <w:tr>
        <w:tblPrEx>
          <w:tblW w:w="5000" w:type="pct"/>
        </w:tblPrEx>
        <w:tc>
          <w:tcPr>
            <w:tcW w:w="0" w:type="auto"/>
          </w:tcPr>
          <w:p w:rsidR="00D44002" w:rsidRPr="00F31CE3"/>
        </w:tc>
        <w:tc>
          <w:tcPr>
            <w:tcW w:w="0" w:type="auto"/>
          </w:tcPr>
          <w:p w:rsidR="00D44002" w:rsidRPr="00F31CE3" w:rsidP="00F31CE3">
            <w:r w:rsidRPr="00F31CE3">
              <w:t>2.3 Analyse information from charts and relevant resources to ensure accurate parameters of search area.</w:t>
            </w:r>
          </w:p>
        </w:tc>
      </w:tr>
      <w:tr>
        <w:tblPrEx>
          <w:tblW w:w="5000" w:type="pct"/>
        </w:tblPrEx>
        <w:tc>
          <w:tcPr>
            <w:tcW w:w="0" w:type="auto"/>
          </w:tcPr>
          <w:p w:rsidR="00D44002" w:rsidRPr="00F31CE3"/>
        </w:tc>
        <w:tc>
          <w:tcPr>
            <w:tcW w:w="0" w:type="auto"/>
          </w:tcPr>
          <w:p w:rsidR="00D44002" w:rsidRPr="00F31CE3" w:rsidP="00F31CE3">
            <w:r w:rsidRPr="00F31CE3">
              <w:t>2.4 Evaluate sea state, currents and tidal patterns to identify impacts on marine SAR operations.</w:t>
            </w:r>
          </w:p>
        </w:tc>
      </w:tr>
      <w:tr>
        <w:tblPrEx>
          <w:tblW w:w="5000" w:type="pct"/>
        </w:tblPrEx>
        <w:tc>
          <w:tcPr>
            <w:tcW w:w="0" w:type="auto"/>
          </w:tcPr>
          <w:p w:rsidR="00D44002" w:rsidRPr="00F31CE3"/>
        </w:tc>
        <w:tc>
          <w:tcPr>
            <w:tcW w:w="0" w:type="auto"/>
          </w:tcPr>
          <w:p w:rsidR="00D44002" w:rsidRPr="00F31CE3" w:rsidP="00F31CE3">
            <w:r w:rsidRPr="00F31CE3">
              <w:t>2.5 Plot last known position and estimated destination of subject(s) in distress on a chart using marine navigation techniques.</w:t>
            </w:r>
          </w:p>
        </w:tc>
      </w:tr>
      <w:tr>
        <w:tblPrEx>
          <w:tblW w:w="5000" w:type="pct"/>
        </w:tblPrEx>
        <w:tc>
          <w:tcPr>
            <w:tcW w:w="0" w:type="auto"/>
          </w:tcPr>
          <w:p w:rsidR="00D44002" w:rsidRPr="00F31CE3" w:rsidP="00F31CE3">
            <w:r w:rsidRPr="00F31CE3">
              <w:t>3. Determine and plan a safe route/course</w:t>
            </w:r>
          </w:p>
        </w:tc>
        <w:tc>
          <w:tcPr>
            <w:tcW w:w="0" w:type="auto"/>
          </w:tcPr>
          <w:p w:rsidR="00D44002" w:rsidRPr="00F31CE3" w:rsidP="00F31CE3">
            <w:r w:rsidRPr="00F31CE3">
              <w:t>3.1 Evaluate information, including initial search areas and chart work to determine operational plan.</w:t>
            </w:r>
          </w:p>
        </w:tc>
      </w:tr>
      <w:tr>
        <w:tblPrEx>
          <w:tblW w:w="5000" w:type="pct"/>
        </w:tblPrEx>
        <w:tc>
          <w:tcPr>
            <w:tcW w:w="0" w:type="auto"/>
          </w:tcPr>
          <w:p w:rsidR="00D44002" w:rsidRPr="00F31CE3"/>
        </w:tc>
        <w:tc>
          <w:tcPr>
            <w:tcW w:w="0" w:type="auto"/>
          </w:tcPr>
          <w:p w:rsidR="00D44002" w:rsidRPr="00F31CE3" w:rsidP="00F31CE3">
            <w:r w:rsidRPr="00F31CE3">
              <w:t>3.2 Consider and allow for variables and prevailing conditions to record plots and search areas on charts.</w:t>
            </w:r>
          </w:p>
        </w:tc>
      </w:tr>
      <w:tr>
        <w:tblPrEx>
          <w:tblW w:w="5000" w:type="pct"/>
        </w:tblPrEx>
        <w:tc>
          <w:tcPr>
            <w:tcW w:w="0" w:type="auto"/>
          </w:tcPr>
          <w:p w:rsidR="00D44002" w:rsidRPr="00F31CE3"/>
        </w:tc>
        <w:tc>
          <w:tcPr>
            <w:tcW w:w="0" w:type="auto"/>
          </w:tcPr>
          <w:p w:rsidR="00D44002" w:rsidRPr="00F31CE3" w:rsidP="00F31CE3">
            <w:r w:rsidRPr="00F31CE3">
              <w:t>3.3 Estimate rescue asset’s speeds, search time, investigation time and endurance within prevailing conditions to provide an estimated search time/time of arrival.</w:t>
            </w:r>
          </w:p>
        </w:tc>
      </w:tr>
      <w:tr>
        <w:tblPrEx>
          <w:tblW w:w="5000" w:type="pct"/>
        </w:tblPrEx>
        <w:tc>
          <w:tcPr>
            <w:tcW w:w="0" w:type="auto"/>
          </w:tcPr>
          <w:p w:rsidR="00D44002" w:rsidRPr="00F31CE3"/>
        </w:tc>
        <w:tc>
          <w:tcPr>
            <w:tcW w:w="0" w:type="auto"/>
          </w:tcPr>
          <w:p w:rsidR="00D44002" w:rsidRPr="00F31CE3" w:rsidP="00F31CE3">
            <w:r w:rsidRPr="00F31CE3">
              <w:t>3.4 Identify potential obstacles and hazards to determine safe route/course.</w:t>
            </w:r>
          </w:p>
        </w:tc>
      </w:tr>
      <w:tr>
        <w:tblPrEx>
          <w:tblW w:w="5000" w:type="pct"/>
        </w:tblPrEx>
        <w:tc>
          <w:tcPr>
            <w:tcW w:w="0" w:type="auto"/>
          </w:tcPr>
          <w:p w:rsidR="00D44002" w:rsidRPr="00F31CE3" w:rsidP="00F31CE3">
            <w:r w:rsidRPr="00F31CE3">
              <w:t>4. Conduct marine SAR response</w:t>
            </w:r>
          </w:p>
        </w:tc>
        <w:tc>
          <w:tcPr>
            <w:tcW w:w="0" w:type="auto"/>
          </w:tcPr>
          <w:p w:rsidR="00D44002" w:rsidRPr="00F31CE3" w:rsidP="00F31CE3">
            <w:r w:rsidRPr="00F31CE3">
              <w:t>4.1 Determine datum of subject(s) using wind and currents.</w:t>
            </w:r>
          </w:p>
        </w:tc>
      </w:tr>
      <w:tr>
        <w:tblPrEx>
          <w:tblW w:w="5000" w:type="pct"/>
        </w:tblPrEx>
        <w:tc>
          <w:tcPr>
            <w:tcW w:w="0" w:type="auto"/>
          </w:tcPr>
          <w:p w:rsidR="00D44002" w:rsidRPr="00F31CE3"/>
        </w:tc>
        <w:tc>
          <w:tcPr>
            <w:tcW w:w="0" w:type="auto"/>
          </w:tcPr>
          <w:p w:rsidR="00D44002" w:rsidRPr="00F31CE3" w:rsidP="00F31CE3">
            <w:r w:rsidRPr="00F31CE3">
              <w:t>4.2 Assess marine search strategies to inform SAR operations.</w:t>
            </w:r>
          </w:p>
        </w:tc>
      </w:tr>
      <w:tr>
        <w:tblPrEx>
          <w:tblW w:w="5000" w:type="pct"/>
        </w:tblPrEx>
        <w:tc>
          <w:tcPr>
            <w:tcW w:w="0" w:type="auto"/>
          </w:tcPr>
          <w:p w:rsidR="00D44002" w:rsidRPr="00F31CE3"/>
        </w:tc>
        <w:tc>
          <w:tcPr>
            <w:tcW w:w="0" w:type="auto"/>
          </w:tcPr>
          <w:p w:rsidR="00D44002" w:rsidRPr="00F31CE3" w:rsidP="00F31CE3">
            <w:r w:rsidRPr="00F31CE3">
              <w:t>4.3 Select marine search patterns in accordance with search strategy and prevailing conditions.</w:t>
            </w:r>
          </w:p>
        </w:tc>
      </w:tr>
      <w:tr>
        <w:tblPrEx>
          <w:tblW w:w="5000" w:type="pct"/>
        </w:tblPrEx>
        <w:tc>
          <w:tcPr>
            <w:tcW w:w="0" w:type="auto"/>
          </w:tcPr>
          <w:p w:rsidR="00D44002" w:rsidRPr="00F31CE3"/>
        </w:tc>
        <w:tc>
          <w:tcPr>
            <w:tcW w:w="0" w:type="auto"/>
          </w:tcPr>
          <w:p w:rsidR="00D44002" w:rsidRPr="00F31CE3" w:rsidP="00F31CE3">
            <w:r w:rsidRPr="00F31CE3">
              <w:t>4.4 Identify specialist marine resources to facilitate marine SAR operations.</w:t>
            </w:r>
          </w:p>
        </w:tc>
      </w:tr>
      <w:tr>
        <w:tblPrEx>
          <w:tblW w:w="5000" w:type="pct"/>
        </w:tblPrEx>
        <w:tc>
          <w:tcPr>
            <w:tcW w:w="0" w:type="auto"/>
          </w:tcPr>
          <w:p w:rsidR="00D44002" w:rsidRPr="00F31CE3"/>
        </w:tc>
        <w:tc>
          <w:tcPr>
            <w:tcW w:w="0" w:type="auto"/>
          </w:tcPr>
          <w:p w:rsidR="00D44002" w:rsidRPr="00F31CE3" w:rsidP="00F31CE3">
            <w:r w:rsidRPr="00F31CE3">
              <w:t>4.5 Determine taskings for specialist marine resources to facilitate marine SAR operations.</w:t>
            </w:r>
          </w:p>
        </w:tc>
      </w:tr>
      <w:tr>
        <w:tblPrEx>
          <w:tblW w:w="5000" w:type="pct"/>
        </w:tblPrEx>
        <w:tc>
          <w:tcPr>
            <w:tcW w:w="0" w:type="auto"/>
          </w:tcPr>
          <w:p w:rsidR="00D44002" w:rsidRPr="00F31CE3"/>
        </w:tc>
        <w:tc>
          <w:tcPr>
            <w:tcW w:w="0" w:type="auto"/>
          </w:tcPr>
          <w:p w:rsidR="00D44002" w:rsidRPr="00F31CE3" w:rsidP="00F31CE3">
            <w:r w:rsidRPr="00F31CE3">
              <w:t>4.6 Monitor and review size of search area based on prioritisation.</w:t>
            </w:r>
          </w:p>
        </w:tc>
      </w:tr>
      <w:tr>
        <w:tblPrEx>
          <w:tblW w:w="5000" w:type="pct"/>
        </w:tblPrEx>
        <w:tc>
          <w:tcPr>
            <w:tcW w:w="0" w:type="auto"/>
          </w:tcPr>
          <w:p w:rsidR="00D44002" w:rsidRPr="00F31CE3"/>
        </w:tc>
        <w:tc>
          <w:tcPr>
            <w:tcW w:w="0" w:type="auto"/>
          </w:tcPr>
          <w:p w:rsidR="00D44002" w:rsidRPr="00F31CE3" w:rsidP="00F31CE3">
            <w:r w:rsidRPr="00F31CE3">
              <w:t>4.7 Modify marine search strategies using on scene intelligence, continuously reviewing feasibility of rescue plan.</w:t>
            </w:r>
          </w:p>
        </w:tc>
      </w:tr>
    </w:tbl>
    <w:p w:rsidR="00D44002" w:rsidRPr="00F31CE3" w:rsidP="00F31CE3">
      <w:pPr>
        <w:pStyle w:val="Heading1"/>
      </w:pPr>
      <w:r w:rsidRPr="00F31CE3">
        <w:t>Range of conditions</w:t>
      </w:r>
    </w:p>
    <w:p w:rsidR="00D44002" w:rsidRPr="00F31CE3" w:rsidP="00F31CE3">
      <w:r w:rsidRPr="00F31CE3">
        <w:t>N/A</w:t>
      </w:r>
    </w:p>
    <w:p w:rsidR="00D44002" w:rsidRPr="00F31CE3" w:rsidP="00F31CE3">
      <w:pPr>
        <w:sectPr w:rsidSect="00F31508">
          <w:headerReference w:type="even" r:id="rId7"/>
          <w:headerReference w:type="default" r:id="rId8"/>
          <w:footerReference w:type="even" r:id="rId9"/>
          <w:footerReference w:type="default" r:id="rId10"/>
          <w:headerReference w:type="first" r:id="rId11"/>
          <w:footerReference w:type="first" r:id="rId12"/>
          <w:pgSz w:w="11906" w:h="16838"/>
          <w:pgMar w:top="1701" w:right="1418" w:bottom="1701" w:left="1418" w:header="709" w:footer="709" w:gutter="0"/>
          <w:cols w:space="708"/>
          <w:docGrid w:linePitch="360"/>
        </w:sectPr>
      </w:pPr>
    </w:p>
    <w:p w:rsidR="00D44002" w:rsidRPr="00F31CE3" w:rsidP="00F31CE3" w14:textId="3B105B63">
      <w:pPr>
        <w:pStyle w:val="ChapterTitle"/>
      </w:pPr>
      <w:bookmarkStart w:id="3" w:name="POLSAR026_AR"/>
      <w:r w:rsidRPr="00F31CE3">
        <w:t>Assessment Requirements for POLSAR026 Undertake marine search and rescue duties</w:t>
      </w:r>
    </w:p>
    <w:p w:rsidR="00D44002" w:rsidRPr="00F31CE3" w:rsidP="00F31CE3">
      <w:pPr>
        <w:pStyle w:val="Heading1"/>
      </w:pPr>
      <w:bookmarkEnd w:id="3"/>
      <w:r w:rsidRPr="00F31CE3">
        <w:t>Performance Evidence</w:t>
      </w:r>
    </w:p>
    <w:p w:rsidR="00D44002" w:rsidRPr="00F31CE3" w:rsidP="00F31CE3">
      <w:r w:rsidRPr="00F31CE3">
        <w:t>Evidence required to demonstrate competence in this unit must be relevant to and satisfy all the requirements of the elements and performance criteria on at least one occasion and include:</w:t>
      </w:r>
    </w:p>
    <w:p w:rsidR="00D44002" w:rsidRPr="00F31CE3" w:rsidP="00F31CE3">
      <w:pPr>
        <w:numPr>
          <w:ilvl w:val="0"/>
          <w:numId w:val="2"/>
        </w:numPr>
        <w:ind w:left="720" w:hanging="360"/>
        <w:jc w:val="left"/>
      </w:pPr>
      <w:r w:rsidRPr="00F31CE3">
        <w:t>facilitating coordination of marine SAR operations</w:t>
      </w:r>
    </w:p>
    <w:p w:rsidR="00D44002" w:rsidRPr="00F31CE3" w:rsidP="00F31CE3">
      <w:pPr>
        <w:numPr>
          <w:ilvl w:val="0"/>
          <w:numId w:val="2"/>
        </w:numPr>
        <w:ind w:left="720" w:hanging="360"/>
        <w:jc w:val="left"/>
      </w:pPr>
      <w:r w:rsidRPr="00F31CE3">
        <w:t>assessing marine SAR requirements</w:t>
      </w:r>
    </w:p>
    <w:p w:rsidR="00D44002" w:rsidRPr="00F31CE3" w:rsidP="00F31CE3">
      <w:pPr>
        <w:numPr>
          <w:ilvl w:val="0"/>
          <w:numId w:val="2"/>
        </w:numPr>
        <w:ind w:left="720" w:hanging="360"/>
        <w:jc w:val="left"/>
      </w:pPr>
      <w:r w:rsidRPr="00F31CE3">
        <w:t>developing SAR plans in marine contexts</w:t>
      </w:r>
    </w:p>
    <w:p w:rsidR="00D44002" w:rsidRPr="00F31CE3" w:rsidP="00F31CE3">
      <w:pPr>
        <w:numPr>
          <w:ilvl w:val="0"/>
          <w:numId w:val="2"/>
        </w:numPr>
        <w:ind w:left="720" w:hanging="360"/>
        <w:jc w:val="left"/>
      </w:pPr>
      <w:r w:rsidRPr="00F31CE3">
        <w:t>collecting and assessing information and intelligence on marine SAR requirements</w:t>
      </w:r>
    </w:p>
    <w:p w:rsidR="00D44002" w:rsidRPr="00F31CE3" w:rsidP="00F31CE3">
      <w:pPr>
        <w:numPr>
          <w:ilvl w:val="0"/>
          <w:numId w:val="2"/>
        </w:numPr>
        <w:ind w:left="720" w:hanging="360"/>
        <w:jc w:val="left"/>
      </w:pPr>
      <w:r w:rsidRPr="00F31CE3">
        <w:t>identifying, interpreting and analysing charts and relevant resources</w:t>
      </w:r>
    </w:p>
    <w:p w:rsidR="00D44002" w:rsidRPr="00F31CE3" w:rsidP="00F31CE3">
      <w:pPr>
        <w:numPr>
          <w:ilvl w:val="0"/>
          <w:numId w:val="2"/>
        </w:numPr>
        <w:ind w:left="720" w:hanging="360"/>
        <w:jc w:val="left"/>
      </w:pPr>
      <w:r w:rsidRPr="00F31CE3">
        <w:t>evaluating marine and weather conditions to inform SAR operations</w:t>
      </w:r>
    </w:p>
    <w:p w:rsidR="00D44002" w:rsidRPr="00F31CE3" w:rsidP="00F31CE3">
      <w:pPr>
        <w:numPr>
          <w:ilvl w:val="0"/>
          <w:numId w:val="2"/>
        </w:numPr>
        <w:ind w:left="720" w:hanging="360"/>
        <w:jc w:val="left"/>
      </w:pPr>
      <w:r w:rsidRPr="00F31CE3">
        <w:t>determining subject(s) locations, distances and destinations</w:t>
      </w:r>
    </w:p>
    <w:p w:rsidR="00D44002" w:rsidRPr="00F31CE3" w:rsidP="00F31CE3">
      <w:pPr>
        <w:numPr>
          <w:ilvl w:val="0"/>
          <w:numId w:val="2"/>
        </w:numPr>
        <w:ind w:left="720" w:hanging="360"/>
        <w:jc w:val="left"/>
      </w:pPr>
      <w:r w:rsidRPr="00F31CE3">
        <w:t>performing marine calculations and search coverage factor</w:t>
      </w:r>
    </w:p>
    <w:p w:rsidR="00D44002" w:rsidRPr="00F31CE3" w:rsidP="00F31CE3">
      <w:pPr>
        <w:numPr>
          <w:ilvl w:val="0"/>
          <w:numId w:val="2"/>
        </w:numPr>
        <w:ind w:left="720" w:hanging="360"/>
        <w:jc w:val="left"/>
      </w:pPr>
      <w:r w:rsidRPr="00F31CE3">
        <w:t>operating systems and technologies used in marine SAR</w:t>
      </w:r>
    </w:p>
    <w:p w:rsidR="00D44002" w:rsidRPr="00F31CE3" w:rsidP="00F31CE3">
      <w:pPr>
        <w:numPr>
          <w:ilvl w:val="0"/>
          <w:numId w:val="2"/>
        </w:numPr>
        <w:ind w:left="720" w:hanging="360"/>
        <w:jc w:val="left"/>
      </w:pPr>
      <w:r w:rsidRPr="00F31CE3">
        <w:t>communicating and coordinating with stakeholders within marine SAR context</w:t>
      </w:r>
    </w:p>
    <w:p w:rsidR="00D44002" w:rsidRPr="00F31CE3" w:rsidP="00F31CE3">
      <w:pPr>
        <w:numPr>
          <w:ilvl w:val="0"/>
          <w:numId w:val="2"/>
        </w:numPr>
        <w:ind w:left="720" w:hanging="360"/>
        <w:jc w:val="left"/>
      </w:pPr>
      <w:r w:rsidRPr="00F31CE3">
        <w:t>briefing relevant stakeholders throughout the course of the marine SAR operation</w:t>
      </w:r>
    </w:p>
    <w:p w:rsidR="00D44002" w:rsidRPr="00F31CE3" w:rsidP="00F31CE3">
      <w:pPr>
        <w:numPr>
          <w:ilvl w:val="0"/>
          <w:numId w:val="2"/>
        </w:numPr>
        <w:ind w:left="720" w:hanging="360"/>
        <w:jc w:val="left"/>
      </w:pPr>
      <w:r w:rsidRPr="00F31CE3">
        <w:t>applying appropriate marine SAR tools, techniques and strategies</w:t>
      </w:r>
    </w:p>
    <w:p w:rsidR="00D44002" w:rsidRPr="00F31CE3" w:rsidP="00F31CE3">
      <w:pPr>
        <w:numPr>
          <w:ilvl w:val="0"/>
          <w:numId w:val="2"/>
        </w:numPr>
        <w:ind w:left="720" w:hanging="360"/>
        <w:jc w:val="left"/>
      </w:pPr>
      <w:r w:rsidRPr="00F31CE3">
        <w:t>collating, interpreting and applying information and intelligence to SAR marine contexts and dynamic circumstances</w:t>
      </w:r>
    </w:p>
    <w:p w:rsidR="00D44002" w:rsidRPr="00F31CE3" w:rsidP="00F31CE3">
      <w:pPr>
        <w:numPr>
          <w:ilvl w:val="0"/>
          <w:numId w:val="2"/>
        </w:numPr>
        <w:ind w:left="720" w:hanging="360"/>
        <w:jc w:val="left"/>
      </w:pPr>
      <w:r w:rsidRPr="00F31CE3">
        <w:t>documenting progress and outcomes of marine SAR</w:t>
      </w:r>
    </w:p>
    <w:p w:rsidR="00D44002" w:rsidRPr="00F31CE3" w:rsidP="00F31CE3">
      <w:pPr>
        <w:numPr>
          <w:ilvl w:val="0"/>
          <w:numId w:val="2"/>
        </w:numPr>
        <w:ind w:left="720" w:hanging="360"/>
        <w:jc w:val="left"/>
      </w:pPr>
      <w:r w:rsidRPr="00F31CE3">
        <w:t>continuously reviewing feasibility of plan, considering marine SAR context and nature of SAR incident.</w:t>
      </w:r>
    </w:p>
    <w:p w:rsidR="00D44002" w:rsidRPr="00F31CE3" w:rsidP="00F31CE3">
      <w:pPr>
        <w:pStyle w:val="Heading1"/>
      </w:pPr>
      <w:r w:rsidRPr="00F31CE3">
        <w:t>Knowledge Evidence</w:t>
      </w:r>
    </w:p>
    <w:p w:rsidR="00D44002" w:rsidRPr="00F31CE3" w:rsidP="00F31CE3">
      <w:r w:rsidRPr="00F31CE3">
        <w:t>Evidence required to demonstrate competence in this unit must be relevant to and satisfy all the requirements of the elements and performance criteria and include knowledge of:</w:t>
      </w:r>
    </w:p>
    <w:p w:rsidR="00D44002" w:rsidRPr="00F31CE3" w:rsidP="00F31CE3">
      <w:pPr>
        <w:numPr>
          <w:ilvl w:val="0"/>
          <w:numId w:val="3"/>
        </w:numPr>
        <w:ind w:left="720" w:hanging="360"/>
        <w:jc w:val="left"/>
      </w:pPr>
      <w:r w:rsidRPr="00F31CE3">
        <w:t>Commonwealth, national, state and territory legislation and arrangements relating to SAR</w:t>
      </w:r>
    </w:p>
    <w:p w:rsidR="00D44002" w:rsidRPr="00F31CE3" w:rsidP="00F31CE3">
      <w:pPr>
        <w:numPr>
          <w:ilvl w:val="0"/>
          <w:numId w:val="3"/>
        </w:numPr>
        <w:ind w:left="720" w:hanging="360"/>
        <w:jc w:val="left"/>
      </w:pPr>
      <w:r w:rsidRPr="00F31CE3">
        <w:t>jurisdictional legislation, policies and procedures relating to SAR operations</w:t>
      </w:r>
    </w:p>
    <w:p w:rsidR="00D44002" w:rsidRPr="00F31CE3" w:rsidP="00F31CE3">
      <w:pPr>
        <w:numPr>
          <w:ilvl w:val="0"/>
          <w:numId w:val="3"/>
        </w:numPr>
        <w:ind w:left="720" w:hanging="360"/>
        <w:jc w:val="left"/>
      </w:pPr>
      <w:r w:rsidRPr="00F31CE3">
        <w:t>Commonwealth, national, state and territory legislation and arrangements relating to marine operations</w:t>
      </w:r>
    </w:p>
    <w:p w:rsidR="00D44002" w:rsidRPr="00F31CE3" w:rsidP="00F31CE3">
      <w:pPr>
        <w:numPr>
          <w:ilvl w:val="0"/>
          <w:numId w:val="3"/>
        </w:numPr>
        <w:ind w:left="720" w:hanging="360"/>
        <w:jc w:val="left"/>
      </w:pPr>
      <w:r w:rsidRPr="00F31CE3">
        <w:t>jurisdictional legislation, policies and procedures relating to work, health and safety (WHS) and wellbeing requirements</w:t>
      </w:r>
    </w:p>
    <w:p w:rsidR="00D44002" w:rsidRPr="00F31CE3" w:rsidP="00F31CE3">
      <w:pPr>
        <w:numPr>
          <w:ilvl w:val="0"/>
          <w:numId w:val="3"/>
        </w:numPr>
        <w:ind w:left="720" w:hanging="360"/>
        <w:jc w:val="left"/>
      </w:pPr>
      <w:r w:rsidRPr="00F31CE3">
        <w:t>international agreements relating to maritime safety</w:t>
      </w:r>
    </w:p>
    <w:p w:rsidR="00D44002" w:rsidRPr="00F31CE3" w:rsidP="00F31CE3">
      <w:pPr>
        <w:numPr>
          <w:ilvl w:val="0"/>
          <w:numId w:val="3"/>
        </w:numPr>
        <w:ind w:left="720" w:hanging="360"/>
        <w:jc w:val="left"/>
      </w:pPr>
      <w:r w:rsidRPr="00F31CE3">
        <w:t>principles of marine navigation, including magnetic variation and deviation</w:t>
      </w:r>
    </w:p>
    <w:p w:rsidR="00D44002" w:rsidRPr="00F31CE3" w:rsidP="00F31CE3">
      <w:pPr>
        <w:numPr>
          <w:ilvl w:val="0"/>
          <w:numId w:val="3"/>
        </w:numPr>
        <w:ind w:left="720" w:hanging="360"/>
        <w:jc w:val="left"/>
      </w:pPr>
      <w:r w:rsidRPr="00F31CE3">
        <w:t>SAR datum planning</w:t>
      </w:r>
    </w:p>
    <w:p w:rsidR="00D44002" w:rsidRPr="00F31CE3" w:rsidP="00F31CE3">
      <w:pPr>
        <w:numPr>
          <w:ilvl w:val="0"/>
          <w:numId w:val="3"/>
        </w:numPr>
        <w:ind w:left="720" w:hanging="360"/>
        <w:jc w:val="left"/>
      </w:pPr>
      <w:r w:rsidRPr="00F31CE3">
        <w:t>weather systems</w:t>
      </w:r>
    </w:p>
    <w:p w:rsidR="00D44002" w:rsidRPr="00F31CE3" w:rsidP="00F31CE3">
      <w:pPr>
        <w:numPr>
          <w:ilvl w:val="0"/>
          <w:numId w:val="3"/>
        </w:numPr>
        <w:ind w:left="720" w:hanging="360"/>
        <w:jc w:val="left"/>
      </w:pPr>
      <w:r w:rsidRPr="00F31CE3">
        <w:t>currents and drift patterns, including but not limited to leeway and divergence</w:t>
      </w:r>
    </w:p>
    <w:p w:rsidR="00D44002" w:rsidRPr="00F31CE3" w:rsidP="00F31CE3">
      <w:pPr>
        <w:numPr>
          <w:ilvl w:val="0"/>
          <w:numId w:val="3"/>
        </w:numPr>
        <w:ind w:left="720" w:hanging="360"/>
        <w:jc w:val="left"/>
      </w:pPr>
      <w:r w:rsidRPr="00F31CE3">
        <w:t>sea state</w:t>
      </w:r>
    </w:p>
    <w:p w:rsidR="00D44002" w:rsidRPr="00F31CE3" w:rsidP="00F31CE3">
      <w:pPr>
        <w:numPr>
          <w:ilvl w:val="0"/>
          <w:numId w:val="3"/>
        </w:numPr>
        <w:ind w:left="720" w:hanging="360"/>
        <w:jc w:val="left"/>
      </w:pPr>
      <w:r w:rsidRPr="00F31CE3">
        <w:t>chart features</w:t>
      </w:r>
    </w:p>
    <w:p w:rsidR="00D44002" w:rsidRPr="00F31CE3" w:rsidP="00F31CE3">
      <w:pPr>
        <w:numPr>
          <w:ilvl w:val="0"/>
          <w:numId w:val="3"/>
        </w:numPr>
        <w:ind w:left="720" w:hanging="360"/>
        <w:jc w:val="left"/>
      </w:pPr>
      <w:r w:rsidRPr="00F31CE3">
        <w:t>obstacles to marine navigation</w:t>
      </w:r>
    </w:p>
    <w:p w:rsidR="00D44002" w:rsidRPr="00F31CE3" w:rsidP="00F31CE3">
      <w:pPr>
        <w:numPr>
          <w:ilvl w:val="0"/>
          <w:numId w:val="3"/>
        </w:numPr>
        <w:ind w:left="720" w:hanging="360"/>
        <w:jc w:val="left"/>
      </w:pPr>
      <w:r w:rsidRPr="00F31CE3">
        <w:t>marine navigation references, tools, charts, aids and equipment</w:t>
      </w:r>
    </w:p>
    <w:p w:rsidR="00D44002" w:rsidRPr="00F31CE3" w:rsidP="00F31CE3">
      <w:pPr>
        <w:numPr>
          <w:ilvl w:val="0"/>
          <w:numId w:val="3"/>
        </w:numPr>
        <w:ind w:left="720" w:hanging="360"/>
        <w:jc w:val="left"/>
      </w:pPr>
      <w:r w:rsidRPr="00F31CE3">
        <w:t>formulas relating to marine SAR</w:t>
      </w:r>
    </w:p>
    <w:p w:rsidR="00D44002" w:rsidRPr="00F31CE3" w:rsidP="00F31CE3">
      <w:pPr>
        <w:numPr>
          <w:ilvl w:val="0"/>
          <w:numId w:val="3"/>
        </w:numPr>
        <w:ind w:left="720" w:hanging="360"/>
        <w:jc w:val="left"/>
      </w:pPr>
      <w:r w:rsidRPr="00F31CE3">
        <w:t>limitations/regulations which impact marine search</w:t>
      </w:r>
    </w:p>
    <w:p w:rsidR="00D44002" w:rsidRPr="00F31CE3" w:rsidP="00F31CE3">
      <w:pPr>
        <w:numPr>
          <w:ilvl w:val="0"/>
          <w:numId w:val="3"/>
        </w:numPr>
        <w:ind w:left="720" w:hanging="360"/>
        <w:jc w:val="left"/>
      </w:pPr>
      <w:r w:rsidRPr="00F31CE3">
        <w:t>local marine environment</w:t>
      </w:r>
    </w:p>
    <w:p w:rsidR="00D44002" w:rsidRPr="00F31CE3" w:rsidP="00F31CE3">
      <w:pPr>
        <w:numPr>
          <w:ilvl w:val="0"/>
          <w:numId w:val="3"/>
        </w:numPr>
        <w:ind w:left="720" w:hanging="360"/>
        <w:jc w:val="left"/>
      </w:pPr>
      <w:r w:rsidRPr="00F31CE3">
        <w:t>common marine SAR scenarios</w:t>
      </w:r>
    </w:p>
    <w:p w:rsidR="00D44002" w:rsidRPr="00F31CE3" w:rsidP="00F31CE3">
      <w:pPr>
        <w:numPr>
          <w:ilvl w:val="0"/>
          <w:numId w:val="3"/>
        </w:numPr>
        <w:ind w:left="720" w:hanging="360"/>
        <w:jc w:val="left"/>
      </w:pPr>
      <w:r w:rsidRPr="00F31CE3">
        <w:t>factors that influence marine survival</w:t>
      </w:r>
    </w:p>
    <w:p w:rsidR="00D44002" w:rsidRPr="00F31CE3" w:rsidP="00F31CE3">
      <w:pPr>
        <w:numPr>
          <w:ilvl w:val="0"/>
          <w:numId w:val="3"/>
        </w:numPr>
        <w:ind w:left="720" w:hanging="360"/>
        <w:jc w:val="left"/>
      </w:pPr>
      <w:r w:rsidRPr="00F31CE3">
        <w:t>marine search strategies</w:t>
      </w:r>
    </w:p>
    <w:p w:rsidR="00D44002" w:rsidRPr="00F31CE3" w:rsidP="00F31CE3">
      <w:pPr>
        <w:numPr>
          <w:ilvl w:val="0"/>
          <w:numId w:val="3"/>
        </w:numPr>
        <w:ind w:left="720" w:hanging="360"/>
        <w:jc w:val="left"/>
      </w:pPr>
      <w:r w:rsidRPr="00F31CE3">
        <w:t>marine search patterns</w:t>
      </w:r>
    </w:p>
    <w:p w:rsidR="00D44002" w:rsidRPr="00F31CE3" w:rsidP="00F31CE3">
      <w:pPr>
        <w:numPr>
          <w:ilvl w:val="0"/>
          <w:numId w:val="3"/>
        </w:numPr>
        <w:ind w:left="720" w:hanging="360"/>
        <w:jc w:val="left"/>
      </w:pPr>
      <w:r w:rsidRPr="00F31CE3">
        <w:t>specialist marine SAR resources/assets</w:t>
      </w:r>
    </w:p>
    <w:p w:rsidR="00D44002" w:rsidRPr="00F31CE3" w:rsidP="00F31CE3">
      <w:pPr>
        <w:numPr>
          <w:ilvl w:val="0"/>
          <w:numId w:val="3"/>
        </w:numPr>
        <w:ind w:left="720" w:hanging="360"/>
        <w:jc w:val="left"/>
      </w:pPr>
      <w:r w:rsidRPr="00F31CE3">
        <w:t>capabilities and limitations of marine SAR resources/assets</w:t>
      </w:r>
    </w:p>
    <w:p w:rsidR="00D44002" w:rsidRPr="00F31CE3" w:rsidP="00F31CE3">
      <w:pPr>
        <w:numPr>
          <w:ilvl w:val="0"/>
          <w:numId w:val="3"/>
        </w:numPr>
        <w:ind w:left="720" w:hanging="360"/>
        <w:jc w:val="left"/>
      </w:pPr>
      <w:r w:rsidRPr="00F31CE3">
        <w:t>legislation, policies and procedures for handover and takeover of marine SAR</w:t>
      </w:r>
    </w:p>
    <w:p w:rsidR="00D44002" w:rsidRPr="00F31CE3" w:rsidP="00F31CE3">
      <w:pPr>
        <w:numPr>
          <w:ilvl w:val="0"/>
          <w:numId w:val="3"/>
        </w:numPr>
        <w:ind w:left="720" w:hanging="360"/>
        <w:jc w:val="left"/>
      </w:pPr>
      <w:r w:rsidRPr="00F31CE3">
        <w:t>jurisdictional briefing and debriefing requirements</w:t>
      </w:r>
    </w:p>
    <w:p w:rsidR="00D44002" w:rsidRPr="00F31CE3" w:rsidP="00F31CE3">
      <w:pPr>
        <w:numPr>
          <w:ilvl w:val="0"/>
          <w:numId w:val="3"/>
        </w:numPr>
        <w:ind w:left="720" w:hanging="360"/>
        <w:jc w:val="left"/>
      </w:pPr>
      <w:r w:rsidRPr="00F31CE3">
        <w:t>jurisdictional information management systems.</w:t>
      </w:r>
    </w:p>
    <w:p w:rsidR="00D44002" w:rsidRPr="00F31CE3" w:rsidP="00F31CE3">
      <w:pPr>
        <w:pStyle w:val="Heading1"/>
      </w:pPr>
      <w:r w:rsidRPr="00F31CE3">
        <w:t>Assessment Conditions</w:t>
      </w:r>
    </w:p>
    <w:p w:rsidR="00D44002" w:rsidRPr="00F31CE3" w:rsidP="00F31CE3">
      <w:pPr>
        <w:pStyle w:val="Heading1"/>
      </w:pPr>
      <w:r w:rsidRPr="00F31CE3">
        <w:t>Mandatory Workplace Requirements</w:t>
      </w:r>
    </w:p>
    <w:p w:rsidR="00D44002" w:rsidRPr="00F31CE3" w:rsidP="00F31CE3">
      <w:r w:rsidRPr="00F31CE3">
        <w:t>Assessment of performance evidence may be in a workplace setting or an environment that accurately represents a real workplace.</w:t>
      </w:r>
    </w:p>
    <w:p w:rsidR="00D44002" w:rsidRPr="00F31CE3" w:rsidP="00F31CE3">
      <w:pPr>
        <w:pStyle w:val="Heading1"/>
      </w:pPr>
      <w:r w:rsidRPr="00F31CE3">
        <w:t>Unit Mapping Information</w:t>
      </w:r>
    </w:p>
    <w:tbl>
      <w:tblPr>
        <w:tblStyle w:val="TableGrid"/>
        <w:tblW w:w="5000" w:type="pct"/>
        <w:jc w:val="left"/>
      </w:tblPr>
      <w:tblGrid>
        <w:gridCol w:w="3020"/>
        <w:gridCol w:w="3020"/>
        <w:gridCol w:w="3020"/>
      </w:tblGrid>
      <w:tr>
        <w:tblPrEx>
          <w:tblW w:w="5000" w:type="pct"/>
        </w:tblPrEx>
        <w:tc>
          <w:tcPr>
            <w:tcW w:w="3023" w:type="dxa"/>
          </w:tcPr>
          <w:p w:rsidR="00D44002" w:rsidRPr="00F31CE3" w:rsidP="00F31CE3">
            <w:r w:rsidRPr="00F31CE3">
              <w:t>Previous Code and Title</w:t>
            </w:r>
          </w:p>
        </w:tc>
        <w:tc>
          <w:tcPr>
            <w:tcW w:w="3023" w:type="dxa"/>
          </w:tcPr>
          <w:p w:rsidR="00D44002" w:rsidRPr="00F31CE3" w:rsidP="00F31CE3">
            <w:r w:rsidRPr="00F31CE3">
              <w:t>Equivalence</w:t>
            </w:r>
          </w:p>
        </w:tc>
        <w:tc>
          <w:tcPr>
            <w:tcW w:w="3023" w:type="dxa"/>
          </w:tcPr>
          <w:p w:rsidR="00D44002" w:rsidRPr="00F31CE3" w:rsidP="00F31CE3">
            <w:r w:rsidRPr="00F31CE3">
              <w:t>Comments</w:t>
            </w:r>
          </w:p>
        </w:tc>
      </w:tr>
      <w:tr>
        <w:tblPrEx>
          <w:tblW w:w="5000" w:type="pct"/>
        </w:tblPrEx>
        <w:tc>
          <w:tcPr>
            <w:tcW w:w="3023" w:type="dxa"/>
          </w:tcPr>
          <w:p w:rsidR="00D44002" w:rsidRPr="00F31CE3" w:rsidP="00F31CE3">
            <w:r w:rsidRPr="00F31CE3">
              <w:t>POLSAR019 Undertake marine search and rescue duties</w:t>
            </w:r>
          </w:p>
        </w:tc>
        <w:tc>
          <w:tcPr>
            <w:tcW w:w="3023" w:type="dxa"/>
          </w:tcPr>
          <w:p w:rsidR="00D44002" w:rsidRPr="00F31CE3" w:rsidP="00F31CE3">
            <w:r w:rsidRPr="00F31CE3">
              <w:t>Equivalent</w:t>
            </w:r>
          </w:p>
        </w:tc>
        <w:tc>
          <w:tcPr>
            <w:tcW w:w="3023"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Updated Code, Application, Performance Criteria, Performance Evidence and Knowledge Evidence.</w:t>
            </w:r>
          </w:p>
          <w:p w:rsidR="00D44002" w:rsidRPr="00F31CE3" w:rsidP="00F31CE3"/>
        </w:tc>
      </w:tr>
    </w:tbl>
    <w:p w:rsidR="00D44002" w:rsidRPr="00F31CE3" w:rsidP="00F31CE3">
      <w:pPr>
        <w:pStyle w:val="Heading1"/>
      </w:pPr>
      <w:r w:rsidRPr="00F31CE3">
        <w:t>Links</w:t>
      </w:r>
    </w:p>
    <w:p w:rsidR="00D44002" w:rsidRPr="00F31CE3" w:rsidP="00F31CE3">
      <w:r w:rsidRPr="00F31CE3">
        <w:t xml:space="preserve">Companion volumes, including implementation guides, are found on the national training register - </w:t>
      </w:r>
      <w:hyperlink r:id="rId13" w:history="1">
        <w:r w:rsidRPr="00F31CE3">
          <w:rPr>
            <w:rStyle w:val="Hyperlink"/>
          </w:rPr>
          <w:t>https://training.gov.au/training/details/POL</w:t>
        </w:r>
      </w:hyperlink>
      <w:r w:rsidRPr="00F31CE3">
        <w:t>.</w:t>
      </w:r>
    </w:p>
    <w:p w:rsidR="00D44002" w:rsidRPr="00F31CE3" w:rsidP="00F31CE3"/>
    <w:sectPr w:rsidSect="00F31508">
      <w:headerReference w:type="even" r:id="rId14"/>
      <w:headerReference w:type="default" r:id="rId15"/>
      <w:footerReference w:type="even" r:id="rId16"/>
      <w:footerReference w:type="default" r:id="rId17"/>
      <w:headerReference w:type="first" r:id="rId18"/>
      <w:footerReference w:type="first" r:id="rId19"/>
      <w:pgSz w:w="11906" w:h="16838"/>
      <w:pgMar w:top="1701" w:right="1418" w:bottom="170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RPr="00FA4076" w:rsidP="00FA4076" w14:paraId="4A580142" w14:textId="77777777">
    <w:pPr>
      <w:pStyle w:val="Footer"/>
    </w:pPr>
    <w:r w:rsidRPr="00E53E67">
      <w:rPr>
        <w:b/>
        <w:bCs/>
        <w:sz w:val="20"/>
        <w:szCs w:val="20"/>
      </w:rPr>
      <w:t xml:space="preserve">Release: </w:t>
    </w:r>
    <w:r w:rsidRPr="00E53E67">
      <w:rPr>
        <w:b/>
        <w:bCs/>
        <w:sz w:val="20"/>
        <w:szCs w:val="20"/>
      </w:rPr>
      <w:t>1</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42B97885"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paraId="095EFEC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4</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7</w:t>
    </w:r>
    <w:r>
      <w:rPr>
        <w:sz w:val="16"/>
        <w:szCs w:val="16"/>
      </w:rPr>
      <w:fldChar w:fldCharType="end"/>
    </w:r>
  </w:p>
  <w:p w:rsidR="00F27B0A" w:rsidP="00F27B0A" w14:paraId="2EC2BA9B"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2026</w:t>
    </w:r>
    <w:r>
      <w:rPr>
        <w:sz w:val="16"/>
        <w:szCs w:val="16"/>
      </w:rPr>
      <w:fldChar w:fldCharType="end"/>
    </w:r>
    <w:r w:rsidRPr="003E4545">
      <w:rPr>
        <w:sz w:val="16"/>
        <w:szCs w:val="16"/>
      </w:rPr>
      <w:tab/>
    </w:r>
    <w:r w:rsidRPr="003E4545">
      <w:rPr>
        <w:sz w:val="16"/>
        <w:szCs w:val="16"/>
      </w:rPr>
      <w:t>Public Skills Australia</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0937DF49"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7</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7</w:t>
    </w:r>
    <w:r>
      <w:rPr>
        <w:sz w:val="16"/>
        <w:szCs w:val="16"/>
      </w:rPr>
      <w:fldChar w:fldCharType="end"/>
    </w:r>
  </w:p>
  <w:p w:rsidR="00F27B0A" w:rsidP="00F27B0A"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2026</w:t>
    </w:r>
    <w:r>
      <w:rPr>
        <w:sz w:val="16"/>
        <w:szCs w:val="16"/>
      </w:rPr>
      <w:fldChar w:fldCharType="end"/>
    </w:r>
    <w:r w:rsidRPr="003E4545">
      <w:rPr>
        <w:sz w:val="16"/>
        <w:szCs w:val="16"/>
      </w:rPr>
      <w:tab/>
    </w:r>
    <w:r w:rsidRPr="003E4545">
      <w:rPr>
        <w:sz w:val="16"/>
        <w:szCs w:val="16"/>
      </w:rPr>
      <w:t>Public Skills Australia</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P="00FA4076" w14:paraId="2756F965" w14:textId="1F82DF94">
    <w:pPr>
      <w:pStyle w:val="Header"/>
      <w:jc w:val="center"/>
    </w:pPr>
    <w:r>
      <w:rPr>
        <w:noProof/>
      </w:rPr>
      <w:drawing>
        <wp:inline distT="0" distB="0" distL="0" distR="0">
          <wp:extent cx="2066667" cy="1076190"/>
          <wp:effectExtent l="0" t="0" r="0" b="0"/>
          <wp:docPr id="1572583867" name="Picture 1" descr="Australian Government 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2583867" name="Picture 1" descr="Australian Government Crest"/>
                  <pic:cNvPicPr/>
                </pic:nvPicPr>
                <pic:blipFill>
                  <a:blip xmlns:r="http://schemas.openxmlformats.org/officeDocument/2006/relationships" r:embed="rId1"/>
                  <a:stretch>
                    <a:fillRect/>
                  </a:stretch>
                </pic:blipFill>
                <pic:spPr>
                  <a:xfrm>
                    <a:off x="0" y="0"/>
                    <a:ext cx="2066667" cy="1076190"/>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60696BB4"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paraId="05DA8F9E" w14:textId="6D38A07F">
    <w:pPr>
      <w:pStyle w:val="Header"/>
      <w:pBdr>
        <w:bottom w:val="single" w:sz="4" w:space="1" w:color="auto"/>
      </w:pBdr>
      <w:tabs>
        <w:tab w:val="clear" w:pos="4513"/>
      </w:tabs>
      <w:rPr>
        <w:sz w:val="16"/>
        <w:szCs w:val="16"/>
      </w:rPr>
    </w:pPr>
    <w:r w:rsidRPr="003E4545">
      <w:rPr>
        <w:sz w:val="16"/>
        <w:szCs w:val="16"/>
      </w:rPr>
      <w:t>POLSAR026 Undertake marine search and rescue duties</w:t>
    </w:r>
    <w:r>
      <w:rPr>
        <w:sz w:val="16"/>
        <w:szCs w:val="16"/>
      </w:rPr>
      <w:tab/>
    </w:r>
    <w:r w:rsidRPr="003E4545">
      <w:rPr>
        <w:sz w:val="16"/>
        <w:szCs w:val="16"/>
      </w:rPr>
      <w:t xml:space="preserve">Date this document was generated: </w:t>
    </w:r>
    <w:r>
      <w:rPr>
        <w:sz w:val="16"/>
        <w:szCs w:val="16"/>
      </w:rPr>
      <w:t>30 July 2026</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12A3AE3F"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textId="6D38A07F">
    <w:pPr>
      <w:pStyle w:val="Header"/>
      <w:pBdr>
        <w:bottom w:val="single" w:sz="4" w:space="1" w:color="auto"/>
      </w:pBdr>
      <w:tabs>
        <w:tab w:val="clear" w:pos="4513"/>
      </w:tabs>
      <w:rPr>
        <w:sz w:val="16"/>
        <w:szCs w:val="16"/>
      </w:rPr>
    </w:pPr>
    <w:r w:rsidRPr="003E4545">
      <w:rPr>
        <w:sz w:val="16"/>
        <w:szCs w:val="16"/>
      </w:rPr>
      <w:t>Assessment Requirements for POLSAR026 Undertake marine search and rescue duties</w:t>
    </w:r>
    <w:r>
      <w:rPr>
        <w:sz w:val="16"/>
        <w:szCs w:val="16"/>
      </w:rPr>
      <w:tab/>
    </w:r>
    <w:r w:rsidRPr="003E4545">
      <w:rPr>
        <w:sz w:val="16"/>
        <w:szCs w:val="16"/>
      </w:rPr>
      <w:t xml:space="preserve">Date this document was generated: </w:t>
    </w:r>
    <w:r>
      <w:rPr>
        <w:sz w:val="16"/>
        <w:szCs w:val="16"/>
      </w:rPr>
      <w:t>30 July 2026</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 w15:restartNumberingAfterBreak="0">
    <w:nsid w:val="665D409A"/>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665D409B"/>
    <w:multiLevelType w:val="hybridMultilevel"/>
    <w:tmpl w:val="665D409B"/>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2124492594">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002E"/>
    <w:rsid w:val="00001716"/>
    <w:rsid w:val="00003DB6"/>
    <w:rsid w:val="00011C84"/>
    <w:rsid w:val="0002276B"/>
    <w:rsid w:val="00032672"/>
    <w:rsid w:val="00032758"/>
    <w:rsid w:val="00036205"/>
    <w:rsid w:val="00041A6A"/>
    <w:rsid w:val="0004324C"/>
    <w:rsid w:val="00043658"/>
    <w:rsid w:val="00043FE6"/>
    <w:rsid w:val="00044734"/>
    <w:rsid w:val="0006329A"/>
    <w:rsid w:val="00063382"/>
    <w:rsid w:val="000670DA"/>
    <w:rsid w:val="000761A0"/>
    <w:rsid w:val="000934AA"/>
    <w:rsid w:val="0009533A"/>
    <w:rsid w:val="000A3C26"/>
    <w:rsid w:val="000A4105"/>
    <w:rsid w:val="000A6888"/>
    <w:rsid w:val="000B3C8F"/>
    <w:rsid w:val="000B5D56"/>
    <w:rsid w:val="000D392F"/>
    <w:rsid w:val="000D4918"/>
    <w:rsid w:val="000D52E6"/>
    <w:rsid w:val="000E134A"/>
    <w:rsid w:val="000F7257"/>
    <w:rsid w:val="00100960"/>
    <w:rsid w:val="001025D1"/>
    <w:rsid w:val="00102854"/>
    <w:rsid w:val="00104464"/>
    <w:rsid w:val="0010497C"/>
    <w:rsid w:val="00112439"/>
    <w:rsid w:val="001139F8"/>
    <w:rsid w:val="00113C48"/>
    <w:rsid w:val="001279EF"/>
    <w:rsid w:val="00155E51"/>
    <w:rsid w:val="001639BB"/>
    <w:rsid w:val="00164298"/>
    <w:rsid w:val="0017445A"/>
    <w:rsid w:val="00174B3C"/>
    <w:rsid w:val="00187F7F"/>
    <w:rsid w:val="00190EA1"/>
    <w:rsid w:val="00197ABF"/>
    <w:rsid w:val="001A3FC6"/>
    <w:rsid w:val="001B0586"/>
    <w:rsid w:val="001B2903"/>
    <w:rsid w:val="001B3FB2"/>
    <w:rsid w:val="001B64A1"/>
    <w:rsid w:val="001B76F4"/>
    <w:rsid w:val="001C11F8"/>
    <w:rsid w:val="001C6F51"/>
    <w:rsid w:val="001C71B5"/>
    <w:rsid w:val="001D7B20"/>
    <w:rsid w:val="001E36D4"/>
    <w:rsid w:val="001F08C6"/>
    <w:rsid w:val="001F65FC"/>
    <w:rsid w:val="002103C0"/>
    <w:rsid w:val="00211A8C"/>
    <w:rsid w:val="00213466"/>
    <w:rsid w:val="00222E93"/>
    <w:rsid w:val="00226877"/>
    <w:rsid w:val="00227BD4"/>
    <w:rsid w:val="00246CE0"/>
    <w:rsid w:val="00262572"/>
    <w:rsid w:val="0026375B"/>
    <w:rsid w:val="002644C1"/>
    <w:rsid w:val="00266B3B"/>
    <w:rsid w:val="00266C4D"/>
    <w:rsid w:val="002807FD"/>
    <w:rsid w:val="00282869"/>
    <w:rsid w:val="002869A9"/>
    <w:rsid w:val="002A002E"/>
    <w:rsid w:val="002A5613"/>
    <w:rsid w:val="002B6140"/>
    <w:rsid w:val="002C1A16"/>
    <w:rsid w:val="002C2B22"/>
    <w:rsid w:val="002D4A04"/>
    <w:rsid w:val="002E425A"/>
    <w:rsid w:val="002E6BE1"/>
    <w:rsid w:val="002E6E27"/>
    <w:rsid w:val="002F4DCD"/>
    <w:rsid w:val="002F6500"/>
    <w:rsid w:val="003030C4"/>
    <w:rsid w:val="0030690A"/>
    <w:rsid w:val="003069B6"/>
    <w:rsid w:val="00330352"/>
    <w:rsid w:val="00346FFB"/>
    <w:rsid w:val="00351D9D"/>
    <w:rsid w:val="003571B9"/>
    <w:rsid w:val="00370B77"/>
    <w:rsid w:val="00380794"/>
    <w:rsid w:val="00381B18"/>
    <w:rsid w:val="003820E9"/>
    <w:rsid w:val="00382DF4"/>
    <w:rsid w:val="0038530E"/>
    <w:rsid w:val="00385C31"/>
    <w:rsid w:val="003B286B"/>
    <w:rsid w:val="003B39E2"/>
    <w:rsid w:val="003D175E"/>
    <w:rsid w:val="003E4545"/>
    <w:rsid w:val="003F26B2"/>
    <w:rsid w:val="003F3D1F"/>
    <w:rsid w:val="003F615F"/>
    <w:rsid w:val="00403B2B"/>
    <w:rsid w:val="00404AE8"/>
    <w:rsid w:val="004235DB"/>
    <w:rsid w:val="0042688C"/>
    <w:rsid w:val="00431CBB"/>
    <w:rsid w:val="00432B22"/>
    <w:rsid w:val="004368AF"/>
    <w:rsid w:val="00441958"/>
    <w:rsid w:val="00454D3D"/>
    <w:rsid w:val="00457698"/>
    <w:rsid w:val="004726B8"/>
    <w:rsid w:val="0047638B"/>
    <w:rsid w:val="004832B7"/>
    <w:rsid w:val="00490D5E"/>
    <w:rsid w:val="00492374"/>
    <w:rsid w:val="00497944"/>
    <w:rsid w:val="004B00D0"/>
    <w:rsid w:val="004B18E5"/>
    <w:rsid w:val="004B20E2"/>
    <w:rsid w:val="004B23A7"/>
    <w:rsid w:val="004C2B1A"/>
    <w:rsid w:val="004D10E5"/>
    <w:rsid w:val="004D1A81"/>
    <w:rsid w:val="004E290E"/>
    <w:rsid w:val="004F165C"/>
    <w:rsid w:val="004F1795"/>
    <w:rsid w:val="00500FFC"/>
    <w:rsid w:val="00501C36"/>
    <w:rsid w:val="005067E8"/>
    <w:rsid w:val="00512FF0"/>
    <w:rsid w:val="00513126"/>
    <w:rsid w:val="00516904"/>
    <w:rsid w:val="005219D8"/>
    <w:rsid w:val="00522E1A"/>
    <w:rsid w:val="00524DAA"/>
    <w:rsid w:val="005355BA"/>
    <w:rsid w:val="00542D25"/>
    <w:rsid w:val="0054353E"/>
    <w:rsid w:val="005503CB"/>
    <w:rsid w:val="00560137"/>
    <w:rsid w:val="00564561"/>
    <w:rsid w:val="005663F8"/>
    <w:rsid w:val="0056754A"/>
    <w:rsid w:val="00572299"/>
    <w:rsid w:val="005743C4"/>
    <w:rsid w:val="005871AF"/>
    <w:rsid w:val="00593918"/>
    <w:rsid w:val="005A2B1D"/>
    <w:rsid w:val="005B33BC"/>
    <w:rsid w:val="005B543F"/>
    <w:rsid w:val="005B7A74"/>
    <w:rsid w:val="005C16AE"/>
    <w:rsid w:val="005C4CC6"/>
    <w:rsid w:val="005D2B3F"/>
    <w:rsid w:val="005E3CC2"/>
    <w:rsid w:val="005E7A34"/>
    <w:rsid w:val="005F118A"/>
    <w:rsid w:val="005F40E1"/>
    <w:rsid w:val="005F489F"/>
    <w:rsid w:val="005F6F5B"/>
    <w:rsid w:val="00614E9C"/>
    <w:rsid w:val="006161E3"/>
    <w:rsid w:val="006170D3"/>
    <w:rsid w:val="00621CBC"/>
    <w:rsid w:val="0062273A"/>
    <w:rsid w:val="006301FF"/>
    <w:rsid w:val="00630517"/>
    <w:rsid w:val="00635D48"/>
    <w:rsid w:val="00637A3D"/>
    <w:rsid w:val="006600D1"/>
    <w:rsid w:val="0066407A"/>
    <w:rsid w:val="006705FA"/>
    <w:rsid w:val="00674A8A"/>
    <w:rsid w:val="0067722C"/>
    <w:rsid w:val="00677884"/>
    <w:rsid w:val="00682E9B"/>
    <w:rsid w:val="00684D0F"/>
    <w:rsid w:val="006A43BF"/>
    <w:rsid w:val="006A5202"/>
    <w:rsid w:val="006B5BAE"/>
    <w:rsid w:val="006C1244"/>
    <w:rsid w:val="006D323C"/>
    <w:rsid w:val="006D3EB7"/>
    <w:rsid w:val="006E472E"/>
    <w:rsid w:val="006F06EC"/>
    <w:rsid w:val="006F1DFD"/>
    <w:rsid w:val="006F231B"/>
    <w:rsid w:val="006F3A9E"/>
    <w:rsid w:val="00704250"/>
    <w:rsid w:val="007103AD"/>
    <w:rsid w:val="00712B8A"/>
    <w:rsid w:val="0071575F"/>
    <w:rsid w:val="00726497"/>
    <w:rsid w:val="007351F1"/>
    <w:rsid w:val="00735D94"/>
    <w:rsid w:val="00736341"/>
    <w:rsid w:val="0074423E"/>
    <w:rsid w:val="00751158"/>
    <w:rsid w:val="007519C1"/>
    <w:rsid w:val="00752378"/>
    <w:rsid w:val="00757A0E"/>
    <w:rsid w:val="00761FC7"/>
    <w:rsid w:val="007628C3"/>
    <w:rsid w:val="00773269"/>
    <w:rsid w:val="00774FEA"/>
    <w:rsid w:val="00775E24"/>
    <w:rsid w:val="0078256D"/>
    <w:rsid w:val="00787507"/>
    <w:rsid w:val="00793E01"/>
    <w:rsid w:val="00794E49"/>
    <w:rsid w:val="00794FA5"/>
    <w:rsid w:val="007A1A24"/>
    <w:rsid w:val="007C1BA3"/>
    <w:rsid w:val="007D1B11"/>
    <w:rsid w:val="007D59B6"/>
    <w:rsid w:val="007F18D6"/>
    <w:rsid w:val="007F520C"/>
    <w:rsid w:val="007F6285"/>
    <w:rsid w:val="008108B8"/>
    <w:rsid w:val="00812B70"/>
    <w:rsid w:val="0081463A"/>
    <w:rsid w:val="00814E85"/>
    <w:rsid w:val="00823A11"/>
    <w:rsid w:val="00824604"/>
    <w:rsid w:val="00825426"/>
    <w:rsid w:val="00836A00"/>
    <w:rsid w:val="00847844"/>
    <w:rsid w:val="00862744"/>
    <w:rsid w:val="008649CB"/>
    <w:rsid w:val="00872EBC"/>
    <w:rsid w:val="00874FF7"/>
    <w:rsid w:val="008805C8"/>
    <w:rsid w:val="00882287"/>
    <w:rsid w:val="00883F83"/>
    <w:rsid w:val="008845E8"/>
    <w:rsid w:val="00884D2C"/>
    <w:rsid w:val="00887EFD"/>
    <w:rsid w:val="00894669"/>
    <w:rsid w:val="0089616F"/>
    <w:rsid w:val="00897001"/>
    <w:rsid w:val="00897CB4"/>
    <w:rsid w:val="008A5287"/>
    <w:rsid w:val="008B51CD"/>
    <w:rsid w:val="008B6DCB"/>
    <w:rsid w:val="008C6C7B"/>
    <w:rsid w:val="008F3E52"/>
    <w:rsid w:val="00910A1D"/>
    <w:rsid w:val="009121B0"/>
    <w:rsid w:val="009125CA"/>
    <w:rsid w:val="0091477C"/>
    <w:rsid w:val="009264EB"/>
    <w:rsid w:val="009345F5"/>
    <w:rsid w:val="00936235"/>
    <w:rsid w:val="00950F79"/>
    <w:rsid w:val="00961188"/>
    <w:rsid w:val="00961A5C"/>
    <w:rsid w:val="00964EBF"/>
    <w:rsid w:val="00967B77"/>
    <w:rsid w:val="00970070"/>
    <w:rsid w:val="00971518"/>
    <w:rsid w:val="0097697A"/>
    <w:rsid w:val="00986284"/>
    <w:rsid w:val="00991A5B"/>
    <w:rsid w:val="009926F6"/>
    <w:rsid w:val="00992FD5"/>
    <w:rsid w:val="00996622"/>
    <w:rsid w:val="009A5BA7"/>
    <w:rsid w:val="009A6430"/>
    <w:rsid w:val="009B0979"/>
    <w:rsid w:val="009B7E04"/>
    <w:rsid w:val="009C0105"/>
    <w:rsid w:val="009D0860"/>
    <w:rsid w:val="009E40FF"/>
    <w:rsid w:val="009E6DC5"/>
    <w:rsid w:val="009F22CE"/>
    <w:rsid w:val="00A06DAE"/>
    <w:rsid w:val="00A11C08"/>
    <w:rsid w:val="00A1681D"/>
    <w:rsid w:val="00A20013"/>
    <w:rsid w:val="00A26181"/>
    <w:rsid w:val="00A32B80"/>
    <w:rsid w:val="00A32F83"/>
    <w:rsid w:val="00A43A63"/>
    <w:rsid w:val="00A574ED"/>
    <w:rsid w:val="00A73A18"/>
    <w:rsid w:val="00A74143"/>
    <w:rsid w:val="00A90BFD"/>
    <w:rsid w:val="00A91052"/>
    <w:rsid w:val="00AA0300"/>
    <w:rsid w:val="00AA168D"/>
    <w:rsid w:val="00AA3131"/>
    <w:rsid w:val="00AB352E"/>
    <w:rsid w:val="00AB36F5"/>
    <w:rsid w:val="00AB3ACF"/>
    <w:rsid w:val="00AD4375"/>
    <w:rsid w:val="00AD5023"/>
    <w:rsid w:val="00AD752D"/>
    <w:rsid w:val="00AD7694"/>
    <w:rsid w:val="00AE5A77"/>
    <w:rsid w:val="00AF08AC"/>
    <w:rsid w:val="00AF21BF"/>
    <w:rsid w:val="00AF38BF"/>
    <w:rsid w:val="00B118FB"/>
    <w:rsid w:val="00B136BC"/>
    <w:rsid w:val="00B1796F"/>
    <w:rsid w:val="00B209D8"/>
    <w:rsid w:val="00B249EE"/>
    <w:rsid w:val="00B31BAE"/>
    <w:rsid w:val="00B329CB"/>
    <w:rsid w:val="00B4103E"/>
    <w:rsid w:val="00B47210"/>
    <w:rsid w:val="00B5364D"/>
    <w:rsid w:val="00B53F2D"/>
    <w:rsid w:val="00B544EB"/>
    <w:rsid w:val="00B62662"/>
    <w:rsid w:val="00B72256"/>
    <w:rsid w:val="00B74DD7"/>
    <w:rsid w:val="00B76710"/>
    <w:rsid w:val="00B818B5"/>
    <w:rsid w:val="00B8457C"/>
    <w:rsid w:val="00B911E4"/>
    <w:rsid w:val="00B950C0"/>
    <w:rsid w:val="00B9610D"/>
    <w:rsid w:val="00BA7986"/>
    <w:rsid w:val="00BB4157"/>
    <w:rsid w:val="00BB4203"/>
    <w:rsid w:val="00BB5487"/>
    <w:rsid w:val="00BC0299"/>
    <w:rsid w:val="00BC0C2F"/>
    <w:rsid w:val="00BC739F"/>
    <w:rsid w:val="00BD6B5A"/>
    <w:rsid w:val="00BE3983"/>
    <w:rsid w:val="00BE44A9"/>
    <w:rsid w:val="00BE4637"/>
    <w:rsid w:val="00BF0323"/>
    <w:rsid w:val="00BF3F89"/>
    <w:rsid w:val="00C002D5"/>
    <w:rsid w:val="00C0142E"/>
    <w:rsid w:val="00C01EDA"/>
    <w:rsid w:val="00C02768"/>
    <w:rsid w:val="00C04A97"/>
    <w:rsid w:val="00C12C67"/>
    <w:rsid w:val="00C14C5E"/>
    <w:rsid w:val="00C24235"/>
    <w:rsid w:val="00C2423E"/>
    <w:rsid w:val="00C25A99"/>
    <w:rsid w:val="00C32154"/>
    <w:rsid w:val="00C538BF"/>
    <w:rsid w:val="00C60C23"/>
    <w:rsid w:val="00C646F2"/>
    <w:rsid w:val="00C660CF"/>
    <w:rsid w:val="00C73758"/>
    <w:rsid w:val="00C83175"/>
    <w:rsid w:val="00C87216"/>
    <w:rsid w:val="00C9219C"/>
    <w:rsid w:val="00C9530A"/>
    <w:rsid w:val="00CA6667"/>
    <w:rsid w:val="00CB3533"/>
    <w:rsid w:val="00CB4607"/>
    <w:rsid w:val="00CC67A9"/>
    <w:rsid w:val="00CD5F00"/>
    <w:rsid w:val="00CE70D8"/>
    <w:rsid w:val="00CE75EB"/>
    <w:rsid w:val="00CF261C"/>
    <w:rsid w:val="00CF42BF"/>
    <w:rsid w:val="00D14D06"/>
    <w:rsid w:val="00D15825"/>
    <w:rsid w:val="00D1773F"/>
    <w:rsid w:val="00D2347B"/>
    <w:rsid w:val="00D339C2"/>
    <w:rsid w:val="00D33E57"/>
    <w:rsid w:val="00D33FBB"/>
    <w:rsid w:val="00D35252"/>
    <w:rsid w:val="00D44002"/>
    <w:rsid w:val="00D55866"/>
    <w:rsid w:val="00D57635"/>
    <w:rsid w:val="00D57872"/>
    <w:rsid w:val="00D76614"/>
    <w:rsid w:val="00D85E80"/>
    <w:rsid w:val="00D9069F"/>
    <w:rsid w:val="00D90BA3"/>
    <w:rsid w:val="00D916A4"/>
    <w:rsid w:val="00D9243B"/>
    <w:rsid w:val="00D9446B"/>
    <w:rsid w:val="00D96FCE"/>
    <w:rsid w:val="00DA164C"/>
    <w:rsid w:val="00DA2A72"/>
    <w:rsid w:val="00DB1F0E"/>
    <w:rsid w:val="00DB1F57"/>
    <w:rsid w:val="00DB7CFC"/>
    <w:rsid w:val="00DC17E3"/>
    <w:rsid w:val="00DC27CD"/>
    <w:rsid w:val="00DD2F58"/>
    <w:rsid w:val="00DD33C6"/>
    <w:rsid w:val="00DD5401"/>
    <w:rsid w:val="00DD5CA1"/>
    <w:rsid w:val="00DE0D78"/>
    <w:rsid w:val="00DE77A4"/>
    <w:rsid w:val="00DF2DA7"/>
    <w:rsid w:val="00E04D84"/>
    <w:rsid w:val="00E11E5F"/>
    <w:rsid w:val="00E148D6"/>
    <w:rsid w:val="00E3418A"/>
    <w:rsid w:val="00E34BE6"/>
    <w:rsid w:val="00E364A5"/>
    <w:rsid w:val="00E4345F"/>
    <w:rsid w:val="00E434CD"/>
    <w:rsid w:val="00E436F8"/>
    <w:rsid w:val="00E449F4"/>
    <w:rsid w:val="00E52B5E"/>
    <w:rsid w:val="00E52CE1"/>
    <w:rsid w:val="00E53E67"/>
    <w:rsid w:val="00E6153B"/>
    <w:rsid w:val="00E61734"/>
    <w:rsid w:val="00E61B97"/>
    <w:rsid w:val="00E61F1A"/>
    <w:rsid w:val="00E67B41"/>
    <w:rsid w:val="00E7051D"/>
    <w:rsid w:val="00E709D6"/>
    <w:rsid w:val="00E73351"/>
    <w:rsid w:val="00E7448D"/>
    <w:rsid w:val="00E763D9"/>
    <w:rsid w:val="00E8515B"/>
    <w:rsid w:val="00E8581E"/>
    <w:rsid w:val="00EA0642"/>
    <w:rsid w:val="00EB07CD"/>
    <w:rsid w:val="00EC15C8"/>
    <w:rsid w:val="00EC5C3D"/>
    <w:rsid w:val="00EE2270"/>
    <w:rsid w:val="00EF2FF5"/>
    <w:rsid w:val="00EF6E84"/>
    <w:rsid w:val="00F0357A"/>
    <w:rsid w:val="00F048D2"/>
    <w:rsid w:val="00F12AC6"/>
    <w:rsid w:val="00F14533"/>
    <w:rsid w:val="00F16052"/>
    <w:rsid w:val="00F23D12"/>
    <w:rsid w:val="00F2677E"/>
    <w:rsid w:val="00F27B0A"/>
    <w:rsid w:val="00F3025B"/>
    <w:rsid w:val="00F31508"/>
    <w:rsid w:val="00F31CE3"/>
    <w:rsid w:val="00F4021B"/>
    <w:rsid w:val="00F453FC"/>
    <w:rsid w:val="00F559E5"/>
    <w:rsid w:val="00F622F2"/>
    <w:rsid w:val="00F6277A"/>
    <w:rsid w:val="00F6342E"/>
    <w:rsid w:val="00F660FA"/>
    <w:rsid w:val="00F82094"/>
    <w:rsid w:val="00F843E5"/>
    <w:rsid w:val="00F8649C"/>
    <w:rsid w:val="00F86589"/>
    <w:rsid w:val="00F960CB"/>
    <w:rsid w:val="00FA4076"/>
    <w:rsid w:val="00FA4516"/>
    <w:rsid w:val="00FB447B"/>
    <w:rsid w:val="00FB5854"/>
    <w:rsid w:val="00FC257E"/>
    <w:rsid w:val="00FC2D28"/>
    <w:rsid w:val="00FD1820"/>
    <w:rsid w:val="00FD6CAA"/>
    <w:rsid w:val="00FD7729"/>
    <w:rsid w:val="00FD7A21"/>
    <w:rsid w:val="00FD7FCC"/>
    <w:rsid w:val="00FF4324"/>
  </w:rsids>
  <m:mathPr>
    <m:mathFont m:val="Cambria Math"/>
  </m:mathPr>
  <w:themeFontLang w:val="en-AU"/>
  <w:clrSchemeMapping w:bg1="light1" w:t1="dark1" w:bg2="light2" w:t2="dark2" w:accent1="accent1" w:accent2="accent2" w:accent3="accent3" w:accent4="accent4" w:accent5="accent5" w:accent6="accent6" w:hyperlink="hyperlink" w:followedHyperlink="followedHyperlink"/>
  <w14:docId w14:val="5B6DE972"/>
  <w15:chartTrackingRefBased/>
  <w15:docId w15:val="{9484522D-40FD-4F62-8642-C46B5A354A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A0642"/>
    <w:pPr>
      <w:spacing w:before="120" w:after="120" w:line="240" w:lineRule="auto"/>
    </w:pPr>
    <w:rPr>
      <w:rFonts w:ascii="Times New Roman" w:hAnsi="Times New Roman" w:cs="Times New Roman"/>
      <w:sz w:val="24"/>
      <w:szCs w:val="24"/>
    </w:rPr>
  </w:style>
  <w:style w:type="paragraph" w:styleId="Heading1">
    <w:name w:val="heading 1"/>
    <w:basedOn w:val="Heading2"/>
    <w:next w:val="Normal"/>
    <w:link w:val="Heading1Char"/>
    <w:uiPriority w:val="9"/>
    <w:qFormat/>
    <w:rsid w:val="00BC0299"/>
    <w:pPr>
      <w:keepNext/>
      <w:spacing w:after="60"/>
      <w:outlineLvl w:val="0"/>
    </w:pPr>
  </w:style>
  <w:style w:type="paragraph" w:styleId="Heading2">
    <w:name w:val="heading 2"/>
    <w:basedOn w:val="Normal"/>
    <w:next w:val="Normal"/>
    <w:link w:val="Heading2Char"/>
    <w:uiPriority w:val="9"/>
    <w:unhideWhenUsed/>
    <w:rsid w:val="00736341"/>
    <w:pPr>
      <w:spacing w:before="360"/>
      <w:outlineLvl w:val="1"/>
    </w:pPr>
    <w:rPr>
      <w:b/>
      <w:bCs/>
      <w:sz w:val="32"/>
      <w:szCs w:val="32"/>
    </w:rPr>
  </w:style>
  <w:style w:type="paragraph" w:styleId="Heading3">
    <w:name w:val="heading 3"/>
    <w:basedOn w:val="Normal"/>
    <w:next w:val="Normal"/>
    <w:link w:val="Heading3Char"/>
    <w:uiPriority w:val="9"/>
    <w:semiHidden/>
    <w:unhideWhenUsed/>
    <w:rsid w:val="009926F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926F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926F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926F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926F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926F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926F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C0299"/>
    <w:rPr>
      <w:rFonts w:ascii="Times New Roman" w:hAnsi="Times New Roman" w:cs="Times New Roman"/>
      <w:b/>
      <w:bCs/>
      <w:sz w:val="32"/>
      <w:szCs w:val="32"/>
    </w:rPr>
  </w:style>
  <w:style w:type="character" w:customStyle="1" w:styleId="Heading2Char">
    <w:name w:val="Heading 2 Char"/>
    <w:basedOn w:val="DefaultParagraphFont"/>
    <w:link w:val="Heading2"/>
    <w:uiPriority w:val="9"/>
    <w:rsid w:val="00736341"/>
    <w:rPr>
      <w:rFonts w:ascii="Times New Roman" w:hAnsi="Times New Roman" w:cs="Times New Roman"/>
      <w:b/>
      <w:bCs/>
      <w:sz w:val="32"/>
      <w:szCs w:val="32"/>
    </w:rPr>
  </w:style>
  <w:style w:type="character" w:customStyle="1" w:styleId="Heading3Char">
    <w:name w:val="Heading 3 Char"/>
    <w:basedOn w:val="DefaultParagraphFont"/>
    <w:link w:val="Heading3"/>
    <w:uiPriority w:val="9"/>
    <w:semiHidden/>
    <w:rsid w:val="009926F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926F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926F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926F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926F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926F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926F6"/>
    <w:rPr>
      <w:rFonts w:eastAsiaTheme="majorEastAsia" w:cstheme="majorBidi"/>
      <w:color w:val="272727" w:themeColor="text1" w:themeTint="D8"/>
    </w:rPr>
  </w:style>
  <w:style w:type="paragraph" w:styleId="Title">
    <w:name w:val="Title"/>
    <w:basedOn w:val="Heading1"/>
    <w:next w:val="Normal"/>
    <w:link w:val="TitleChar"/>
    <w:uiPriority w:val="10"/>
    <w:qFormat/>
    <w:rsid w:val="00262572"/>
    <w:pPr>
      <w:spacing w:before="5040"/>
      <w:jc w:val="center"/>
    </w:pPr>
    <w:rPr>
      <w:sz w:val="48"/>
      <w:szCs w:val="48"/>
    </w:rPr>
  </w:style>
  <w:style w:type="character" w:customStyle="1" w:styleId="TitleChar">
    <w:name w:val="Title Char"/>
    <w:basedOn w:val="DefaultParagraphFont"/>
    <w:link w:val="Title"/>
    <w:uiPriority w:val="10"/>
    <w:rsid w:val="00262572"/>
    <w:rPr>
      <w:rFonts w:ascii="Times New Roman" w:hAnsi="Times New Roman" w:cs="Times New Roman"/>
      <w:b/>
      <w:bCs/>
      <w:sz w:val="48"/>
      <w:szCs w:val="48"/>
    </w:rPr>
  </w:style>
  <w:style w:type="paragraph" w:styleId="Subtitle">
    <w:name w:val="Subtitle"/>
    <w:basedOn w:val="Normal"/>
    <w:next w:val="Normal"/>
    <w:link w:val="SubtitleChar"/>
    <w:uiPriority w:val="11"/>
    <w:qFormat/>
    <w:rsid w:val="009926F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926F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926F6"/>
    <w:pPr>
      <w:spacing w:before="160"/>
      <w:jc w:val="center"/>
    </w:pPr>
    <w:rPr>
      <w:i/>
      <w:iCs/>
      <w:color w:val="404040" w:themeColor="text1" w:themeTint="BF"/>
    </w:rPr>
  </w:style>
  <w:style w:type="character" w:customStyle="1" w:styleId="QuoteChar">
    <w:name w:val="Quote Char"/>
    <w:basedOn w:val="DefaultParagraphFont"/>
    <w:link w:val="Quote"/>
    <w:uiPriority w:val="29"/>
    <w:rsid w:val="009926F6"/>
    <w:rPr>
      <w:i/>
      <w:iCs/>
      <w:color w:val="404040" w:themeColor="text1" w:themeTint="BF"/>
    </w:rPr>
  </w:style>
  <w:style w:type="paragraph" w:styleId="ListParagraph">
    <w:name w:val="List Paragraph"/>
    <w:basedOn w:val="Normal"/>
    <w:uiPriority w:val="34"/>
    <w:qFormat/>
    <w:rsid w:val="009926F6"/>
    <w:pPr>
      <w:ind w:left="720"/>
      <w:contextualSpacing/>
    </w:pPr>
  </w:style>
  <w:style w:type="character" w:styleId="IntenseEmphasis">
    <w:name w:val="Intense Emphasis"/>
    <w:basedOn w:val="DefaultParagraphFont"/>
    <w:uiPriority w:val="21"/>
    <w:qFormat/>
    <w:rsid w:val="009926F6"/>
    <w:rPr>
      <w:i/>
      <w:iCs/>
      <w:color w:val="0F4761" w:themeColor="accent1" w:themeShade="BF"/>
    </w:rPr>
  </w:style>
  <w:style w:type="paragraph" w:styleId="IntenseQuote">
    <w:name w:val="Intense Quote"/>
    <w:basedOn w:val="Normal"/>
    <w:next w:val="Normal"/>
    <w:link w:val="IntenseQuoteChar"/>
    <w:uiPriority w:val="30"/>
    <w:qFormat/>
    <w:rsid w:val="009926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926F6"/>
    <w:rPr>
      <w:i/>
      <w:iCs/>
      <w:color w:val="0F4761" w:themeColor="accent1" w:themeShade="BF"/>
    </w:rPr>
  </w:style>
  <w:style w:type="character" w:styleId="IntenseReference">
    <w:name w:val="Intense Reference"/>
    <w:basedOn w:val="DefaultParagraphFont"/>
    <w:uiPriority w:val="32"/>
    <w:qFormat/>
    <w:rsid w:val="009926F6"/>
    <w:rPr>
      <w:b/>
      <w:bCs/>
      <w:smallCaps/>
      <w:color w:val="0F4761" w:themeColor="accent1" w:themeShade="BF"/>
      <w:spacing w:val="5"/>
    </w:rPr>
  </w:style>
  <w:style w:type="paragraph" w:styleId="Header">
    <w:name w:val="header"/>
    <w:basedOn w:val="Normal"/>
    <w:link w:val="HeaderChar"/>
    <w:uiPriority w:val="99"/>
    <w:unhideWhenUsed/>
    <w:rsid w:val="009926F6"/>
    <w:pPr>
      <w:tabs>
        <w:tab w:val="center" w:pos="4513"/>
        <w:tab w:val="right" w:pos="9026"/>
      </w:tabs>
      <w:spacing w:after="0"/>
    </w:pPr>
  </w:style>
  <w:style w:type="character" w:customStyle="1" w:styleId="HeaderChar">
    <w:name w:val="Header Char"/>
    <w:basedOn w:val="DefaultParagraphFont"/>
    <w:link w:val="Header"/>
    <w:uiPriority w:val="99"/>
    <w:rsid w:val="009926F6"/>
  </w:style>
  <w:style w:type="paragraph" w:styleId="Footer">
    <w:name w:val="footer"/>
    <w:basedOn w:val="Normal"/>
    <w:link w:val="FooterChar"/>
    <w:uiPriority w:val="99"/>
    <w:unhideWhenUsed/>
    <w:rsid w:val="009926F6"/>
    <w:pPr>
      <w:tabs>
        <w:tab w:val="center" w:pos="4513"/>
        <w:tab w:val="right" w:pos="9026"/>
      </w:tabs>
      <w:spacing w:after="0"/>
    </w:pPr>
  </w:style>
  <w:style w:type="character" w:customStyle="1" w:styleId="FooterChar">
    <w:name w:val="Footer Char"/>
    <w:basedOn w:val="DefaultParagraphFont"/>
    <w:link w:val="Footer"/>
    <w:uiPriority w:val="99"/>
    <w:rsid w:val="009926F6"/>
  </w:style>
  <w:style w:type="table" w:styleId="TableGrid">
    <w:name w:val="Table Grid"/>
    <w:basedOn w:val="TableNormal"/>
    <w:uiPriority w:val="39"/>
    <w:rsid w:val="003303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rsid w:val="007F18D6"/>
    <w:rPr>
      <w:i/>
    </w:rPr>
  </w:style>
  <w:style w:type="paragraph" w:styleId="BodyText">
    <w:name w:val="Body Text"/>
    <w:basedOn w:val="Normal"/>
    <w:link w:val="BodyTextChar"/>
    <w:rsid w:val="000670DA"/>
    <w:pPr>
      <w:keepLines/>
    </w:pPr>
    <w:rPr>
      <w:rFonts w:eastAsia="Times New Roman"/>
      <w:kern w:val="0"/>
      <w:szCs w:val="22"/>
      <w14:ligatures w14:val="none"/>
    </w:rPr>
  </w:style>
  <w:style w:type="character" w:customStyle="1" w:styleId="BodyTextChar">
    <w:name w:val="Body Text Char"/>
    <w:basedOn w:val="DefaultParagraphFont"/>
    <w:link w:val="BodyText"/>
    <w:rsid w:val="000670DA"/>
    <w:rPr>
      <w:rFonts w:ascii="Times New Roman" w:eastAsia="Times New Roman" w:hAnsi="Times New Roman" w:cs="Times New Roman"/>
      <w:kern w:val="0"/>
      <w:sz w:val="24"/>
      <w14:ligatures w14:val="none"/>
    </w:rPr>
  </w:style>
  <w:style w:type="paragraph" w:customStyle="1" w:styleId="BodyTextBold">
    <w:name w:val="Body Text Bold"/>
    <w:basedOn w:val="BodyText"/>
    <w:qFormat/>
    <w:rsid w:val="000670DA"/>
    <w:rPr>
      <w:b/>
    </w:rPr>
  </w:style>
  <w:style w:type="paragraph" w:styleId="ListBullet">
    <w:name w:val="List Bullet"/>
    <w:basedOn w:val="List"/>
    <w:rsid w:val="00D916A4"/>
    <w:pPr>
      <w:keepLines/>
      <w:numPr>
        <w:numId w:val="1"/>
      </w:numPr>
      <w:spacing w:before="40" w:after="40"/>
      <w:contextualSpacing w:val="0"/>
    </w:pPr>
    <w:rPr>
      <w:rFonts w:eastAsia="Times New Roman"/>
      <w:kern w:val="0"/>
      <w:szCs w:val="22"/>
      <w14:ligatures w14:val="none"/>
    </w:rPr>
  </w:style>
  <w:style w:type="paragraph" w:customStyle="1" w:styleId="SmallText">
    <w:name w:val="Small Text"/>
    <w:basedOn w:val="Normal"/>
    <w:qFormat/>
    <w:rsid w:val="00D916A4"/>
    <w:pPr>
      <w:keepNext/>
      <w:keepLines/>
      <w:spacing w:before="0" w:after="0"/>
    </w:pPr>
    <w:rPr>
      <w:rFonts w:ascii="Tahoma" w:eastAsia="Times New Roman" w:hAnsi="Tahoma"/>
      <w:kern w:val="0"/>
      <w:sz w:val="16"/>
      <w:szCs w:val="20"/>
      <w14:ligatures w14:val="none"/>
    </w:rPr>
  </w:style>
  <w:style w:type="paragraph" w:customStyle="1" w:styleId="WhiteCentredHeading">
    <w:name w:val="White Centred Heading"/>
    <w:basedOn w:val="Heading1"/>
    <w:qFormat/>
    <w:rsid w:val="00D916A4"/>
    <w:pPr>
      <w:jc w:val="center"/>
    </w:pPr>
    <w:rPr>
      <w:rFonts w:eastAsia="Times New Roman"/>
      <w:bCs w:val="0"/>
      <w:color w:val="FFFFFF" w:themeColor="background1"/>
      <w:kern w:val="0"/>
      <w:sz w:val="24"/>
      <w:szCs w:val="20"/>
      <w14:ligatures w14:val="none"/>
    </w:rPr>
  </w:style>
  <w:style w:type="paragraph" w:styleId="List">
    <w:name w:val="List"/>
    <w:basedOn w:val="Normal"/>
    <w:uiPriority w:val="99"/>
    <w:semiHidden/>
    <w:unhideWhenUsed/>
    <w:rsid w:val="00D916A4"/>
    <w:pPr>
      <w:ind w:left="283" w:hanging="283"/>
      <w:contextualSpacing/>
    </w:pPr>
  </w:style>
  <w:style w:type="paragraph" w:styleId="TOCHeading">
    <w:name w:val="TOC Heading"/>
    <w:basedOn w:val="Heading1"/>
    <w:next w:val="Normal"/>
    <w:uiPriority w:val="39"/>
    <w:unhideWhenUsed/>
    <w:qFormat/>
    <w:rsid w:val="008F3E52"/>
    <w:pPr>
      <w:keepLines/>
      <w:spacing w:line="259" w:lineRule="auto"/>
      <w:jc w:val="center"/>
      <w:outlineLvl w:val="9"/>
    </w:pPr>
    <w:rPr>
      <w:rFonts w:asciiTheme="majorHAnsi" w:eastAsiaTheme="majorEastAsia" w:hAnsiTheme="majorHAnsi" w:cstheme="majorBidi"/>
      <w:bCs w:val="0"/>
      <w:kern w:val="0"/>
      <w:lang w:val="en-US"/>
      <w14:ligatures w14:val="none"/>
    </w:rPr>
  </w:style>
  <w:style w:type="paragraph" w:styleId="TOC1">
    <w:name w:val="toc 1"/>
    <w:basedOn w:val="Normal"/>
    <w:next w:val="Normal"/>
    <w:autoRedefine/>
    <w:uiPriority w:val="39"/>
    <w:unhideWhenUsed/>
    <w:rsid w:val="004F165C"/>
    <w:pPr>
      <w:spacing w:after="100"/>
    </w:pPr>
  </w:style>
  <w:style w:type="character" w:styleId="Hyperlink">
    <w:name w:val="Hyperlink"/>
    <w:basedOn w:val="DefaultParagraphFont"/>
    <w:uiPriority w:val="99"/>
    <w:unhideWhenUsed/>
    <w:rsid w:val="004F165C"/>
    <w:rPr>
      <w:color w:val="467886" w:themeColor="hyperlink"/>
      <w:u w:val="single"/>
    </w:rPr>
  </w:style>
  <w:style w:type="paragraph" w:customStyle="1" w:styleId="Title-TOCExcluded">
    <w:name w:val="Title - TOC Excluded"/>
    <w:link w:val="Title-TOCExcludedChar"/>
    <w:qFormat/>
    <w:rsid w:val="00B911E4"/>
    <w:pPr>
      <w:jc w:val="center"/>
    </w:pPr>
    <w:rPr>
      <w:rFonts w:ascii="Times New Roman" w:hAnsi="Times New Roman" w:cs="Times New Roman"/>
      <w:b/>
      <w:bCs/>
      <w:sz w:val="48"/>
      <w:szCs w:val="48"/>
    </w:rPr>
  </w:style>
  <w:style w:type="character" w:customStyle="1" w:styleId="Title-TOCExcludedChar">
    <w:name w:val="Title - TOC Excluded Char"/>
    <w:basedOn w:val="DefaultParagraphFont"/>
    <w:link w:val="Title-TOCExcluded"/>
    <w:rsid w:val="00B911E4"/>
    <w:rPr>
      <w:rFonts w:ascii="Times New Roman" w:hAnsi="Times New Roman" w:cs="Times New Roman"/>
      <w:b/>
      <w:bCs/>
      <w:sz w:val="48"/>
      <w:szCs w:val="48"/>
    </w:rPr>
  </w:style>
  <w:style w:type="paragraph" w:customStyle="1" w:styleId="ChapterTitle">
    <w:name w:val="Chapter Title"/>
    <w:basedOn w:val="Heading1"/>
    <w:next w:val="Normal"/>
    <w:link w:val="ChapterTitleChar"/>
    <w:qFormat/>
    <w:rsid w:val="00C87216"/>
    <w:pPr>
      <w:spacing w:before="240"/>
    </w:pPr>
    <w:rPr>
      <w:bCs w:val="0"/>
    </w:rPr>
  </w:style>
  <w:style w:type="character" w:customStyle="1" w:styleId="ChapterTitleChar">
    <w:name w:val="Chapter Title Char"/>
    <w:basedOn w:val="DefaultParagraphFont"/>
    <w:link w:val="ChapterTitle"/>
    <w:rsid w:val="00C87216"/>
    <w:rPr>
      <w:rFonts w:ascii="Times New Roman" w:hAnsi="Times New Roman" w:cs="Times New Roman"/>
      <w:b/>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yperlink" Target="https://training.gov.au/training/details/POL" TargetMode="External" /><Relationship Id="rId14" Type="http://schemas.openxmlformats.org/officeDocument/2006/relationships/header" Target="header5.xml" /><Relationship Id="rId15" Type="http://schemas.openxmlformats.org/officeDocument/2006/relationships/header" Target="header6.xml" /><Relationship Id="rId16" Type="http://schemas.openxmlformats.org/officeDocument/2006/relationships/footer" Target="footer5.xml" /><Relationship Id="rId17" Type="http://schemas.openxmlformats.org/officeDocument/2006/relationships/footer" Target="footer6.xml" /><Relationship Id="rId18" Type="http://schemas.openxmlformats.org/officeDocument/2006/relationships/header" Target="header7.xml" /><Relationship Id="rId19" Type="http://schemas.openxmlformats.org/officeDocument/2006/relationships/footer" Target="footer7.xml" /><Relationship Id="rId2" Type="http://schemas.openxmlformats.org/officeDocument/2006/relationships/webSettings" Target="webSettings.xml" /><Relationship Id="rId20" Type="http://schemas.openxmlformats.org/officeDocument/2006/relationships/theme" Target="theme/theme1.xml" /><Relationship Id="rId21" Type="http://schemas.openxmlformats.org/officeDocument/2006/relationships/numbering" Target="numbering.xml" /><Relationship Id="rId22"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eader" Target="header2.xml" /><Relationship Id="rId8" Type="http://schemas.openxmlformats.org/officeDocument/2006/relationships/header" Target="header3.xml" /><Relationship Id="rId9" Type="http://schemas.openxmlformats.org/officeDocument/2006/relationships/footer" Target="footer2.xml"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15D1FD-CC37-42A8-9988-D7D032043C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2</Words>
  <Characters>14</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Public Skills Australia</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POLSAR026 Undertake marine search and rescue duties</dc:title>
  <dc:subject>Release: 1</dc:subject>
  <dc:creator>Public Skills Australia</dc:creator>
  <cp:keywords>TPC v2.32.0-beta.1+1965.Branch.releases-2026-07-29-V1.Sha.a6f7f7d63a60b97136644098024a3fe613b14521.a6f7f7d63a60b97136644098024a3fe613b14521</cp:keywords>
  <cp:lastModifiedBy>TPC</cp:lastModifiedBy>
  <cp:revision>9</cp:revision>
  <dcterms:created xsi:type="dcterms:W3CDTF">2026-07-30T02:36:23Z</dcterms:created>
  <dcterms:modified xsi:type="dcterms:W3CDTF">2026-07-30T02:36:23Z</dcterms:modified>
  <cp:contentStatus>Published</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ActionId">
    <vt:lpwstr>abd97b8f-d1c9-4757-9d6f-2d16a89172d4</vt:lpwstr>
  </property>
  <property fmtid="{D5CDD505-2E9C-101B-9397-08002B2CF9AE}" pid="3" name="MSIP_Label_79d889eb-932f-4752-8739-64d25806ef64_ContentBits">
    <vt:lpwstr>0</vt:lpwstr>
  </property>
  <property fmtid="{D5CDD505-2E9C-101B-9397-08002B2CF9AE}" pid="4" name="MSIP_Label_79d889eb-932f-4752-8739-64d25806ef64_Enabled">
    <vt:lpwstr>true</vt:lpwstr>
  </property>
  <property fmtid="{D5CDD505-2E9C-101B-9397-08002B2CF9AE}" pid="5" name="MSIP_Label_79d889eb-932f-4752-8739-64d25806ef64_Method">
    <vt:lpwstr>Privileged</vt:lpwstr>
  </property>
  <property fmtid="{D5CDD505-2E9C-101B-9397-08002B2CF9AE}" pid="6" name="MSIP_Label_79d889eb-932f-4752-8739-64d25806ef64_Name">
    <vt:lpwstr>79d889eb-932f-4752-8739-64d25806ef64</vt:lpwstr>
  </property>
  <property fmtid="{D5CDD505-2E9C-101B-9397-08002B2CF9AE}" pid="7" name="MSIP_Label_79d889eb-932f-4752-8739-64d25806ef64_SetDate">
    <vt:lpwstr>2024-11-13T03:44:06Z</vt:lpwstr>
  </property>
  <property fmtid="{D5CDD505-2E9C-101B-9397-08002B2CF9AE}" pid="8" name="MSIP_Label_79d889eb-932f-4752-8739-64d25806ef64_SiteId">
    <vt:lpwstr>dd0cfd15-4558-4b12-8bad-ea26984fc417</vt:lpwstr>
  </property>
  <property fmtid="{D5CDD505-2E9C-101B-9397-08002B2CF9AE}" pid="9" name="MSIP_Label_8b160e8f-e4bd-494f-8ddf-e78e1834eb0e_ActionId">
    <vt:lpwstr>5670ec57-b4f4-4914-985d-2cf22212a888</vt:lpwstr>
  </property>
  <property fmtid="{D5CDD505-2E9C-101B-9397-08002B2CF9AE}" pid="10" name="MSIP_Label_8b160e8f-e4bd-494f-8ddf-e78e1834eb0e_ContentBits">
    <vt:lpwstr>0</vt:lpwstr>
  </property>
  <property fmtid="{D5CDD505-2E9C-101B-9397-08002B2CF9AE}" pid="11" name="MSIP_Label_8b160e8f-e4bd-494f-8ddf-e78e1834eb0e_Enabled">
    <vt:lpwstr>true</vt:lpwstr>
  </property>
  <property fmtid="{D5CDD505-2E9C-101B-9397-08002B2CF9AE}" pid="12" name="MSIP_Label_8b160e8f-e4bd-494f-8ddf-e78e1834eb0e_Method">
    <vt:lpwstr>Privileged</vt:lpwstr>
  </property>
  <property fmtid="{D5CDD505-2E9C-101B-9397-08002B2CF9AE}" pid="13" name="MSIP_Label_8b160e8f-e4bd-494f-8ddf-e78e1834eb0e_Name">
    <vt:lpwstr>General</vt:lpwstr>
  </property>
  <property fmtid="{D5CDD505-2E9C-101B-9397-08002B2CF9AE}" pid="14" name="MSIP_Label_8b160e8f-e4bd-494f-8ddf-e78e1834eb0e_SetDate">
    <vt:lpwstr>2024-11-28T04:30:51Z</vt:lpwstr>
  </property>
  <property fmtid="{D5CDD505-2E9C-101B-9397-08002B2CF9AE}" pid="15" name="MSIP_Label_8b160e8f-e4bd-494f-8ddf-e78e1834eb0e_SiteId">
    <vt:lpwstr>ff8a34aa-31fe-4a22-9c22-29e2af4a065d</vt:lpwstr>
  </property>
</Properties>
</file>