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1498" w:rsidP="007114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POLPRO004 Utilise the Rules of Evidence</w:t>
      </w:r>
      <w:r>
        <w:fldChar w:fldCharType="end"/>
      </w:r>
    </w:p>
    <w:p w:rsidR="00711498" w:rsidP="00711498">
      <w:pPr>
        <w:pStyle w:val="Version"/>
        <w:sectPr w:rsidSect="00841F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1F02" w:rsidP="00841F02">
      <w:pPr>
        <w:pStyle w:val="SuperHeading"/>
      </w:pPr>
      <w:r w:rsidRPr="00841F02">
        <w:t>POLPRO004 Utilise the Rules of Evidence</w:t>
      </w:r>
    </w:p>
    <w:p w:rsidR="00000000" w:rsidRPr="00841F02" w:rsidP="00841F02">
      <w:pPr>
        <w:pStyle w:val="Heading1"/>
      </w:pPr>
      <w:bookmarkStart w:id="1" w:name="O_715833"/>
      <w:bookmarkEnd w:id="1"/>
      <w:r w:rsidRPr="00841F0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7114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F02">
            <w:pPr>
              <w:pStyle w:val="TableHeading"/>
              <w:rPr>
                <w:lang w:val="en-NZ"/>
              </w:rPr>
            </w:pPr>
            <w:r w:rsidRPr="00841F02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F02">
            <w:pPr>
              <w:pStyle w:val="TableHeading"/>
              <w:rPr>
                <w:lang w:val="en-NZ"/>
              </w:rPr>
            </w:pPr>
            <w:r w:rsidRPr="00841F02">
              <w:t>Comments</w:t>
            </w:r>
          </w:p>
        </w:tc>
      </w:tr>
      <w:tr w:rsidTr="007114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F02">
            <w:pPr>
              <w:pStyle w:val="BodyText"/>
              <w:rPr>
                <w:lang w:val="en-NZ"/>
              </w:rPr>
            </w:pPr>
            <w:r w:rsidRPr="00841F02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F02" w:rsidP="00841F02">
            <w:pPr>
              <w:pStyle w:val="BodyText"/>
            </w:pPr>
            <w:r w:rsidRPr="00841F02">
              <w:t xml:space="preserve">This unit was released in POL Police Training Package release 1.0 and meets the Standards for Training Packages. </w:t>
            </w:r>
          </w:p>
          <w:p w:rsidR="00000000" w:rsidRPr="00841F02" w:rsidP="00841F02">
            <w:pPr>
              <w:pStyle w:val="BodyText"/>
            </w:pPr>
          </w:p>
          <w:p w:rsidR="00000000" w:rsidRPr="00841F02" w:rsidP="00841F02">
            <w:pPr>
              <w:pStyle w:val="BodyText"/>
            </w:pPr>
            <w:r w:rsidRPr="00841F02">
              <w:t>This unit supersedes and is equivalent to PUAPOLPR001A Utilise the Rules of Evidence.</w:t>
            </w:r>
          </w:p>
          <w:p w:rsidR="00000000" w:rsidRPr="00841F02" w:rsidP="00841F02">
            <w:pPr>
              <w:pStyle w:val="BodyText"/>
            </w:pPr>
          </w:p>
          <w:p w:rsidR="00000000" w:rsidRPr="00841F02" w:rsidP="00841F02">
            <w:pPr>
              <w:pStyle w:val="ListBullet"/>
            </w:pPr>
            <w:r w:rsidRPr="00841F02">
              <w:t xml:space="preserve">Content and </w:t>
            </w:r>
            <w:r w:rsidRPr="00841F02">
              <w:t>formatting updated to comply with new standards</w:t>
            </w:r>
          </w:p>
          <w:p w:rsidR="00000000" w:rsidRPr="00841F02" w:rsidP="00841F02">
            <w:pPr>
              <w:pStyle w:val="ListBullet"/>
            </w:pPr>
            <w:r w:rsidRPr="00841F02">
              <w:t>Unit recoded POL</w:t>
            </w:r>
          </w:p>
          <w:p w:rsidR="00000000" w:rsidRPr="00841F02" w:rsidP="00841F02">
            <w:pPr>
              <w:pStyle w:val="ListBullet"/>
            </w:pPr>
            <w:r w:rsidRPr="00841F02">
              <w:t>Elements 1 and 2 merged</w:t>
            </w:r>
          </w:p>
          <w:p w:rsidR="00000000" w:rsidRPr="00841F02" w:rsidP="00841F02">
            <w:pPr>
              <w:pStyle w:val="ListBullet"/>
            </w:pPr>
            <w:r w:rsidRPr="00841F02">
              <w:t>Elements 3 and 4 merged</w:t>
            </w:r>
          </w:p>
          <w:p w:rsidR="00000000" w:rsidRPr="00841F02" w:rsidP="00841F02">
            <w:pPr>
              <w:pStyle w:val="ListBullet"/>
            </w:pPr>
            <w:r w:rsidRPr="00841F02">
              <w:t>PC. 2.1 and 2.4 merged</w:t>
            </w:r>
          </w:p>
          <w:p w:rsidR="00000000" w:rsidRPr="00841F02" w:rsidP="00841F02">
            <w:pPr>
              <w:pStyle w:val="ListBullet"/>
            </w:pPr>
            <w:r w:rsidRPr="00841F02">
              <w:t>PC 2.3 and 4.1 removed</w:t>
            </w:r>
          </w:p>
        </w:tc>
      </w:tr>
    </w:tbl>
    <w:p w:rsidR="00000000" w:rsidRPr="00841F02" w:rsidP="00841F02">
      <w:pPr>
        <w:pStyle w:val="BodyText"/>
      </w:pPr>
    </w:p>
    <w:p w:rsidR="00000000" w:rsidRPr="00841F02" w:rsidP="00841F02">
      <w:pPr>
        <w:pStyle w:val="AllowPageBreak"/>
      </w:pPr>
    </w:p>
    <w:p w:rsidR="00000000" w:rsidRPr="00841F02" w:rsidP="00841F02">
      <w:pPr>
        <w:pStyle w:val="Heading1"/>
      </w:pPr>
      <w:bookmarkStart w:id="2" w:name="O_715834"/>
      <w:bookmarkEnd w:id="2"/>
      <w:r w:rsidRPr="00841F02">
        <w:t>Application</w:t>
      </w:r>
    </w:p>
    <w:p w:rsidR="00000000" w:rsidRPr="00841F02" w:rsidP="00711498">
      <w:pPr>
        <w:pStyle w:val="BodyText"/>
      </w:pPr>
      <w:r w:rsidRPr="00841F02">
        <w:t>This unit describes the skills required to categorise and analyse evidence and adduce evidence. This includes performing prosecution duties in a professional, ethical and accountable manner that ensures public confidence in the police.</w:t>
      </w:r>
    </w:p>
    <w:p w:rsidR="00000000" w:rsidRPr="00841F02" w:rsidP="00711498">
      <w:pPr>
        <w:pStyle w:val="BodyText"/>
      </w:pPr>
      <w:r w:rsidRPr="00841F02">
        <w:t>This unit applies t</w:t>
      </w:r>
      <w:r w:rsidRPr="00841F02">
        <w:t xml:space="preserve">o police prosecutors applying Rules of Evidence when reviewing briefs and cases. </w:t>
      </w:r>
    </w:p>
    <w:p w:rsidR="00000000" w:rsidRPr="00841F02" w:rsidP="00711498">
      <w:pPr>
        <w:pStyle w:val="BodyText"/>
      </w:pPr>
      <w:r w:rsidRPr="00841F02">
        <w:t>The skills and knowledge described in this unit must be applied within the legislative, regulatory and policy environment in which they are carried out. Organisational polic</w:t>
      </w:r>
      <w:r w:rsidRPr="00841F02">
        <w:t>ies and procedures must be consulted and adhered to, particularly those related to laws of evidence.</w:t>
      </w:r>
    </w:p>
    <w:p w:rsidR="00000000" w:rsidRPr="00841F02" w:rsidP="00711498">
      <w:pPr>
        <w:pStyle w:val="BodyText"/>
      </w:pPr>
      <w:r w:rsidRPr="00841F02">
        <w:t>Those undertaking this unit would generally work autonomously within a court/justice system environment but may be required to work under supervision at t</w:t>
      </w:r>
      <w:r w:rsidRPr="00841F02">
        <w:t>imes. They will be required to while perform sophisticated tasks and demonstrate adaptability across a broad range of contexts.</w:t>
      </w:r>
    </w:p>
    <w:p w:rsidR="00000000" w:rsidRPr="00841F02" w:rsidP="00711498">
      <w:pPr>
        <w:pStyle w:val="BodyText"/>
      </w:pPr>
      <w:r w:rsidRPr="00841F02">
        <w:t>No licensing, legislative or certification requirements apply to unit at the time of publication.</w:t>
      </w:r>
    </w:p>
    <w:p w:rsidR="00000000" w:rsidRPr="00841F02" w:rsidP="00841F02">
      <w:pPr>
        <w:pStyle w:val="Heading1"/>
      </w:pPr>
      <w:bookmarkStart w:id="3" w:name="O_715836"/>
      <w:bookmarkEnd w:id="3"/>
      <w:r w:rsidRPr="00841F02">
        <w:t>Competency Field</w:t>
      </w:r>
    </w:p>
    <w:p w:rsidR="00000000" w:rsidRPr="00841F02" w:rsidP="00711498">
      <w:pPr>
        <w:pStyle w:val="BodyText"/>
      </w:pPr>
      <w:r w:rsidRPr="00841F02">
        <w:t>Prosecution</w:t>
      </w:r>
    </w:p>
    <w:p w:rsidR="00000000" w:rsidRPr="00841F02" w:rsidP="00841F02">
      <w:pPr>
        <w:pStyle w:val="Heading1"/>
      </w:pPr>
      <w:bookmarkStart w:id="4" w:name="O_715838"/>
      <w:bookmarkEnd w:id="4"/>
      <w:r w:rsidRPr="00841F0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841F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F02">
            <w:pPr>
              <w:pStyle w:val="TableHeading"/>
              <w:rPr>
                <w:lang w:val="en-NZ"/>
              </w:rPr>
            </w:pPr>
            <w:r w:rsidRPr="00841F02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F02">
            <w:pPr>
              <w:pStyle w:val="TableHeading"/>
              <w:rPr>
                <w:lang w:val="en-NZ"/>
              </w:rPr>
            </w:pPr>
            <w:r w:rsidRPr="00841F02">
              <w:t>PERFORMANCE CRITERIA</w:t>
            </w:r>
          </w:p>
        </w:tc>
      </w:tr>
      <w:tr w:rsidTr="00841F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F02">
            <w:pPr>
              <w:pStyle w:val="BodyText"/>
              <w:rPr>
                <w:lang w:val="en-NZ"/>
              </w:rPr>
            </w:pPr>
            <w:r w:rsidRPr="00841F02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F02">
            <w:pPr>
              <w:pStyle w:val="BodyText"/>
              <w:rPr>
                <w:lang w:val="en-NZ"/>
              </w:rPr>
            </w:pPr>
            <w:r w:rsidRPr="00841F02">
              <w:t>Performance criteria describe the performance needed to demonstrate achievement of the element. Where bo</w:t>
            </w:r>
            <w:r w:rsidRPr="00841F02">
              <w:t>ld italicised text is used, further information is detailed in the range of conditions section.</w:t>
            </w:r>
          </w:p>
        </w:tc>
      </w:tr>
      <w:tr w:rsidTr="00841F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F02">
            <w:pPr>
              <w:pStyle w:val="List"/>
              <w:rPr>
                <w:lang w:val="en-NZ"/>
              </w:rPr>
            </w:pPr>
            <w:r w:rsidRPr="00841F02">
              <w:rPr>
                <w:rStyle w:val="SpecialBold"/>
              </w:rPr>
              <w:t>1.</w:t>
            </w:r>
            <w:r w:rsidRPr="00841F02">
              <w:rPr>
                <w:rStyle w:val="SpecialBold"/>
              </w:rPr>
              <w:tab/>
              <w:t>Analyse evidence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F02" w:rsidP="00841F02">
            <w:pPr>
              <w:pStyle w:val="List"/>
            </w:pPr>
            <w:r w:rsidRPr="00841F02">
              <w:t>1.1</w:t>
            </w:r>
            <w:r w:rsidRPr="00841F02">
              <w:tab/>
              <w:t>Identify elements of the offence.</w:t>
            </w:r>
          </w:p>
          <w:p w:rsidR="00000000" w:rsidRPr="00841F02" w:rsidP="00841F02">
            <w:pPr>
              <w:pStyle w:val="List"/>
            </w:pPr>
            <w:r w:rsidRPr="00841F02">
              <w:t>1.2</w:t>
            </w:r>
            <w:r w:rsidRPr="00841F02">
              <w:tab/>
              <w:t>Identify evidence that supports elements of offence.</w:t>
            </w:r>
          </w:p>
          <w:p w:rsidR="00000000" w:rsidRPr="00841F02" w:rsidP="00841F02">
            <w:pPr>
              <w:pStyle w:val="List"/>
            </w:pPr>
            <w:r w:rsidRPr="00841F02">
              <w:t>1.3</w:t>
            </w:r>
            <w:r w:rsidRPr="00841F02">
              <w:tab/>
              <w:t>Categorise supporting evidence in relati</w:t>
            </w:r>
            <w:r w:rsidRPr="00841F02">
              <w:t>on to each element of the offence/s.</w:t>
            </w:r>
          </w:p>
          <w:p w:rsidR="00000000" w:rsidRPr="00841F02" w:rsidP="00841F02">
            <w:pPr>
              <w:pStyle w:val="List"/>
            </w:pPr>
            <w:r w:rsidRPr="00841F02">
              <w:t>1.4</w:t>
            </w:r>
            <w:r w:rsidRPr="00841F02">
              <w:tab/>
              <w:t>Identify applicable evidentiary law to categorised evidence.</w:t>
            </w:r>
          </w:p>
          <w:p w:rsidR="00000000" w:rsidP="00841F02">
            <w:pPr>
              <w:pStyle w:val="List"/>
              <w:rPr>
                <w:lang w:val="en-NZ"/>
              </w:rPr>
            </w:pPr>
            <w:r w:rsidRPr="00841F02">
              <w:t>1.5</w:t>
            </w:r>
            <w:r w:rsidRPr="00841F02">
              <w:tab/>
              <w:t>Examine evidence to determine relevance and admissibility.</w:t>
            </w:r>
          </w:p>
        </w:tc>
      </w:tr>
      <w:tr w:rsidTr="00841F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F02">
            <w:pPr>
              <w:pStyle w:val="List"/>
              <w:rPr>
                <w:lang w:val="en-NZ"/>
              </w:rPr>
            </w:pPr>
            <w:r w:rsidRPr="00841F02">
              <w:rPr>
                <w:rStyle w:val="SpecialBold"/>
              </w:rPr>
              <w:t>2.</w:t>
            </w:r>
            <w:r w:rsidRPr="00841F02">
              <w:rPr>
                <w:rStyle w:val="SpecialBold"/>
              </w:rPr>
              <w:tab/>
              <w:t>Adduce evidence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F02" w:rsidP="00841F02">
            <w:pPr>
              <w:pStyle w:val="List"/>
            </w:pPr>
            <w:r w:rsidRPr="00841F02">
              <w:t>2.1</w:t>
            </w:r>
            <w:r w:rsidRPr="00841F02">
              <w:tab/>
              <w:t>Determine methods for adducing evidence.</w:t>
            </w:r>
          </w:p>
          <w:p w:rsidR="00000000" w:rsidRPr="00841F02" w:rsidP="00841F02">
            <w:pPr>
              <w:pStyle w:val="List"/>
            </w:pPr>
            <w:r w:rsidRPr="00841F02">
              <w:t>2.2</w:t>
            </w:r>
            <w:r w:rsidRPr="00841F02">
              <w:tab/>
            </w:r>
            <w:r w:rsidRPr="00841F02">
              <w:t>Apply determined methods to adduce evidence.</w:t>
            </w:r>
          </w:p>
          <w:p w:rsidR="00000000" w:rsidRPr="00841F02" w:rsidP="00841F02">
            <w:pPr>
              <w:pStyle w:val="List"/>
            </w:pPr>
            <w:r w:rsidRPr="00841F02">
              <w:t>2.3</w:t>
            </w:r>
            <w:r w:rsidRPr="00841F02">
              <w:tab/>
              <w:t>Re-evaluate inadmissible evidence to determine alternative methods for adducing evidence.</w:t>
            </w:r>
          </w:p>
          <w:p w:rsidR="00000000" w:rsidRPr="00841F02" w:rsidP="00841F02">
            <w:pPr>
              <w:pStyle w:val="List"/>
            </w:pPr>
            <w:r w:rsidRPr="00841F02">
              <w:t>2.4</w:t>
            </w:r>
            <w:r w:rsidRPr="00841F02">
              <w:tab/>
              <w:t>Conduct legal research to support alternative methods for adducing evidence.</w:t>
            </w:r>
          </w:p>
          <w:p w:rsidR="00000000" w:rsidRPr="00841F02" w:rsidP="00841F02">
            <w:pPr>
              <w:pStyle w:val="List"/>
            </w:pPr>
            <w:r w:rsidRPr="00841F02">
              <w:t>2.5</w:t>
            </w:r>
            <w:r w:rsidRPr="00841F02">
              <w:tab/>
              <w:t>Deliver submissions to elicit de</w:t>
            </w:r>
            <w:r w:rsidRPr="00841F02">
              <w:t>cisions from the court.</w:t>
            </w:r>
          </w:p>
        </w:tc>
      </w:tr>
    </w:tbl>
    <w:p w:rsidR="00000000" w:rsidRPr="00841F02" w:rsidP="00841F02">
      <w:pPr>
        <w:pStyle w:val="BodyText"/>
      </w:pPr>
    </w:p>
    <w:p w:rsidR="00000000" w:rsidRPr="00841F02" w:rsidP="00841F02">
      <w:pPr>
        <w:pStyle w:val="AllowPageBreak"/>
      </w:pPr>
    </w:p>
    <w:p w:rsidR="00000000" w:rsidRPr="00841F02" w:rsidP="00841F02">
      <w:pPr>
        <w:pStyle w:val="Heading1"/>
      </w:pPr>
      <w:bookmarkStart w:id="5" w:name="O_715839"/>
      <w:bookmarkEnd w:id="5"/>
      <w:r w:rsidRPr="00841F02">
        <w:t>Foundation Skills</w:t>
      </w:r>
    </w:p>
    <w:p w:rsidR="00000000" w:rsidRPr="00841F02" w:rsidP="00711498">
      <w:pPr>
        <w:pStyle w:val="BodyText"/>
      </w:pPr>
      <w:r w:rsidRPr="00841F02">
        <w:t>The foundation skills demands of this unit have been mapped for alignment with the Australian Core Skills Framework (ACSF). The following tables outline the performance levels indicated for succe</w:t>
      </w:r>
      <w:r w:rsidRPr="00841F02">
        <w:t>ssful attainment of the unit.</w:t>
      </w:r>
    </w:p>
    <w:p w:rsidR="00000000" w:rsidRPr="00841F02" w:rsidP="00841F02">
      <w:pPr>
        <w:pStyle w:val="BodyText"/>
        <w:keepNext/>
      </w:pPr>
    </w:p>
    <w:p w:rsidR="00000000" w:rsidRPr="00841F02" w:rsidP="00841F02">
      <w:pPr>
        <w:pStyle w:val="BodyText"/>
      </w:pPr>
      <w:bookmarkStart w:id="6" w:name="O_726706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50.75pt;width:473.25pt">
            <v:imagedata r:id="rId10" o:title=""/>
          </v:shape>
        </w:pict>
      </w:r>
      <w:bookmarkEnd w:id="6"/>
    </w:p>
    <w:p w:rsidR="00000000" w:rsidRPr="00841F02" w:rsidP="00841F02">
      <w:pPr>
        <w:pStyle w:val="BodyText"/>
      </w:pPr>
    </w:p>
    <w:p w:rsidR="00000000" w:rsidRPr="00841F02" w:rsidP="00711498">
      <w:pPr>
        <w:pStyle w:val="BodyText"/>
      </w:pPr>
      <w:r w:rsidRPr="00841F02">
        <w:t>Further information on ACSF and the foundation skills underpinning this unit can be found in the</w:t>
      </w:r>
      <w:r w:rsidRPr="00841F02">
        <w:t xml:space="preserve"> Foundation Skills Guide on the GSA website.</w:t>
      </w:r>
    </w:p>
    <w:p w:rsidR="00000000" w:rsidRPr="00841F02" w:rsidP="00841F02">
      <w:pPr>
        <w:pStyle w:val="Heading1"/>
      </w:pPr>
      <w:bookmarkStart w:id="7" w:name="O_715841"/>
      <w:bookmarkEnd w:id="7"/>
      <w:r w:rsidRPr="00841F02">
        <w:t>Unit Mapping Information</w:t>
      </w:r>
    </w:p>
    <w:p w:rsidR="00000000" w:rsidRPr="00841F02" w:rsidP="00711498">
      <w:pPr>
        <w:pStyle w:val="BodyText"/>
      </w:pPr>
      <w:r w:rsidRPr="00841F02">
        <w:t>This unit supersedes and is equivalent to PUAPOLPR001A Utilise the Rules of Evidence.</w:t>
      </w:r>
    </w:p>
    <w:p w:rsidR="00000000" w:rsidRPr="00841F02" w:rsidP="00841F02">
      <w:pPr>
        <w:pStyle w:val="Heading1"/>
      </w:pPr>
      <w:bookmarkStart w:id="8" w:name="O_715848"/>
      <w:bookmarkEnd w:id="8"/>
      <w:r w:rsidRPr="00841F02">
        <w:t>Links</w:t>
      </w:r>
    </w:p>
    <w:p w:rsidR="00000000" w:rsidRPr="00841F02" w:rsidP="00711498">
      <w:pPr>
        <w:pStyle w:val="BodyText"/>
      </w:pPr>
      <w:r w:rsidRPr="00841F02">
        <w:t>Companion Volume implementation guides are found in VETNet -</w:t>
      </w:r>
      <w:r w:rsidRPr="00841F02">
        <w:t xml:space="preserve">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4E667E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841F02" w:rsidP="00711498">
      <w:pPr>
        <w:pStyle w:val="BodyText"/>
      </w:pPr>
      <w:r w:rsidRPr="00841F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4E667E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841F02" w:rsidP="00711498">
      <w:pPr>
        <w:pStyle w:val="BodyText"/>
      </w:pPr>
      <w:r w:rsidRPr="00841F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4E667E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841F02" w:rsidP="00841F02"/>
    <w:sectPr w:rsidSect="00841F02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F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F02" w:rsidRPr="00711498" w:rsidP="007114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F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498" w:rsidP="00841F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1498" w:rsidP="00841F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11498" w:rsidP="00841F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F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4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1F02" w:rsidRPr="00711498" w:rsidP="007114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F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498" w:rsidRPr="002D2AF8" w:rsidP="00841F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POLPRO004 Utilise the Rules of Evidence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February 2024</w:t>
    </w:r>
    <w:r>
      <w:fldChar w:fldCharType="end"/>
    </w:r>
  </w:p>
  <w:p w:rsidR="00711498" w:rsidP="00841F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F0E6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EC8A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1F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1F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1F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1F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1F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1F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1F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1F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1F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1F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1F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1F02"/>
  </w:style>
  <w:style w:type="character" w:customStyle="1" w:styleId="Heading1Char">
    <w:name w:val="Heading 1 Char"/>
    <w:basedOn w:val="DefaultParagraphFont"/>
    <w:link w:val="Heading1"/>
    <w:rsid w:val="00841F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1F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1F0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41F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41F0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1F02"/>
    <w:rPr>
      <w:b/>
      <w:spacing w:val="0"/>
    </w:rPr>
  </w:style>
  <w:style w:type="paragraph" w:customStyle="1" w:styleId="SuperHeading">
    <w:name w:val="SuperHeading"/>
    <w:basedOn w:val="Normal"/>
    <w:rsid w:val="00841F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41F0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41F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1F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1F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1F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1F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1F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1F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1F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1F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1F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1F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1F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1F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1F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1F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1F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1F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1F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1F0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41F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1F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1F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1F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1F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1F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1F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1F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1F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1F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1F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1F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1F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1F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1F02"/>
    <w:rPr>
      <w:i/>
    </w:rPr>
  </w:style>
  <w:style w:type="paragraph" w:styleId="Caption">
    <w:name w:val="caption"/>
    <w:basedOn w:val="BodyText"/>
    <w:next w:val="Normal"/>
    <w:qFormat/>
    <w:rsid w:val="00841F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1F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1F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1F02"/>
  </w:style>
  <w:style w:type="paragraph" w:styleId="TableofFigures">
    <w:name w:val="table of figures"/>
    <w:basedOn w:val="Normal"/>
    <w:next w:val="Normal"/>
    <w:semiHidden/>
    <w:rsid w:val="00841F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1F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1F02"/>
    <w:rPr>
      <w:rFonts w:ascii="Wingdings" w:hAnsi="Wingdings"/>
    </w:rPr>
  </w:style>
  <w:style w:type="character" w:customStyle="1" w:styleId="HotSpot">
    <w:name w:val="HotSpot"/>
    <w:rsid w:val="00841F02"/>
    <w:rPr>
      <w:color w:val="0033CC"/>
      <w:u w:val="none"/>
    </w:rPr>
  </w:style>
  <w:style w:type="paragraph" w:customStyle="1" w:styleId="BodyTextRight">
    <w:name w:val="Body Text Right"/>
    <w:basedOn w:val="BodyText"/>
    <w:rsid w:val="00841F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1F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1F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1F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1F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1F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1F02"/>
    <w:rPr>
      <w:sz w:val="32"/>
    </w:rPr>
  </w:style>
  <w:style w:type="paragraph" w:customStyle="1" w:styleId="HeadingProcedure">
    <w:name w:val="Heading Procedure"/>
    <w:basedOn w:val="HeadingBase"/>
    <w:next w:val="Normal"/>
    <w:rsid w:val="00841F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1F02"/>
    <w:pPr>
      <w:spacing w:before="60" w:after="60"/>
    </w:pPr>
  </w:style>
  <w:style w:type="paragraph" w:styleId="ListContinue">
    <w:name w:val="List Continue"/>
    <w:basedOn w:val="List"/>
    <w:rsid w:val="00841F02"/>
    <w:pPr>
      <w:ind w:firstLine="0"/>
    </w:pPr>
  </w:style>
  <w:style w:type="paragraph" w:customStyle="1" w:styleId="ListNote">
    <w:name w:val="List Note"/>
    <w:basedOn w:val="List"/>
    <w:rsid w:val="00841F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1F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1F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1F02"/>
    <w:rPr>
      <w:rFonts w:ascii="Courier New" w:hAnsi="Courier New"/>
    </w:rPr>
  </w:style>
  <w:style w:type="paragraph" w:customStyle="1" w:styleId="NoteBullet">
    <w:name w:val="Note Bullet"/>
    <w:basedOn w:val="Note"/>
    <w:rsid w:val="00841F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1F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1F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1F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1F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1F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1F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1F02"/>
    <w:rPr>
      <w:b/>
      <w:smallCaps/>
    </w:rPr>
  </w:style>
  <w:style w:type="paragraph" w:customStyle="1" w:styleId="TableListNumber">
    <w:name w:val="Table List Number"/>
    <w:basedOn w:val="ListNumber"/>
    <w:rsid w:val="00841F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1F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1F02"/>
    <w:pPr>
      <w:numPr>
        <w:numId w:val="8"/>
      </w:numPr>
    </w:pPr>
  </w:style>
  <w:style w:type="paragraph" w:customStyle="1" w:styleId="ListAlpha2">
    <w:name w:val="List Alpha 2"/>
    <w:basedOn w:val="List2"/>
    <w:rsid w:val="00841F02"/>
    <w:pPr>
      <w:numPr>
        <w:numId w:val="7"/>
      </w:numPr>
    </w:pPr>
  </w:style>
  <w:style w:type="paragraph" w:styleId="List2">
    <w:name w:val="List 2"/>
    <w:basedOn w:val="BodyText"/>
    <w:rsid w:val="00841F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1F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1F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1F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1F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1F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1F02"/>
    <w:pPr>
      <w:numPr>
        <w:numId w:val="3"/>
      </w:numPr>
    </w:pPr>
  </w:style>
  <w:style w:type="paragraph" w:styleId="ListContinue2">
    <w:name w:val="List Continue 2"/>
    <w:basedOn w:val="List2"/>
    <w:rsid w:val="00841F02"/>
    <w:pPr>
      <w:ind w:firstLine="0"/>
    </w:pPr>
  </w:style>
  <w:style w:type="paragraph" w:styleId="ListContinue3">
    <w:name w:val="List Continue 3"/>
    <w:basedOn w:val="List3"/>
    <w:rsid w:val="00841F02"/>
    <w:pPr>
      <w:ind w:left="1021" w:firstLine="0"/>
    </w:pPr>
  </w:style>
  <w:style w:type="paragraph" w:styleId="ListContinue4">
    <w:name w:val="List Continue 4"/>
    <w:basedOn w:val="List4"/>
    <w:rsid w:val="00841F02"/>
    <w:pPr>
      <w:ind w:firstLine="0"/>
    </w:pPr>
  </w:style>
  <w:style w:type="paragraph" w:styleId="ListContinue5">
    <w:name w:val="List Continue 5"/>
    <w:basedOn w:val="List5"/>
    <w:rsid w:val="00841F02"/>
    <w:pPr>
      <w:ind w:firstLine="0"/>
    </w:pPr>
  </w:style>
  <w:style w:type="paragraph" w:styleId="ListNumber3">
    <w:name w:val="List Number 3"/>
    <w:basedOn w:val="List3"/>
    <w:rsid w:val="00841F02"/>
    <w:pPr>
      <w:numPr>
        <w:numId w:val="4"/>
      </w:numPr>
    </w:pPr>
  </w:style>
  <w:style w:type="paragraph" w:styleId="ListNumber4">
    <w:name w:val="List Number 4"/>
    <w:basedOn w:val="List4"/>
    <w:rsid w:val="00841F02"/>
    <w:pPr>
      <w:numPr>
        <w:numId w:val="5"/>
      </w:numPr>
    </w:pPr>
  </w:style>
  <w:style w:type="paragraph" w:styleId="ListNumber5">
    <w:name w:val="List Number 5"/>
    <w:basedOn w:val="List5"/>
    <w:rsid w:val="00841F02"/>
    <w:pPr>
      <w:numPr>
        <w:numId w:val="6"/>
      </w:numPr>
    </w:pPr>
  </w:style>
  <w:style w:type="paragraph" w:styleId="BlockText">
    <w:name w:val="Block Text"/>
    <w:basedOn w:val="Normal"/>
    <w:rsid w:val="00841F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1F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1F02"/>
    <w:rPr>
      <w:sz w:val="16"/>
      <w:vertAlign w:val="superscript"/>
    </w:rPr>
  </w:style>
  <w:style w:type="character" w:customStyle="1" w:styleId="Symbols">
    <w:name w:val="Symbols"/>
    <w:basedOn w:val="DefaultParagraphFont"/>
    <w:rsid w:val="00841F02"/>
    <w:rPr>
      <w:rFonts w:ascii="Symbol" w:hAnsi="Symbol"/>
    </w:rPr>
  </w:style>
  <w:style w:type="character" w:customStyle="1" w:styleId="MenuOptions">
    <w:name w:val="Menu Options"/>
    <w:basedOn w:val="DefaultParagraphFont"/>
    <w:rsid w:val="00841F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1F02"/>
    <w:rPr>
      <w:b/>
    </w:rPr>
  </w:style>
  <w:style w:type="character" w:customStyle="1" w:styleId="Underlined">
    <w:name w:val="Underlined"/>
    <w:basedOn w:val="DefaultParagraphFont"/>
    <w:rsid w:val="00841F02"/>
    <w:rPr>
      <w:u w:val="single"/>
    </w:rPr>
  </w:style>
  <w:style w:type="paragraph" w:customStyle="1" w:styleId="TableBodyTextRight">
    <w:name w:val="Table Body Text Right"/>
    <w:basedOn w:val="TableBodyText"/>
    <w:rsid w:val="00841F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1F02"/>
    <w:rPr>
      <w:sz w:val="18"/>
    </w:rPr>
  </w:style>
  <w:style w:type="paragraph" w:customStyle="1" w:styleId="BodySmallRight">
    <w:name w:val="Body Small Right"/>
    <w:basedOn w:val="BodyTextRight"/>
    <w:rsid w:val="00841F02"/>
    <w:rPr>
      <w:sz w:val="18"/>
      <w:szCs w:val="18"/>
    </w:rPr>
  </w:style>
  <w:style w:type="paragraph" w:customStyle="1" w:styleId="MarginEdition">
    <w:name w:val="Margin Edition"/>
    <w:basedOn w:val="MarginNote"/>
    <w:rsid w:val="00841F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1F02"/>
    <w:rPr>
      <w:sz w:val="2"/>
      <w:szCs w:val="2"/>
    </w:rPr>
  </w:style>
  <w:style w:type="character" w:customStyle="1" w:styleId="Small">
    <w:name w:val="Small"/>
    <w:basedOn w:val="DefaultParagraphFont"/>
    <w:rsid w:val="00841F02"/>
    <w:rPr>
      <w:sz w:val="16"/>
    </w:rPr>
  </w:style>
  <w:style w:type="paragraph" w:customStyle="1" w:styleId="WideTable">
    <w:name w:val="Wide Table"/>
    <w:basedOn w:val="Normal"/>
    <w:rsid w:val="00841F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1F02"/>
  </w:style>
  <w:style w:type="paragraph" w:styleId="Quote">
    <w:name w:val="Quote"/>
    <w:basedOn w:val="Heading1"/>
    <w:link w:val="QuoteChar"/>
    <w:qFormat/>
    <w:rsid w:val="00841F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1F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1F02"/>
    <w:pPr>
      <w:pageBreakBefore/>
    </w:pPr>
  </w:style>
  <w:style w:type="paragraph" w:customStyle="1" w:styleId="Border">
    <w:name w:val="Border"/>
    <w:basedOn w:val="Normal"/>
    <w:qFormat/>
    <w:rsid w:val="00841F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1F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1F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1F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1F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1F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1F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1F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1F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1F02"/>
    <w:rPr>
      <w:u w:val="single"/>
    </w:rPr>
  </w:style>
  <w:style w:type="character" w:customStyle="1" w:styleId="BoldandItalics">
    <w:name w:val="Bold and Italics"/>
    <w:qFormat/>
    <w:rsid w:val="00841F02"/>
    <w:rPr>
      <w:b/>
      <w:i/>
      <w:u w:val="none"/>
    </w:rPr>
  </w:style>
  <w:style w:type="paragraph" w:styleId="BalloonText">
    <w:name w:val="Balloon Text"/>
    <w:basedOn w:val="Normal"/>
    <w:link w:val="BalloonTextChar"/>
    <w:rsid w:val="00841F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1F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1F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1F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1F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1F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1F02"/>
    <w:pPr>
      <w:spacing w:before="0" w:after="0"/>
    </w:pPr>
  </w:style>
  <w:style w:type="paragraph" w:customStyle="1" w:styleId="BodyTextBold">
    <w:name w:val="Body Text Bold"/>
    <w:basedOn w:val="BodyText"/>
    <w:qFormat/>
    <w:rsid w:val="00841F02"/>
    <w:rPr>
      <w:b/>
    </w:rPr>
  </w:style>
  <w:style w:type="character" w:styleId="Hyperlink">
    <w:name w:val="Hyperlink"/>
    <w:basedOn w:val="DefaultParagraphFont"/>
    <w:uiPriority w:val="99"/>
    <w:unhideWhenUsed/>
    <w:rsid w:val="007114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3320</Characters>
  <Application>Microsoft Office Word</Application>
  <DocSecurity>0</DocSecurity>
  <Lines>100</Lines>
  <Paragraphs>62</Paragraphs>
  <ScaleCrop>false</ScaleCrop>
  <Company>Author-it Software Corporation Ltd.</Company>
  <LinksUpToDate>false</LinksUpToDate>
  <CharactersWithSpaces>3777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POLPRO004 Utilise the Rules of Evidence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2024-02-27T04:24:00Z</dcterms:created>
  <dcterms:modified xsi:type="dcterms:W3CDTF">2024-02-27T04:24:00Z</dcterms:modified>
</cp:coreProperties>
</file>