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4.0 -->
  <w:body>
    <w:p w:rsidR="00113C48" w:rsidRPr="00113C48" w:rsidP="00FA4076" w14:paraId="2979BD29" w14:textId="082047C8">
      <w:pPr>
        <w:pStyle w:val="Title-TOCExcluded"/>
        <w:spacing w:before="5200" w:after="120"/>
        <w:sectPr w:rsidSect="00F31508">
          <w:headerReference w:type="default" r:id="rId5"/>
          <w:footerReference w:type="default" r:id="rId6"/>
          <w:pgSz w:w="11906" w:h="16838"/>
          <w:pgMar w:top="1701" w:right="1418" w:bottom="1701" w:left="1418" w:header="709" w:footer="709" w:gutter="0"/>
          <w:cols w:space="708"/>
          <w:docGrid w:linePitch="360"/>
        </w:sectPr>
      </w:pPr>
      <w:bookmarkStart w:id="0" w:name="_Toc184217249"/>
      <w:bookmarkStart w:id="1" w:name="_Toc184220964"/>
      <w:r w:rsidRPr="00262572">
        <w:t>POLINV043 Present evidence on crash incidents</w:t>
      </w:r>
      <w:bookmarkEnd w:id="0"/>
      <w:bookmarkEnd w:id="1"/>
    </w:p>
    <w:p w:rsidR="00D44002" w:rsidRPr="00F31CE3" w:rsidP="00F31CE3" w14:paraId="160C8F32" w14:textId="3B105B63">
      <w:pPr>
        <w:pStyle w:val="ChapterTitle"/>
      </w:pPr>
      <w:bookmarkStart w:id="2" w:name="POLINV043"/>
      <w:r w:rsidRPr="00F31CE3">
        <w:t>POLINV043 Present evidence on crash incidents</w:t>
      </w:r>
    </w:p>
    <w:p w:rsidR="00D44002" w:rsidRPr="00F31CE3" w:rsidP="00F31CE3">
      <w:pPr>
        <w:pStyle w:val="Heading1"/>
      </w:pPr>
      <w:bookmarkEnd w:id="2"/>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unit of competency was first released in POL Police Training Package Release 10.0.</w:t>
            </w:r>
          </w:p>
        </w:tc>
      </w:tr>
    </w:tbl>
    <w:p w:rsidR="00D44002" w:rsidRPr="00F31CE3" w:rsidP="00F31CE3">
      <w:pPr>
        <w:pStyle w:val="Heading1"/>
      </w:pPr>
      <w:r w:rsidRPr="00F31CE3">
        <w:t>Application</w:t>
      </w:r>
    </w:p>
    <w:p w:rsidR="00D44002" w:rsidRPr="00F31CE3" w:rsidP="00F31CE3">
      <w:r w:rsidRPr="00F31CE3">
        <w:t>This unit describes the skills and knowledge required to prepare and present vehicle crash analysis and conclusions as admissible evidence and specialist opinion as part of judicial proceedings. </w:t>
      </w:r>
    </w:p>
    <w:p w:rsidR="00D44002" w:rsidRPr="00F31CE3" w:rsidP="00F31CE3">
      <w:r w:rsidRPr="00F31CE3">
        <w:t>This unit applies to those working as police employees involved in vehicle crash analysis. </w:t>
      </w:r>
    </w:p>
    <w:p w:rsidR="00D44002" w:rsidRPr="00F31CE3" w:rsidP="00F31CE3">
      <w:r w:rsidRPr="00F31CE3">
        <w:t>The skills and knowledge described in this unit must be applied within the legislative, regulatory and policy environment in which they are undertaken. Organisational policies and procedures must be consulted and adhered to, particularly those related to judicial processes. </w:t>
      </w:r>
    </w:p>
    <w:p w:rsidR="00D44002" w:rsidRPr="00F31CE3" w:rsidP="00F31CE3">
      <w:r w:rsidRPr="00F31CE3">
        <w:t>Those undertaking this role would work autonomously or as part of a team while remaining responsible for reporting to senior staff. They would demonstrate the ability to perform tasks in a broad range of contexts. </w:t>
      </w:r>
    </w:p>
    <w:p w:rsidR="00D44002" w:rsidRPr="00F31CE3" w:rsidP="00F31CE3">
      <w:pPr>
        <w:pStyle w:val="Heading1"/>
      </w:pPr>
      <w:r w:rsidRPr="00F31CE3">
        <w:t>Licensing/Regulatory Information</w:t>
      </w:r>
    </w:p>
    <w:p w:rsidR="00D44002" w:rsidRPr="00F31CE3" w:rsidP="00F31CE3">
      <w:r w:rsidRPr="00F31CE3">
        <w:t>No licensing, legislative or certification requirements apply to this unit at the time of publication.</w:t>
      </w:r>
    </w:p>
    <w:p w:rsidR="00D44002" w:rsidRPr="00F31CE3" w:rsidP="00F31CE3">
      <w:pPr>
        <w:pStyle w:val="Heading1"/>
      </w:pPr>
      <w:r w:rsidRPr="00F31CE3">
        <w:t>Pre-requisite unit(s)</w:t>
      </w:r>
    </w:p>
    <w:p w:rsidR="00D44002" w:rsidRPr="00F31CE3" w:rsidP="00F31CE3">
      <w:r w:rsidRPr="00F31CE3">
        <w:t>No prerequisite units.</w:t>
      </w:r>
    </w:p>
    <w:p w:rsidR="00D44002" w:rsidRPr="00F31CE3" w:rsidP="00F31CE3">
      <w:pPr>
        <w:pStyle w:val="Heading1"/>
      </w:pPr>
      <w:r w:rsidRPr="00F31CE3">
        <w:t>Competency field(s)</w:t>
      </w:r>
    </w:p>
    <w:p w:rsidR="00D44002" w:rsidRPr="00F31CE3" w:rsidP="00F31CE3">
      <w:r w:rsidRPr="00F31CE3">
        <w:t>Investigation</w:t>
      </w:r>
    </w:p>
    <w:p w:rsidR="00D44002" w:rsidRPr="00F31CE3" w:rsidP="00F31CE3">
      <w:pPr>
        <w:pStyle w:val="Heading1"/>
      </w:pPr>
      <w:r w:rsidRPr="00F31CE3">
        <w:t>Unit sector(s)</w:t>
      </w:r>
    </w:p>
    <w:p w:rsidR="00D44002" w:rsidRPr="00F31CE3" w:rsidP="00F31CE3">
      <w:r w:rsidRPr="00F31CE3">
        <w:t>N/A</w:t>
      </w:r>
    </w:p>
    <w:p w:rsidR="00D44002" w:rsidRPr="00F31CE3" w:rsidP="00F31CE3">
      <w:pPr>
        <w:pStyle w:val="Heading1"/>
      </w:pPr>
      <w:r w:rsidRPr="00F31CE3">
        <w:t>Elements and Performance Criteria</w:t>
      </w:r>
    </w:p>
    <w:tbl>
      <w:tblPr>
        <w:tblStyle w:val="TableGrid"/>
        <w:tblW w:w="5000" w:type="pct"/>
        <w:jc w:val="left"/>
      </w:tblPr>
      <w:tblGrid>
        <w:gridCol w:w="228"/>
        <w:gridCol w:w="3391"/>
        <w:gridCol w:w="368"/>
        <w:gridCol w:w="4408"/>
      </w:tblGrid>
      <w:tr>
        <w:tblPrEx>
          <w:tblW w:w="5000" w:type="pct"/>
        </w:tblPrEx>
        <w:tc>
          <w:tcPr>
            <w:tcW w:w="0" w:type="auto"/>
            <w:gridSpan w:val="2"/>
          </w:tcPr>
          <w:p w:rsidR="00D44002" w:rsidRPr="00F31CE3" w:rsidP="00F31CE3">
            <w:pPr>
              <w:jc w:val="left"/>
              <w:rPr>
                <w:b/>
                <w:bCs/>
              </w:rPr>
            </w:pPr>
            <w:r w:rsidRPr="00F31CE3">
              <w:rPr>
                <w:b/>
                <w:bCs/>
              </w:rPr>
              <w:t>Elements</w:t>
            </w:r>
          </w:p>
        </w:tc>
        <w:tc>
          <w:tcPr>
            <w:tcW w:w="0" w:type="auto"/>
            <w:gridSpan w:val="2"/>
          </w:tcPr>
          <w:p w:rsidR="00D44002" w:rsidRPr="00F31CE3" w:rsidP="00F31CE3">
            <w:pPr>
              <w:jc w:val="left"/>
              <w:rPr>
                <w:b/>
                <w:bCs/>
              </w:rPr>
            </w:pPr>
            <w:r w:rsidRPr="00F31CE3">
              <w:rPr>
                <w:b/>
                <w:bCs/>
              </w:rPr>
              <w:t>Performance criteria</w:t>
            </w:r>
          </w:p>
        </w:tc>
      </w:tr>
      <w:tr>
        <w:tblPrEx>
          <w:tblW w:w="5000" w:type="pct"/>
        </w:tblPrEx>
        <w:tc>
          <w:tcPr>
            <w:tcW w:w="0" w:type="auto"/>
            <w:gridSpan w:val="2"/>
          </w:tcPr>
          <w:p w:rsidR="00D44002" w:rsidRPr="00F31CE3" w:rsidP="00F31CE3">
            <w:r w:rsidRPr="00F31CE3">
              <w:t>Elements describe the essential outcomes.</w:t>
            </w:r>
          </w:p>
        </w:tc>
        <w:tc>
          <w:tcPr>
            <w:tcW w:w="0" w:type="auto"/>
            <w:gridSpan w:val="2"/>
          </w:tcPr>
          <w:p w:rsidR="00D44002" w:rsidRPr="00F31CE3" w:rsidP="00F31CE3">
            <w:r w:rsidRPr="00F31CE3">
              <w:t>Performance criteria describe the performance needed to demonstrate achievement of the element.</w:t>
            </w:r>
          </w:p>
        </w:tc>
      </w:tr>
      <w:tr>
        <w:tblPrEx>
          <w:tblW w:w="5000" w:type="pct"/>
        </w:tblPrEx>
        <w:tc>
          <w:tcPr>
            <w:tcW w:w="0" w:type="auto"/>
          </w:tcPr>
          <w:p w:rsidR="00D44002" w:rsidRPr="00F31CE3" w:rsidP="00F31CE3">
            <w:r w:rsidRPr="00F31CE3">
              <w:t>1</w:t>
            </w:r>
          </w:p>
        </w:tc>
        <w:tc>
          <w:tcPr>
            <w:tcW w:w="0" w:type="auto"/>
          </w:tcPr>
          <w:p w:rsidR="00D44002" w:rsidRPr="00F31CE3" w:rsidP="00F31CE3">
            <w:r w:rsidRPr="00F31CE3">
              <w:rPr>
                <w:rStyle w:val="Strong"/>
              </w:rPr>
              <w:t>Generate and test conclusions </w:t>
            </w:r>
          </w:p>
        </w:tc>
        <w:tc>
          <w:tcPr>
            <w:tcW w:w="0" w:type="auto"/>
          </w:tcPr>
          <w:p w:rsidR="00D44002" w:rsidRPr="00F31CE3" w:rsidP="00F31CE3">
            <w:r w:rsidRPr="00F31CE3">
              <w:rPr>
                <w:rStyle w:val="Strong"/>
              </w:rPr>
              <w:t>1.1</w:t>
            </w:r>
          </w:p>
        </w:tc>
        <w:tc>
          <w:tcPr>
            <w:tcW w:w="0" w:type="auto"/>
          </w:tcPr>
          <w:p w:rsidR="00D44002" w:rsidRPr="00F31CE3" w:rsidP="00F31CE3">
            <w:r w:rsidRPr="00F31CE3">
              <w:t>Review analysis to confirm causal factors of crash incident.</w:t>
            </w:r>
          </w:p>
        </w:tc>
      </w:tr>
      <w:tr>
        <w:tblPrEx>
          <w:tblW w:w="5000" w:type="pct"/>
        </w:tblPrEx>
        <w:tc>
          <w:tcPr>
            <w:tcW w:w="0" w:type="auto"/>
          </w:tcPr>
          <w:p w:rsidR="00D44002" w:rsidRPr="00F31CE3" w:rsidP="00F31CE3">
            <w:r w:rsidRPr="00F31CE3">
              <w:t> </w:t>
            </w:r>
          </w:p>
        </w:tc>
        <w:tc>
          <w:tcPr>
            <w:tcW w:w="0" w:type="auto"/>
          </w:tcPr>
          <w:p w:rsidR="00D44002" w:rsidRPr="00F31CE3" w:rsidP="00F31CE3">
            <w:r w:rsidRPr="00F31CE3">
              <w:t> </w:t>
            </w:r>
          </w:p>
        </w:tc>
        <w:tc>
          <w:tcPr>
            <w:tcW w:w="0" w:type="auto"/>
          </w:tcPr>
          <w:p w:rsidR="00D44002" w:rsidRPr="00F31CE3" w:rsidP="00F31CE3">
            <w:r w:rsidRPr="00F31CE3">
              <w:rPr>
                <w:rStyle w:val="Strong"/>
              </w:rPr>
              <w:t>1.2</w:t>
            </w:r>
          </w:p>
        </w:tc>
        <w:tc>
          <w:tcPr>
            <w:tcW w:w="0" w:type="auto"/>
          </w:tcPr>
          <w:p w:rsidR="00D44002" w:rsidRPr="00F31CE3" w:rsidP="00F31CE3">
            <w:r w:rsidRPr="00F31CE3">
              <w:t>Review causal factors to develop conclusions. </w:t>
            </w:r>
          </w:p>
        </w:tc>
      </w:tr>
      <w:tr>
        <w:tblPrEx>
          <w:tblW w:w="5000" w:type="pct"/>
        </w:tblPrEx>
        <w:tc>
          <w:tcPr>
            <w:tcW w:w="0" w:type="auto"/>
          </w:tcPr>
          <w:p w:rsidR="00D44002" w:rsidRPr="00F31CE3" w:rsidP="00F31CE3">
            <w:r w:rsidRPr="00F31CE3">
              <w:t> </w:t>
            </w:r>
          </w:p>
        </w:tc>
        <w:tc>
          <w:tcPr>
            <w:tcW w:w="0" w:type="auto"/>
          </w:tcPr>
          <w:p w:rsidR="00D44002" w:rsidRPr="00F31CE3" w:rsidP="00F31CE3">
            <w:r w:rsidRPr="00F31CE3">
              <w:t> </w:t>
            </w:r>
          </w:p>
        </w:tc>
        <w:tc>
          <w:tcPr>
            <w:tcW w:w="0" w:type="auto"/>
          </w:tcPr>
          <w:p w:rsidR="00D44002" w:rsidRPr="00F31CE3" w:rsidP="00F31CE3">
            <w:r w:rsidRPr="00F31CE3">
              <w:rPr>
                <w:rStyle w:val="Strong"/>
              </w:rPr>
              <w:t>1.3</w:t>
            </w:r>
          </w:p>
        </w:tc>
        <w:tc>
          <w:tcPr>
            <w:tcW w:w="0" w:type="auto"/>
          </w:tcPr>
          <w:p w:rsidR="00D44002" w:rsidRPr="00F31CE3" w:rsidP="00F31CE3">
            <w:r w:rsidRPr="00F31CE3">
              <w:t>Test consistency of conclusions using multiple methodologies.</w:t>
            </w:r>
          </w:p>
        </w:tc>
      </w:tr>
      <w:tr>
        <w:tblPrEx>
          <w:tblW w:w="5000" w:type="pct"/>
        </w:tblPrEx>
        <w:tc>
          <w:tcPr>
            <w:tcW w:w="0" w:type="auto"/>
          </w:tcPr>
          <w:p w:rsidR="00D44002" w:rsidRPr="00F31CE3" w:rsidP="00F31CE3">
            <w:r w:rsidRPr="00F31CE3">
              <w:t> </w:t>
            </w:r>
          </w:p>
        </w:tc>
        <w:tc>
          <w:tcPr>
            <w:tcW w:w="0" w:type="auto"/>
          </w:tcPr>
          <w:p w:rsidR="00D44002" w:rsidRPr="00F31CE3" w:rsidP="00F31CE3">
            <w:r w:rsidRPr="00F31CE3">
              <w:t> </w:t>
            </w:r>
          </w:p>
        </w:tc>
        <w:tc>
          <w:tcPr>
            <w:tcW w:w="0" w:type="auto"/>
          </w:tcPr>
          <w:p w:rsidR="00D44002" w:rsidRPr="00F31CE3" w:rsidP="00F31CE3">
            <w:r w:rsidRPr="00F31CE3">
              <w:rPr>
                <w:rStyle w:val="Strong"/>
              </w:rPr>
              <w:t>1.4</w:t>
            </w:r>
          </w:p>
        </w:tc>
        <w:tc>
          <w:tcPr>
            <w:tcW w:w="0" w:type="auto"/>
          </w:tcPr>
          <w:p w:rsidR="00D44002" w:rsidRPr="00F31CE3" w:rsidP="00F31CE3">
            <w:r w:rsidRPr="00F31CE3">
              <w:t>Consider limitations of analysis methodologies to test validity of conclusions. </w:t>
            </w:r>
          </w:p>
        </w:tc>
      </w:tr>
      <w:tr>
        <w:tblPrEx>
          <w:tblW w:w="5000" w:type="pct"/>
        </w:tblPrEx>
        <w:tc>
          <w:tcPr>
            <w:tcW w:w="0" w:type="auto"/>
          </w:tcPr>
          <w:p w:rsidR="00D44002" w:rsidRPr="00F31CE3" w:rsidP="00F31CE3">
            <w:r w:rsidRPr="00F31CE3">
              <w:t> </w:t>
            </w:r>
          </w:p>
        </w:tc>
        <w:tc>
          <w:tcPr>
            <w:tcW w:w="0" w:type="auto"/>
          </w:tcPr>
          <w:p w:rsidR="00D44002" w:rsidRPr="00F31CE3" w:rsidP="00F31CE3">
            <w:r w:rsidRPr="00F31CE3">
              <w:t> </w:t>
            </w:r>
          </w:p>
        </w:tc>
        <w:tc>
          <w:tcPr>
            <w:tcW w:w="0" w:type="auto"/>
          </w:tcPr>
          <w:p w:rsidR="00D44002" w:rsidRPr="00F31CE3" w:rsidP="00F31CE3">
            <w:r w:rsidRPr="00F31CE3">
              <w:rPr>
                <w:rStyle w:val="Strong"/>
              </w:rPr>
              <w:t>1.5</w:t>
            </w:r>
          </w:p>
        </w:tc>
        <w:tc>
          <w:tcPr>
            <w:tcW w:w="0" w:type="auto"/>
          </w:tcPr>
          <w:p w:rsidR="00D44002" w:rsidRPr="00F31CE3" w:rsidP="00F31CE3">
            <w:r w:rsidRPr="00F31CE3">
              <w:t>Assess any evidential inconsistencies to ascertain if and how they impact conclusions.</w:t>
            </w:r>
          </w:p>
        </w:tc>
      </w:tr>
      <w:tr>
        <w:tblPrEx>
          <w:tblW w:w="5000" w:type="pct"/>
        </w:tblPrEx>
        <w:tc>
          <w:tcPr>
            <w:tcW w:w="0" w:type="auto"/>
          </w:tcPr>
          <w:p w:rsidR="00D44002" w:rsidRPr="00F31CE3" w:rsidP="00F31CE3">
            <w:r w:rsidRPr="00F31CE3">
              <w:t>2</w:t>
            </w:r>
          </w:p>
        </w:tc>
        <w:tc>
          <w:tcPr>
            <w:tcW w:w="0" w:type="auto"/>
          </w:tcPr>
          <w:p w:rsidR="00D44002" w:rsidRPr="00F31CE3" w:rsidP="00F31CE3">
            <w:r w:rsidRPr="00F31CE3">
              <w:rPr>
                <w:rStyle w:val="Strong"/>
              </w:rPr>
              <w:t>Report analysis conclusions for evidentiary purposes</w:t>
            </w:r>
          </w:p>
        </w:tc>
        <w:tc>
          <w:tcPr>
            <w:tcW w:w="0" w:type="auto"/>
          </w:tcPr>
          <w:p w:rsidR="00D44002" w:rsidRPr="00F31CE3" w:rsidP="00F31CE3">
            <w:r w:rsidRPr="00F31CE3">
              <w:rPr>
                <w:rStyle w:val="Strong"/>
              </w:rPr>
              <w:t>2.1</w:t>
            </w:r>
          </w:p>
        </w:tc>
        <w:tc>
          <w:tcPr>
            <w:tcW w:w="0" w:type="auto"/>
          </w:tcPr>
          <w:p w:rsidR="00D44002" w:rsidRPr="00F31CE3" w:rsidP="00F31CE3">
            <w:r w:rsidRPr="00F31CE3">
              <w:t>Review crash analysis to ensure integrity of conclusions. </w:t>
            </w:r>
          </w:p>
        </w:tc>
      </w:tr>
      <w:tr>
        <w:tblPrEx>
          <w:tblW w:w="5000" w:type="pct"/>
        </w:tblPrEx>
        <w:tc>
          <w:tcPr>
            <w:tcW w:w="0" w:type="auto"/>
          </w:tcPr>
          <w:p w:rsidR="00D44002" w:rsidRPr="00F31CE3" w:rsidP="00F31CE3">
            <w:r w:rsidRPr="00F31CE3">
              <w:t> </w:t>
            </w:r>
          </w:p>
        </w:tc>
        <w:tc>
          <w:tcPr>
            <w:tcW w:w="0" w:type="auto"/>
          </w:tcPr>
          <w:p w:rsidR="00D44002" w:rsidRPr="00F31CE3" w:rsidP="00F31CE3">
            <w:r w:rsidRPr="00F31CE3">
              <w:t> </w:t>
            </w:r>
          </w:p>
        </w:tc>
        <w:tc>
          <w:tcPr>
            <w:tcW w:w="0" w:type="auto"/>
          </w:tcPr>
          <w:p w:rsidR="00D44002" w:rsidRPr="00F31CE3" w:rsidP="00F31CE3">
            <w:r w:rsidRPr="00F31CE3">
              <w:rPr>
                <w:rStyle w:val="Strong"/>
              </w:rPr>
              <w:t>2.2</w:t>
            </w:r>
          </w:p>
        </w:tc>
        <w:tc>
          <w:tcPr>
            <w:tcW w:w="0" w:type="auto"/>
          </w:tcPr>
          <w:p w:rsidR="00D44002" w:rsidRPr="00F31CE3" w:rsidP="00F31CE3">
            <w:r w:rsidRPr="00F31CE3">
              <w:t>Report conclusions in accordance with jurisdictional legislation, policies and procedures.</w:t>
            </w:r>
          </w:p>
        </w:tc>
      </w:tr>
      <w:tr>
        <w:tblPrEx>
          <w:tblW w:w="5000" w:type="pct"/>
        </w:tblPrEx>
        <w:tc>
          <w:tcPr>
            <w:tcW w:w="0" w:type="auto"/>
          </w:tcPr>
          <w:p w:rsidR="00D44002" w:rsidRPr="00F31CE3" w:rsidP="00F31CE3">
            <w:r w:rsidRPr="00F31CE3">
              <w:t> </w:t>
            </w:r>
          </w:p>
        </w:tc>
        <w:tc>
          <w:tcPr>
            <w:tcW w:w="0" w:type="auto"/>
          </w:tcPr>
          <w:p w:rsidR="00D44002" w:rsidRPr="00F31CE3" w:rsidP="00F31CE3">
            <w:r w:rsidRPr="00F31CE3">
              <w:t> </w:t>
            </w:r>
          </w:p>
        </w:tc>
        <w:tc>
          <w:tcPr>
            <w:tcW w:w="0" w:type="auto"/>
          </w:tcPr>
          <w:p w:rsidR="00D44002" w:rsidRPr="00F31CE3" w:rsidP="00F31CE3">
            <w:r w:rsidRPr="00F31CE3">
              <w:rPr>
                <w:rStyle w:val="Strong"/>
              </w:rPr>
              <w:t>2.3</w:t>
            </w:r>
          </w:p>
        </w:tc>
        <w:tc>
          <w:tcPr>
            <w:tcW w:w="0" w:type="auto"/>
          </w:tcPr>
          <w:p w:rsidR="00D44002" w:rsidRPr="00F31CE3" w:rsidP="00F31CE3">
            <w:r w:rsidRPr="00F31CE3">
              <w:t>Develop visual representations of applied methodologies to communicate analytical conclusions to different audiences.</w:t>
            </w:r>
          </w:p>
        </w:tc>
      </w:tr>
      <w:tr>
        <w:tblPrEx>
          <w:tblW w:w="5000" w:type="pct"/>
        </w:tblPrEx>
        <w:tc>
          <w:tcPr>
            <w:tcW w:w="0" w:type="auto"/>
          </w:tcPr>
          <w:p w:rsidR="00D44002" w:rsidRPr="00F31CE3" w:rsidP="00F31CE3">
            <w:r w:rsidRPr="00F31CE3">
              <w:t>3</w:t>
            </w:r>
          </w:p>
        </w:tc>
        <w:tc>
          <w:tcPr>
            <w:tcW w:w="0" w:type="auto"/>
          </w:tcPr>
          <w:p w:rsidR="00D44002" w:rsidRPr="00F31CE3" w:rsidP="00F31CE3">
            <w:r w:rsidRPr="00F31CE3">
              <w:rPr>
                <w:rStyle w:val="Strong"/>
              </w:rPr>
              <w:t>Prepare crash analysis conclusions for judicial proceedings  </w:t>
            </w:r>
          </w:p>
        </w:tc>
        <w:tc>
          <w:tcPr>
            <w:tcW w:w="0" w:type="auto"/>
          </w:tcPr>
          <w:p w:rsidR="00D44002" w:rsidRPr="00F31CE3" w:rsidP="00F31CE3">
            <w:r w:rsidRPr="00F31CE3">
              <w:rPr>
                <w:rStyle w:val="Strong"/>
              </w:rPr>
              <w:t>3.1</w:t>
            </w:r>
          </w:p>
        </w:tc>
        <w:tc>
          <w:tcPr>
            <w:tcW w:w="0" w:type="auto"/>
          </w:tcPr>
          <w:p w:rsidR="00D44002" w:rsidRPr="00F31CE3" w:rsidP="00F31CE3">
            <w:r w:rsidRPr="00F31CE3">
              <w:t>Liaise with prosecution and stakeholders to determine case requirements.</w:t>
            </w:r>
          </w:p>
        </w:tc>
      </w:tr>
      <w:tr>
        <w:tblPrEx>
          <w:tblW w:w="5000" w:type="pct"/>
        </w:tblPrEx>
        <w:tc>
          <w:tcPr>
            <w:tcW w:w="0" w:type="auto"/>
          </w:tcPr>
          <w:p w:rsidR="00D44002" w:rsidRPr="00F31CE3" w:rsidP="00F31CE3">
            <w:r w:rsidRPr="00F31CE3">
              <w:t> </w:t>
            </w:r>
          </w:p>
        </w:tc>
        <w:tc>
          <w:tcPr>
            <w:tcW w:w="0" w:type="auto"/>
          </w:tcPr>
          <w:p w:rsidR="00D44002" w:rsidRPr="00F31CE3" w:rsidP="00F31CE3">
            <w:r w:rsidRPr="00F31CE3">
              <w:t> </w:t>
            </w:r>
          </w:p>
        </w:tc>
        <w:tc>
          <w:tcPr>
            <w:tcW w:w="0" w:type="auto"/>
          </w:tcPr>
          <w:p w:rsidR="00D44002" w:rsidRPr="00F31CE3" w:rsidP="00F31CE3">
            <w:r w:rsidRPr="00F31CE3">
              <w:rPr>
                <w:rStyle w:val="Strong"/>
              </w:rPr>
              <w:t>3.2</w:t>
            </w:r>
          </w:p>
        </w:tc>
        <w:tc>
          <w:tcPr>
            <w:tcW w:w="0" w:type="auto"/>
          </w:tcPr>
          <w:p w:rsidR="00D44002" w:rsidRPr="00F31CE3" w:rsidP="00F31CE3">
            <w:r w:rsidRPr="00F31CE3">
              <w:t>Prepare conclusions for judicial proceedings in line with case requirements.</w:t>
            </w:r>
          </w:p>
        </w:tc>
      </w:tr>
      <w:tr>
        <w:tblPrEx>
          <w:tblW w:w="5000" w:type="pct"/>
        </w:tblPrEx>
        <w:tc>
          <w:tcPr>
            <w:tcW w:w="0" w:type="auto"/>
          </w:tcPr>
          <w:p w:rsidR="00D44002" w:rsidRPr="00F31CE3" w:rsidP="00F31CE3">
            <w:r w:rsidRPr="00F31CE3">
              <w:t> </w:t>
            </w:r>
          </w:p>
        </w:tc>
        <w:tc>
          <w:tcPr>
            <w:tcW w:w="0" w:type="auto"/>
          </w:tcPr>
          <w:p w:rsidR="00D44002" w:rsidRPr="00F31CE3" w:rsidP="00F31CE3">
            <w:r w:rsidRPr="00F31CE3">
              <w:t> </w:t>
            </w:r>
          </w:p>
        </w:tc>
        <w:tc>
          <w:tcPr>
            <w:tcW w:w="0" w:type="auto"/>
          </w:tcPr>
          <w:p w:rsidR="00D44002" w:rsidRPr="00F31CE3" w:rsidP="00F31CE3">
            <w:r w:rsidRPr="00F31CE3">
              <w:rPr>
                <w:rStyle w:val="Strong"/>
              </w:rPr>
              <w:t>3.3</w:t>
            </w:r>
          </w:p>
        </w:tc>
        <w:tc>
          <w:tcPr>
            <w:tcW w:w="0" w:type="auto"/>
          </w:tcPr>
          <w:p w:rsidR="00D44002" w:rsidRPr="00F31CE3" w:rsidP="00F31CE3">
            <w:r w:rsidRPr="00F31CE3">
              <w:t>Prepare demonstrative tools, evidence and exhibits for presentation during judicial proceedings.</w:t>
            </w:r>
          </w:p>
        </w:tc>
      </w:tr>
      <w:tr>
        <w:tblPrEx>
          <w:tblW w:w="5000" w:type="pct"/>
        </w:tblPrEx>
        <w:tc>
          <w:tcPr>
            <w:tcW w:w="0" w:type="auto"/>
          </w:tcPr>
          <w:p w:rsidR="00D44002" w:rsidRPr="00F31CE3" w:rsidP="00F31CE3">
            <w:r w:rsidRPr="00F31CE3">
              <w:t>4</w:t>
            </w:r>
          </w:p>
        </w:tc>
        <w:tc>
          <w:tcPr>
            <w:tcW w:w="0" w:type="auto"/>
          </w:tcPr>
          <w:p w:rsidR="00D44002" w:rsidRPr="00F31CE3" w:rsidP="00F31CE3">
            <w:r w:rsidRPr="00F31CE3">
              <w:rPr>
                <w:rStyle w:val="Strong"/>
              </w:rPr>
              <w:t>Communicate crash analysis  </w:t>
            </w:r>
          </w:p>
        </w:tc>
        <w:tc>
          <w:tcPr>
            <w:tcW w:w="0" w:type="auto"/>
          </w:tcPr>
          <w:p w:rsidR="00D44002" w:rsidRPr="00F31CE3" w:rsidP="00F31CE3">
            <w:r w:rsidRPr="00F31CE3">
              <w:rPr>
                <w:rStyle w:val="Strong"/>
              </w:rPr>
              <w:t>4.1</w:t>
            </w:r>
          </w:p>
        </w:tc>
        <w:tc>
          <w:tcPr>
            <w:tcW w:w="0" w:type="auto"/>
          </w:tcPr>
          <w:p w:rsidR="00D44002" w:rsidRPr="00F31CE3" w:rsidP="00F31CE3">
            <w:r w:rsidRPr="00F31CE3">
              <w:t>Communicate analysis in a clear, concise and articulate manner to audiences.</w:t>
            </w:r>
          </w:p>
        </w:tc>
      </w:tr>
      <w:tr>
        <w:tblPrEx>
          <w:tblW w:w="5000" w:type="pct"/>
        </w:tblPrEx>
        <w:tc>
          <w:tcPr>
            <w:tcW w:w="0" w:type="auto"/>
          </w:tcPr>
          <w:p w:rsidR="00D44002" w:rsidRPr="00F31CE3" w:rsidP="00F31CE3">
            <w:r w:rsidRPr="00F31CE3">
              <w:t> </w:t>
            </w:r>
          </w:p>
        </w:tc>
        <w:tc>
          <w:tcPr>
            <w:tcW w:w="0" w:type="auto"/>
          </w:tcPr>
          <w:p w:rsidR="00D44002" w:rsidRPr="00F31CE3" w:rsidP="00F31CE3">
            <w:r w:rsidRPr="00F31CE3">
              <w:t> </w:t>
            </w:r>
          </w:p>
        </w:tc>
        <w:tc>
          <w:tcPr>
            <w:tcW w:w="0" w:type="auto"/>
          </w:tcPr>
          <w:p w:rsidR="00D44002" w:rsidRPr="00F31CE3" w:rsidP="00F31CE3">
            <w:r w:rsidRPr="00F31CE3">
              <w:rPr>
                <w:rStyle w:val="Strong"/>
              </w:rPr>
              <w:t>4.2</w:t>
            </w:r>
          </w:p>
        </w:tc>
        <w:tc>
          <w:tcPr>
            <w:tcW w:w="0" w:type="auto"/>
          </w:tcPr>
          <w:p w:rsidR="00D44002" w:rsidRPr="00F31CE3" w:rsidP="00F31CE3">
            <w:r w:rsidRPr="00F31CE3">
              <w:t>Communicate conclusions in accordance with jurisdictional legislation, policies and procedures.</w:t>
            </w:r>
          </w:p>
        </w:tc>
      </w:tr>
      <w:tr>
        <w:tblPrEx>
          <w:tblW w:w="5000" w:type="pct"/>
        </w:tblPrEx>
        <w:tc>
          <w:tcPr>
            <w:tcW w:w="0" w:type="auto"/>
          </w:tcPr>
          <w:p w:rsidR="00D44002" w:rsidRPr="00F31CE3" w:rsidP="00F31CE3">
            <w:r w:rsidRPr="00F31CE3">
              <w:t>5</w:t>
            </w:r>
          </w:p>
        </w:tc>
        <w:tc>
          <w:tcPr>
            <w:tcW w:w="0" w:type="auto"/>
          </w:tcPr>
          <w:p w:rsidR="00D44002" w:rsidRPr="00F31CE3" w:rsidP="00F31CE3">
            <w:r w:rsidRPr="00F31CE3">
              <w:rPr>
                <w:rStyle w:val="Strong"/>
              </w:rPr>
              <w:t>Deliver crash analysis evidence during court proceedings</w:t>
            </w:r>
          </w:p>
        </w:tc>
        <w:tc>
          <w:tcPr>
            <w:tcW w:w="0" w:type="auto"/>
          </w:tcPr>
          <w:p w:rsidR="00D44002" w:rsidRPr="00F31CE3" w:rsidP="00F31CE3">
            <w:r w:rsidRPr="00F31CE3">
              <w:rPr>
                <w:rStyle w:val="Strong"/>
              </w:rPr>
              <w:t>5.1</w:t>
            </w:r>
          </w:p>
        </w:tc>
        <w:tc>
          <w:tcPr>
            <w:tcW w:w="0" w:type="auto"/>
          </w:tcPr>
          <w:p w:rsidR="00D44002" w:rsidRPr="00F31CE3" w:rsidP="00F31CE3">
            <w:r w:rsidRPr="00F31CE3">
              <w:t>Provide crash analysis evidence during judicial proceedings.</w:t>
            </w:r>
          </w:p>
        </w:tc>
      </w:tr>
      <w:tr>
        <w:tblPrEx>
          <w:tblW w:w="5000" w:type="pct"/>
        </w:tblPrEx>
        <w:tc>
          <w:tcPr>
            <w:tcW w:w="0" w:type="auto"/>
          </w:tcPr>
          <w:p w:rsidR="00D44002" w:rsidRPr="00F31CE3" w:rsidP="00F31CE3">
            <w:r w:rsidRPr="00F31CE3">
              <w:t> </w:t>
            </w:r>
          </w:p>
        </w:tc>
        <w:tc>
          <w:tcPr>
            <w:tcW w:w="0" w:type="auto"/>
          </w:tcPr>
          <w:p w:rsidR="00D44002" w:rsidRPr="00F31CE3" w:rsidP="00F31CE3">
            <w:r w:rsidRPr="00F31CE3">
              <w:t> </w:t>
            </w:r>
          </w:p>
        </w:tc>
        <w:tc>
          <w:tcPr>
            <w:tcW w:w="0" w:type="auto"/>
          </w:tcPr>
          <w:p w:rsidR="00D44002" w:rsidRPr="00F31CE3" w:rsidP="00F31CE3">
            <w:r w:rsidRPr="00F31CE3">
              <w:rPr>
                <w:rStyle w:val="Strong"/>
              </w:rPr>
              <w:t>5.2</w:t>
            </w:r>
          </w:p>
        </w:tc>
        <w:tc>
          <w:tcPr>
            <w:tcW w:w="0" w:type="auto"/>
          </w:tcPr>
          <w:p w:rsidR="00D44002" w:rsidRPr="00F31CE3" w:rsidP="00F31CE3">
            <w:r w:rsidRPr="00F31CE3">
              <w:t>Present exhibits in accordance with judicial requirements.</w:t>
            </w:r>
          </w:p>
        </w:tc>
      </w:tr>
      <w:tr>
        <w:tblPrEx>
          <w:tblW w:w="5000" w:type="pct"/>
        </w:tblPrEx>
        <w:tc>
          <w:tcPr>
            <w:tcW w:w="0" w:type="auto"/>
          </w:tcPr>
          <w:p w:rsidR="00D44002" w:rsidRPr="00F31CE3" w:rsidP="00F31CE3">
            <w:r w:rsidRPr="00F31CE3">
              <w:t> </w:t>
            </w:r>
          </w:p>
        </w:tc>
        <w:tc>
          <w:tcPr>
            <w:tcW w:w="0" w:type="auto"/>
          </w:tcPr>
          <w:p w:rsidR="00D44002" w:rsidRPr="00F31CE3" w:rsidP="00F31CE3">
            <w:r w:rsidRPr="00F31CE3">
              <w:t> </w:t>
            </w:r>
          </w:p>
        </w:tc>
        <w:tc>
          <w:tcPr>
            <w:tcW w:w="0" w:type="auto"/>
          </w:tcPr>
          <w:p w:rsidR="00D44002" w:rsidRPr="00F31CE3" w:rsidP="00F31CE3">
            <w:r w:rsidRPr="00F31CE3">
              <w:rPr>
                <w:rStyle w:val="Strong"/>
              </w:rPr>
              <w:t>5.3</w:t>
            </w:r>
          </w:p>
        </w:tc>
        <w:tc>
          <w:tcPr>
            <w:tcW w:w="0" w:type="auto"/>
          </w:tcPr>
          <w:p w:rsidR="00D44002" w:rsidRPr="00F31CE3" w:rsidP="00F31CE3">
            <w:r w:rsidRPr="00F31CE3">
              <w:t>Use demonstrative tools to present conclusions and enhance understanding of crash analysis.</w:t>
            </w:r>
          </w:p>
        </w:tc>
      </w:tr>
    </w:tbl>
    <w:p w:rsidR="00D44002" w:rsidRPr="00F31CE3" w:rsidP="00F31CE3">
      <w:pPr>
        <w:pStyle w:val="Heading1"/>
      </w:pPr>
      <w:r w:rsidRPr="00F31CE3">
        <w:t>Foundation Skills</w:t>
      </w:r>
    </w:p>
    <w:p w:rsidR="00D44002" w:rsidRPr="00F31CE3" w:rsidP="00F31CE3">
      <w:r w:rsidRPr="00F31CE3">
        <w:t>Foundation skills essential to performance are explicit in the performance criteria of this unit of competency.</w:t>
      </w:r>
    </w:p>
    <w:p w:rsidR="00D44002" w:rsidRPr="00F31CE3" w:rsidP="00F31CE3">
      <w:pPr>
        <w:pStyle w:val="Heading1"/>
      </w:pPr>
      <w:r w:rsidRPr="00F31CE3">
        <w:t>Range of conditions</w:t>
      </w:r>
    </w:p>
    <w:p w:rsidR="00D44002" w:rsidRPr="00F31CE3" w:rsidP="00F31CE3">
      <w:r w:rsidRPr="00F31CE3">
        <w:t>Range is restricted to essential operating conditions and any other variables essential to the work environment.</w:t>
      </w:r>
    </w:p>
    <w:p w:rsidR="00D44002" w:rsidRPr="00F31CE3" w:rsidP="00F31CE3">
      <w:r w:rsidRPr="00F31CE3">
        <w:t>Non-essential conditions may be found in the POL Police Training Package Companion Volume Implementation Guide.</w:t>
      </w:r>
    </w:p>
    <w:p w:rsidR="00D44002" w:rsidRPr="00F31CE3" w:rsidP="00F31CE3">
      <w:pPr>
        <w:pStyle w:val="Heading1"/>
      </w:pPr>
      <w:r w:rsidRPr="00F31CE3">
        <w:t>Unit Mapping Information</w:t>
      </w:r>
    </w:p>
    <w:tbl>
      <w:tblPr>
        <w:tblStyle w:val="TableGrid"/>
        <w:tblW w:w="5000" w:type="pct"/>
        <w:jc w:val="left"/>
      </w:tblPr>
      <w:tblGrid>
        <w:gridCol w:w="2265"/>
        <w:gridCol w:w="2264"/>
        <w:gridCol w:w="2267"/>
        <w:gridCol w:w="2264"/>
      </w:tblGrid>
      <w:tr>
        <w:tblPrEx>
          <w:tblW w:w="5000" w:type="pct"/>
        </w:tblPrEx>
        <w:tc>
          <w:tcPr>
            <w:tcW w:w="2268" w:type="dxa"/>
            <w:noWrap w:val="0"/>
            <w:tcMar>
              <w:top w:w="15" w:type="dxa"/>
              <w:left w:w="15" w:type="dxa"/>
              <w:bottom w:w="15" w:type="dxa"/>
              <w:right w:w="15" w:type="dxa"/>
            </w:tcMar>
            <w:hideMark/>
          </w:tcPr>
          <w:p w:rsidR="00D44002" w:rsidRPr="00F31CE3" w:rsidP="00F31CE3">
            <w:r w:rsidRPr="00F31CE3">
              <w:t>Current Code and Title</w:t>
            </w:r>
          </w:p>
        </w:tc>
        <w:tc>
          <w:tcPr>
            <w:tcW w:w="2268" w:type="dxa"/>
            <w:noWrap w:val="0"/>
            <w:tcMar>
              <w:top w:w="15" w:type="dxa"/>
              <w:left w:w="15" w:type="dxa"/>
              <w:bottom w:w="15" w:type="dxa"/>
              <w:right w:w="15" w:type="dxa"/>
            </w:tcMar>
            <w:hideMark/>
          </w:tcPr>
          <w:p w:rsidR="00D44002" w:rsidRPr="00F31CE3" w:rsidP="00F31CE3">
            <w:r w:rsidRPr="00F31CE3">
              <w:t>Previous Code and Title</w:t>
            </w:r>
          </w:p>
        </w:tc>
        <w:tc>
          <w:tcPr>
            <w:tcW w:w="2268" w:type="dxa"/>
            <w:noWrap w:val="0"/>
            <w:tcMar>
              <w:top w:w="15" w:type="dxa"/>
              <w:left w:w="15" w:type="dxa"/>
              <w:bottom w:w="15" w:type="dxa"/>
              <w:right w:w="15" w:type="dxa"/>
            </w:tcMar>
            <w:hideMark/>
          </w:tcPr>
          <w:p w:rsidR="00D44002" w:rsidRPr="00F31CE3" w:rsidP="00F31CE3">
            <w:r w:rsidRPr="00F31CE3">
              <w:t>Comments</w:t>
            </w:r>
          </w:p>
        </w:tc>
        <w:tc>
          <w:tcPr>
            <w:tcW w:w="2268" w:type="dxa"/>
            <w:noWrap w:val="0"/>
            <w:tcMar>
              <w:top w:w="15" w:type="dxa"/>
              <w:left w:w="15" w:type="dxa"/>
              <w:bottom w:w="15" w:type="dxa"/>
              <w:right w:w="15" w:type="dxa"/>
            </w:tcMar>
            <w:hideMark/>
          </w:tcPr>
          <w:p w:rsidR="00D44002" w:rsidRPr="00F31CE3" w:rsidP="00F31CE3">
            <w:r w:rsidRPr="00F31CE3">
              <w:t>Equivalence</w:t>
            </w:r>
          </w:p>
        </w:tc>
      </w:tr>
      <w:tr>
        <w:tblPrEx>
          <w:tblW w:w="5000" w:type="pct"/>
        </w:tblPrEx>
        <w:tc>
          <w:tcPr>
            <w:tcW w:w="2268" w:type="dxa"/>
            <w:noWrap w:val="0"/>
            <w:tcMar>
              <w:top w:w="15" w:type="dxa"/>
              <w:left w:w="15" w:type="dxa"/>
              <w:bottom w:w="15" w:type="dxa"/>
              <w:right w:w="15" w:type="dxa"/>
            </w:tcMar>
            <w:hideMark/>
          </w:tcPr>
          <w:p w:rsidR="00D44002" w:rsidRPr="00F31CE3" w:rsidP="00F31CE3">
            <w:r w:rsidRPr="00F31CE3">
              <w:t>POLINV043 Present evidence on crash incidents</w:t>
            </w:r>
          </w:p>
        </w:tc>
        <w:tc>
          <w:tcPr>
            <w:tcW w:w="2268" w:type="dxa"/>
            <w:noWrap w:val="0"/>
            <w:tcMar>
              <w:top w:w="15" w:type="dxa"/>
              <w:left w:w="15" w:type="dxa"/>
              <w:bottom w:w="15" w:type="dxa"/>
              <w:right w:w="15" w:type="dxa"/>
            </w:tcMar>
            <w:hideMark/>
          </w:tcPr>
          <w:p w:rsidR="00D44002" w:rsidRPr="00F31CE3" w:rsidP="00F31CE3">
            <w:r w:rsidRPr="00F31CE3">
              <w:t>POLINV024 Manage quality of crash analysis</w:t>
            </w:r>
          </w:p>
        </w:tc>
        <w:tc>
          <w:tcPr>
            <w:tcW w:w="2268"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Changes include updates to: </w:t>
            </w:r>
          </w:p>
          <w:p>
            <w:pPr>
              <w:numPr>
                <w:ilvl w:val="0"/>
                <w:numId w:val="2"/>
              </w:numPr>
              <w:spacing w:before="240" w:after="0" w:line="240" w:lineRule="auto"/>
              <w:ind w:left="720" w:hanging="210"/>
              <w:jc w:val="left"/>
              <w:rPr>
                <w:rFonts w:eastAsia="Times New Roman"/>
                <w:kern w:val="0"/>
                <w14:ligatures w14:val="none"/>
              </w:rPr>
            </w:pPr>
            <w:r>
              <w:rPr>
                <w:rFonts w:ascii="Times New Roman" w:eastAsia="Times New Roman" w:hAnsi="Times New Roman" w:cs="Times New Roman"/>
                <w:kern w:val="0"/>
                <w14:ligatures w14:val="none"/>
              </w:rPr>
              <w:t>Unit Code</w:t>
            </w:r>
          </w:p>
          <w:p>
            <w:pPr>
              <w:numPr>
                <w:ilvl w:val="0"/>
                <w:numId w:val="2"/>
              </w:numPr>
              <w:spacing w:before="0" w:after="0" w:line="240" w:lineRule="auto"/>
              <w:ind w:left="720" w:hanging="210"/>
              <w:jc w:val="left"/>
              <w:rPr>
                <w:rFonts w:eastAsia="Times New Roman"/>
                <w:kern w:val="0"/>
                <w14:ligatures w14:val="none"/>
              </w:rPr>
            </w:pPr>
            <w:r>
              <w:rPr>
                <w:rFonts w:ascii="Times New Roman" w:eastAsia="Times New Roman" w:hAnsi="Times New Roman" w:cs="Times New Roman"/>
                <w:kern w:val="0"/>
                <w14:ligatures w14:val="none"/>
              </w:rPr>
              <w:t>Unit Title</w:t>
            </w:r>
          </w:p>
          <w:p>
            <w:pPr>
              <w:numPr>
                <w:ilvl w:val="0"/>
                <w:numId w:val="2"/>
              </w:numPr>
              <w:spacing w:before="0" w:after="0" w:line="240" w:lineRule="auto"/>
              <w:ind w:left="720" w:hanging="210"/>
              <w:jc w:val="left"/>
              <w:rPr>
                <w:rFonts w:eastAsia="Times New Roman"/>
                <w:kern w:val="0"/>
                <w14:ligatures w14:val="none"/>
              </w:rPr>
            </w:pPr>
            <w:r>
              <w:rPr>
                <w:rFonts w:ascii="Times New Roman" w:eastAsia="Times New Roman" w:hAnsi="Times New Roman" w:cs="Times New Roman"/>
                <w:kern w:val="0"/>
                <w14:ligatures w14:val="none"/>
              </w:rPr>
              <w:t>Application</w:t>
            </w:r>
          </w:p>
          <w:p>
            <w:pPr>
              <w:numPr>
                <w:ilvl w:val="0"/>
                <w:numId w:val="2"/>
              </w:numPr>
              <w:spacing w:before="0" w:after="0" w:line="240" w:lineRule="auto"/>
              <w:ind w:left="720" w:hanging="210"/>
              <w:jc w:val="left"/>
              <w:rPr>
                <w:rFonts w:eastAsia="Times New Roman"/>
                <w:kern w:val="0"/>
                <w14:ligatures w14:val="none"/>
              </w:rPr>
            </w:pPr>
            <w:r>
              <w:rPr>
                <w:rFonts w:ascii="Times New Roman" w:eastAsia="Times New Roman" w:hAnsi="Times New Roman" w:cs="Times New Roman"/>
                <w:kern w:val="0"/>
                <w14:ligatures w14:val="none"/>
              </w:rPr>
              <w:t>Elements</w:t>
            </w:r>
          </w:p>
          <w:p>
            <w:pPr>
              <w:numPr>
                <w:ilvl w:val="0"/>
                <w:numId w:val="2"/>
              </w:numPr>
              <w:spacing w:before="0" w:after="0" w:line="240" w:lineRule="auto"/>
              <w:ind w:left="720" w:hanging="210"/>
              <w:jc w:val="left"/>
              <w:rPr>
                <w:rFonts w:eastAsia="Times New Roman"/>
                <w:kern w:val="0"/>
                <w14:ligatures w14:val="none"/>
              </w:rPr>
            </w:pPr>
            <w:r>
              <w:rPr>
                <w:rFonts w:ascii="Times New Roman" w:eastAsia="Times New Roman" w:hAnsi="Times New Roman" w:cs="Times New Roman"/>
                <w:kern w:val="0"/>
                <w14:ligatures w14:val="none"/>
              </w:rPr>
              <w:t>Performance Criteria</w:t>
            </w:r>
          </w:p>
          <w:p>
            <w:pPr>
              <w:numPr>
                <w:ilvl w:val="0"/>
                <w:numId w:val="2"/>
              </w:numPr>
              <w:spacing w:before="0" w:after="0" w:line="240" w:lineRule="auto"/>
              <w:ind w:left="720" w:hanging="210"/>
              <w:jc w:val="left"/>
              <w:rPr>
                <w:rFonts w:eastAsia="Times New Roman"/>
                <w:kern w:val="0"/>
                <w14:ligatures w14:val="none"/>
              </w:rPr>
            </w:pPr>
            <w:r>
              <w:rPr>
                <w:rFonts w:ascii="Times New Roman" w:eastAsia="Times New Roman" w:hAnsi="Times New Roman" w:cs="Times New Roman"/>
                <w:kern w:val="0"/>
                <w14:ligatures w14:val="none"/>
              </w:rPr>
              <w:t>Performance Evidence</w:t>
            </w:r>
          </w:p>
          <w:p>
            <w:pPr>
              <w:numPr>
                <w:ilvl w:val="0"/>
                <w:numId w:val="2"/>
              </w:numPr>
              <w:spacing w:before="0" w:after="0" w:line="240" w:lineRule="auto"/>
              <w:ind w:left="720" w:hanging="210"/>
              <w:jc w:val="left"/>
              <w:rPr>
                <w:rFonts w:eastAsia="Times New Roman"/>
                <w:kern w:val="0"/>
                <w14:ligatures w14:val="none"/>
              </w:rPr>
            </w:pPr>
            <w:r>
              <w:rPr>
                <w:rFonts w:ascii="Times New Roman" w:eastAsia="Times New Roman" w:hAnsi="Times New Roman" w:cs="Times New Roman"/>
                <w:kern w:val="0"/>
                <w14:ligatures w14:val="none"/>
              </w:rPr>
              <w:t>Knowledge Evidence</w:t>
            </w:r>
          </w:p>
          <w:p>
            <w:pPr>
              <w:numPr>
                <w:ilvl w:val="0"/>
                <w:numId w:val="2"/>
              </w:numPr>
              <w:spacing w:before="0" w:after="240" w:line="240" w:lineRule="auto"/>
              <w:ind w:left="720" w:hanging="210"/>
              <w:jc w:val="left"/>
              <w:rPr>
                <w:rFonts w:eastAsia="Times New Roman"/>
                <w:kern w:val="0"/>
                <w14:ligatures w14:val="none"/>
              </w:rPr>
            </w:pPr>
            <w:r>
              <w:rPr>
                <w:rFonts w:ascii="Times New Roman" w:eastAsia="Times New Roman" w:hAnsi="Times New Roman" w:cs="Times New Roman"/>
                <w:kern w:val="0"/>
                <w14:ligatures w14:val="none"/>
              </w:rPr>
              <w:t>Assessment Conditions</w:t>
            </w:r>
          </w:p>
          <w:p w:rsidR="00D44002" w:rsidRPr="00F31CE3" w:rsidP="00F31CE3"/>
        </w:tc>
        <w:tc>
          <w:tcPr>
            <w:tcW w:w="2268" w:type="dxa"/>
            <w:noWrap w:val="0"/>
            <w:tcMar>
              <w:top w:w="15" w:type="dxa"/>
              <w:left w:w="15" w:type="dxa"/>
              <w:bottom w:w="15" w:type="dxa"/>
              <w:right w:w="15" w:type="dxa"/>
            </w:tcMar>
            <w:hideMark/>
          </w:tcPr>
          <w:p w:rsidR="00D44002" w:rsidRPr="00F31CE3" w:rsidP="00F31CE3">
            <w:r w:rsidRPr="00F31CE3">
              <w:t>Not equivalent</w:t>
            </w:r>
          </w:p>
        </w:tc>
      </w:tr>
      <w:tr>
        <w:tblPrEx>
          <w:tblW w:w="5000" w:type="pct"/>
        </w:tblPrEx>
        <w:tc>
          <w:tcPr>
            <w:tcW w:w="2268" w:type="dxa"/>
            <w:noWrap w:val="0"/>
            <w:tcMar>
              <w:top w:w="15" w:type="dxa"/>
              <w:left w:w="15" w:type="dxa"/>
              <w:bottom w:w="15" w:type="dxa"/>
              <w:right w:w="15" w:type="dxa"/>
            </w:tcMar>
            <w:hideMark/>
          </w:tcPr>
          <w:p w:rsidR="00D44002" w:rsidRPr="00F31CE3" w:rsidP="00F31CE3">
            <w:r w:rsidRPr="00F31CE3">
              <w:t>Current Code and Title</w:t>
            </w:r>
          </w:p>
        </w:tc>
        <w:tc>
          <w:tcPr>
            <w:tcW w:w="2268" w:type="dxa"/>
            <w:noWrap w:val="0"/>
            <w:tcMar>
              <w:top w:w="15" w:type="dxa"/>
              <w:left w:w="15" w:type="dxa"/>
              <w:bottom w:w="15" w:type="dxa"/>
              <w:right w:w="15" w:type="dxa"/>
            </w:tcMar>
            <w:hideMark/>
          </w:tcPr>
          <w:p w:rsidR="00D44002" w:rsidRPr="00F31CE3" w:rsidP="00F31CE3">
            <w:r w:rsidRPr="00F31CE3">
              <w:t>Previous Code and Title</w:t>
            </w:r>
          </w:p>
        </w:tc>
        <w:tc>
          <w:tcPr>
            <w:tcW w:w="2268" w:type="dxa"/>
            <w:noWrap w:val="0"/>
            <w:tcMar>
              <w:top w:w="15" w:type="dxa"/>
              <w:left w:w="15" w:type="dxa"/>
              <w:bottom w:w="15" w:type="dxa"/>
              <w:right w:w="15" w:type="dxa"/>
            </w:tcMar>
            <w:hideMark/>
          </w:tcPr>
          <w:p w:rsidR="00D44002" w:rsidRPr="00F31CE3" w:rsidP="00F31CE3">
            <w:r w:rsidRPr="00F31CE3">
              <w:t>Comments</w:t>
            </w:r>
          </w:p>
        </w:tc>
        <w:tc>
          <w:tcPr>
            <w:tcW w:w="2268" w:type="dxa"/>
            <w:noWrap w:val="0"/>
            <w:tcMar>
              <w:top w:w="15" w:type="dxa"/>
              <w:left w:w="15" w:type="dxa"/>
              <w:bottom w:w="15" w:type="dxa"/>
              <w:right w:w="15" w:type="dxa"/>
            </w:tcMar>
            <w:hideMark/>
          </w:tcPr>
          <w:p w:rsidR="00D44002" w:rsidRPr="00F31CE3" w:rsidP="00F31CE3">
            <w:r w:rsidRPr="00F31CE3">
              <w:t>Equivalence</w:t>
            </w:r>
          </w:p>
        </w:tc>
      </w:tr>
      <w:tr>
        <w:tblPrEx>
          <w:tblW w:w="5000" w:type="pct"/>
        </w:tblPrEx>
        <w:tc>
          <w:tcPr>
            <w:tcW w:w="2268" w:type="dxa"/>
            <w:noWrap w:val="0"/>
            <w:tcMar>
              <w:top w:w="15" w:type="dxa"/>
              <w:left w:w="15" w:type="dxa"/>
              <w:bottom w:w="15" w:type="dxa"/>
              <w:right w:w="15" w:type="dxa"/>
            </w:tcMar>
            <w:hideMark/>
          </w:tcPr>
          <w:p w:rsidR="00D44002" w:rsidRPr="00F31CE3" w:rsidP="00F31CE3">
            <w:r w:rsidRPr="00F31CE3">
              <w:t>POLINV043 Present evidence on crash incidents</w:t>
            </w:r>
          </w:p>
        </w:tc>
        <w:tc>
          <w:tcPr>
            <w:tcW w:w="2268" w:type="dxa"/>
            <w:noWrap w:val="0"/>
            <w:tcMar>
              <w:top w:w="15" w:type="dxa"/>
              <w:left w:w="15" w:type="dxa"/>
              <w:bottom w:w="15" w:type="dxa"/>
              <w:right w:w="15" w:type="dxa"/>
            </w:tcMar>
            <w:hideMark/>
          </w:tcPr>
          <w:p w:rsidR="00D44002" w:rsidRPr="00F31CE3" w:rsidP="00F31CE3">
            <w:r w:rsidRPr="00F31CE3">
              <w:t>POLINV025 Present evidence on complex crash incidents</w:t>
            </w:r>
          </w:p>
        </w:tc>
        <w:tc>
          <w:tcPr>
            <w:tcW w:w="2268"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Changes include updates to: </w:t>
            </w:r>
          </w:p>
          <w:p>
            <w:pPr>
              <w:numPr>
                <w:ilvl w:val="0"/>
                <w:numId w:val="3"/>
              </w:numPr>
              <w:spacing w:before="240" w:after="0" w:line="240" w:lineRule="auto"/>
              <w:ind w:left="720" w:hanging="210"/>
              <w:jc w:val="left"/>
              <w:rPr>
                <w:rFonts w:eastAsia="Times New Roman"/>
                <w:kern w:val="0"/>
                <w14:ligatures w14:val="none"/>
              </w:rPr>
            </w:pPr>
            <w:r>
              <w:rPr>
                <w:rFonts w:ascii="Times New Roman" w:eastAsia="Times New Roman" w:hAnsi="Times New Roman" w:cs="Times New Roman"/>
                <w:kern w:val="0"/>
                <w14:ligatures w14:val="none"/>
              </w:rPr>
              <w:t>Unit Code</w:t>
            </w:r>
          </w:p>
          <w:p>
            <w:pPr>
              <w:numPr>
                <w:ilvl w:val="0"/>
                <w:numId w:val="3"/>
              </w:numPr>
              <w:spacing w:before="0" w:after="0" w:line="240" w:lineRule="auto"/>
              <w:ind w:left="720" w:hanging="210"/>
              <w:jc w:val="left"/>
              <w:rPr>
                <w:rFonts w:eastAsia="Times New Roman"/>
                <w:kern w:val="0"/>
                <w14:ligatures w14:val="none"/>
              </w:rPr>
            </w:pPr>
            <w:r>
              <w:rPr>
                <w:rFonts w:ascii="Times New Roman" w:eastAsia="Times New Roman" w:hAnsi="Times New Roman" w:cs="Times New Roman"/>
                <w:kern w:val="0"/>
                <w14:ligatures w14:val="none"/>
              </w:rPr>
              <w:t>Unit Title</w:t>
            </w:r>
          </w:p>
          <w:p>
            <w:pPr>
              <w:numPr>
                <w:ilvl w:val="0"/>
                <w:numId w:val="3"/>
              </w:numPr>
              <w:spacing w:before="0" w:after="0" w:line="240" w:lineRule="auto"/>
              <w:ind w:left="720" w:hanging="210"/>
              <w:jc w:val="left"/>
              <w:rPr>
                <w:rFonts w:eastAsia="Times New Roman"/>
                <w:kern w:val="0"/>
                <w14:ligatures w14:val="none"/>
              </w:rPr>
            </w:pPr>
            <w:r>
              <w:rPr>
                <w:rFonts w:ascii="Times New Roman" w:eastAsia="Times New Roman" w:hAnsi="Times New Roman" w:cs="Times New Roman"/>
                <w:kern w:val="0"/>
                <w14:ligatures w14:val="none"/>
              </w:rPr>
              <w:t>Application</w:t>
            </w:r>
          </w:p>
          <w:p>
            <w:pPr>
              <w:numPr>
                <w:ilvl w:val="0"/>
                <w:numId w:val="3"/>
              </w:numPr>
              <w:spacing w:before="0" w:after="0" w:line="240" w:lineRule="auto"/>
              <w:ind w:left="720" w:hanging="210"/>
              <w:jc w:val="left"/>
              <w:rPr>
                <w:rFonts w:eastAsia="Times New Roman"/>
                <w:kern w:val="0"/>
                <w14:ligatures w14:val="none"/>
              </w:rPr>
            </w:pPr>
            <w:r>
              <w:rPr>
                <w:rFonts w:ascii="Times New Roman" w:eastAsia="Times New Roman" w:hAnsi="Times New Roman" w:cs="Times New Roman"/>
                <w:kern w:val="0"/>
                <w14:ligatures w14:val="none"/>
              </w:rPr>
              <w:t>Elements</w:t>
            </w:r>
          </w:p>
          <w:p>
            <w:pPr>
              <w:numPr>
                <w:ilvl w:val="0"/>
                <w:numId w:val="3"/>
              </w:numPr>
              <w:spacing w:before="0" w:after="0" w:line="240" w:lineRule="auto"/>
              <w:ind w:left="720" w:hanging="210"/>
              <w:jc w:val="left"/>
              <w:rPr>
                <w:rFonts w:eastAsia="Times New Roman"/>
                <w:kern w:val="0"/>
                <w14:ligatures w14:val="none"/>
              </w:rPr>
            </w:pPr>
            <w:r>
              <w:rPr>
                <w:rFonts w:ascii="Times New Roman" w:eastAsia="Times New Roman" w:hAnsi="Times New Roman" w:cs="Times New Roman"/>
                <w:kern w:val="0"/>
                <w14:ligatures w14:val="none"/>
              </w:rPr>
              <w:t>Performance Criteria</w:t>
            </w:r>
          </w:p>
          <w:p>
            <w:pPr>
              <w:numPr>
                <w:ilvl w:val="0"/>
                <w:numId w:val="3"/>
              </w:numPr>
              <w:spacing w:before="0" w:after="0" w:line="240" w:lineRule="auto"/>
              <w:ind w:left="720" w:hanging="210"/>
              <w:jc w:val="left"/>
              <w:rPr>
                <w:rFonts w:eastAsia="Times New Roman"/>
                <w:kern w:val="0"/>
                <w14:ligatures w14:val="none"/>
              </w:rPr>
            </w:pPr>
            <w:r>
              <w:rPr>
                <w:rFonts w:ascii="Times New Roman" w:eastAsia="Times New Roman" w:hAnsi="Times New Roman" w:cs="Times New Roman"/>
                <w:kern w:val="0"/>
                <w14:ligatures w14:val="none"/>
              </w:rPr>
              <w:t>Performance Evidence</w:t>
            </w:r>
          </w:p>
          <w:p>
            <w:pPr>
              <w:numPr>
                <w:ilvl w:val="0"/>
                <w:numId w:val="3"/>
              </w:numPr>
              <w:spacing w:before="0" w:after="0" w:line="240" w:lineRule="auto"/>
              <w:ind w:left="720" w:hanging="210"/>
              <w:jc w:val="left"/>
              <w:rPr>
                <w:rFonts w:eastAsia="Times New Roman"/>
                <w:kern w:val="0"/>
                <w14:ligatures w14:val="none"/>
              </w:rPr>
            </w:pPr>
            <w:r>
              <w:rPr>
                <w:rFonts w:ascii="Times New Roman" w:eastAsia="Times New Roman" w:hAnsi="Times New Roman" w:cs="Times New Roman"/>
                <w:kern w:val="0"/>
                <w14:ligatures w14:val="none"/>
              </w:rPr>
              <w:t>Knowledge Evidence</w:t>
            </w:r>
          </w:p>
          <w:p>
            <w:pPr>
              <w:numPr>
                <w:ilvl w:val="0"/>
                <w:numId w:val="3"/>
              </w:numPr>
              <w:spacing w:before="0" w:after="240" w:line="240" w:lineRule="auto"/>
              <w:ind w:left="720" w:hanging="210"/>
              <w:jc w:val="left"/>
              <w:rPr>
                <w:rFonts w:eastAsia="Times New Roman"/>
                <w:kern w:val="0"/>
                <w14:ligatures w14:val="none"/>
              </w:rPr>
            </w:pPr>
            <w:r>
              <w:rPr>
                <w:rFonts w:ascii="Times New Roman" w:eastAsia="Times New Roman" w:hAnsi="Times New Roman" w:cs="Times New Roman"/>
                <w:kern w:val="0"/>
                <w14:ligatures w14:val="none"/>
              </w:rPr>
              <w:t>Assessment Conditions</w:t>
            </w:r>
          </w:p>
          <w:p w:rsidR="00D44002" w:rsidRPr="00F31CE3" w:rsidP="00F31CE3"/>
        </w:tc>
        <w:tc>
          <w:tcPr>
            <w:tcW w:w="2268" w:type="dxa"/>
            <w:noWrap w:val="0"/>
            <w:tcMar>
              <w:top w:w="15" w:type="dxa"/>
              <w:left w:w="15" w:type="dxa"/>
              <w:bottom w:w="15" w:type="dxa"/>
              <w:right w:w="15" w:type="dxa"/>
            </w:tcMar>
            <w:hideMark/>
          </w:tcPr>
          <w:p w:rsidR="00D44002" w:rsidRPr="00F31CE3" w:rsidP="00F31CE3">
            <w:r w:rsidRPr="00F31CE3">
              <w:t>Not equivalent</w:t>
            </w:r>
          </w:p>
        </w:tc>
      </w:tr>
    </w:tbl>
    <w:p w:rsidR="00D44002" w:rsidRPr="00F31CE3" w:rsidP="00F31CE3">
      <w:pPr>
        <w:sectPr w:rsidSect="00F31508">
          <w:headerReference w:type="even" r:id="rId7"/>
          <w:headerReference w:type="default" r:id="rId8"/>
          <w:footerReference w:type="even" r:id="rId9"/>
          <w:footerReference w:type="default" r:id="rId10"/>
          <w:headerReference w:type="first" r:id="rId11"/>
          <w:footerReference w:type="first" r:id="rId12"/>
          <w:pgSz w:w="11906" w:h="16838"/>
          <w:pgMar w:top="1701" w:right="1418" w:bottom="1701" w:left="1418" w:header="709" w:footer="709" w:gutter="0"/>
          <w:cols w:space="708"/>
          <w:docGrid w:linePitch="360"/>
        </w:sectPr>
      </w:pPr>
    </w:p>
    <w:p w:rsidR="00D44002" w:rsidRPr="00F31CE3" w:rsidP="00F31CE3" w14:textId="3B105B63">
      <w:pPr>
        <w:pStyle w:val="ChapterTitle"/>
      </w:pPr>
      <w:bookmarkStart w:id="3" w:name="POLINV043_AR"/>
      <w:r w:rsidRPr="00F31CE3">
        <w:t>Assessment Requirements for POLINV043 Present evidence on crash incidents</w:t>
      </w:r>
    </w:p>
    <w:p w:rsidR="00D44002" w:rsidRPr="00F31CE3" w:rsidP="00F31CE3">
      <w:pPr>
        <w:pStyle w:val="Heading1"/>
      </w:pPr>
      <w:bookmarkEnd w:id="3"/>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unit of competency was first released in POL Police Training Package Release 10.0.</w:t>
            </w:r>
          </w:p>
        </w:tc>
      </w:tr>
    </w:tbl>
    <w:p w:rsidR="00D44002" w:rsidRPr="00F31CE3" w:rsidP="00F31CE3">
      <w:pPr>
        <w:pStyle w:val="Heading1"/>
      </w:pPr>
      <w:r w:rsidRPr="00F31CE3">
        <w:t>Performance Evidence</w:t>
      </w:r>
    </w:p>
    <w:tbl>
      <w:tblPr>
        <w:tblStyle w:val="TableGrid"/>
        <w:tblW w:w="5000" w:type="pct"/>
        <w:jc w:val="left"/>
      </w:tblPr>
      <w:tblGrid>
        <w:gridCol w:w="9060"/>
      </w:tblGrid>
      <w:tr>
        <w:tblPrEx>
          <w:tblW w:w="5000" w:type="pct"/>
        </w:tblPrEx>
        <w:tc>
          <w:tcPr>
            <w:tcW w:w="0" w:type="auto"/>
          </w:tcPr>
          <w:p w:rsidR="00D44002" w:rsidRPr="00F31CE3" w:rsidP="00F31CE3">
            <w:pPr>
              <w:jc w:val="left"/>
            </w:pPr>
            <w:r w:rsidRPr="00F31CE3">
              <w:t>Evidence required to demonstrate competence in this unit must be relevant to and satisfy all of the requirements of the elements and performance criteria on at least one occasion and include:</w:t>
            </w:r>
          </w:p>
        </w:tc>
      </w:tr>
      <w:tr>
        <w:tblPrEx>
          <w:tblW w:w="5000" w:type="pct"/>
        </w:tblPrEx>
        <w:tc>
          <w:tcPr>
            <w:tcW w:w="0" w:type="auto"/>
          </w:tcPr>
          <w:p w:rsidR="00D44002" w:rsidRPr="00F31CE3" w:rsidP="00F31CE3">
            <w:pPr>
              <w:numPr>
                <w:ilvl w:val="0"/>
                <w:numId w:val="2"/>
              </w:numPr>
              <w:ind w:left="720" w:hanging="360"/>
              <w:jc w:val="left"/>
            </w:pPr>
            <w:r w:rsidRPr="00F31CE3">
              <w:t>communicating analysis to judicial audiences</w:t>
            </w:r>
          </w:p>
          <w:p w:rsidR="00D44002" w:rsidRPr="00F31CE3" w:rsidP="00F31CE3">
            <w:pPr>
              <w:numPr>
                <w:ilvl w:val="0"/>
                <w:numId w:val="2"/>
              </w:numPr>
              <w:ind w:left="720" w:hanging="360"/>
              <w:jc w:val="left"/>
            </w:pPr>
            <w:r w:rsidRPr="00F31CE3">
              <w:t>preparing and presenting demonstrative tools, evidence and exhibits to the judiciary</w:t>
            </w:r>
          </w:p>
          <w:p w:rsidR="00D44002" w:rsidRPr="00F31CE3" w:rsidP="00F31CE3">
            <w:pPr>
              <w:numPr>
                <w:ilvl w:val="0"/>
                <w:numId w:val="2"/>
              </w:numPr>
              <w:ind w:left="720" w:hanging="360"/>
              <w:jc w:val="left"/>
            </w:pPr>
            <w:r w:rsidRPr="00F31CE3">
              <w:t>preparing and presenting evidence in a judicial setting. </w:t>
            </w:r>
          </w:p>
        </w:tc>
      </w:tr>
    </w:tbl>
    <w:p w:rsidR="00D44002" w:rsidRPr="00F31CE3" w:rsidP="00F31CE3">
      <w:pPr>
        <w:pStyle w:val="Heading1"/>
      </w:pPr>
      <w:r w:rsidRPr="00F31CE3">
        <w:t>Knowledge Evidence</w:t>
      </w:r>
    </w:p>
    <w:tbl>
      <w:tblPr>
        <w:tblStyle w:val="TableGrid"/>
        <w:tblW w:w="5000" w:type="pct"/>
        <w:jc w:val="left"/>
      </w:tblPr>
      <w:tblGrid>
        <w:gridCol w:w="9060"/>
      </w:tblGrid>
      <w:tr>
        <w:tblPrEx>
          <w:tblW w:w="5000" w:type="pct"/>
        </w:tblPrEx>
        <w:tc>
          <w:tcPr>
            <w:tcW w:w="0" w:type="auto"/>
          </w:tcPr>
          <w:p w:rsidR="00D44002" w:rsidRPr="00F31CE3" w:rsidP="00F31CE3">
            <w:pPr>
              <w:jc w:val="left"/>
            </w:pPr>
            <w:r w:rsidRPr="00F31CE3">
              <w:t>Evidence required to demonstrate competence in this unit must be relevant to and satisfy all of the requirements of the elements and performance criteria and include knowledge of:</w:t>
            </w:r>
          </w:p>
        </w:tc>
      </w:tr>
      <w:tr>
        <w:tblPrEx>
          <w:tblW w:w="5000" w:type="pct"/>
        </w:tblPrEx>
        <w:tc>
          <w:tcPr>
            <w:tcW w:w="0" w:type="auto"/>
          </w:tcPr>
          <w:p w:rsidR="00D44002" w:rsidRPr="00F31CE3" w:rsidP="00F31CE3">
            <w:pPr>
              <w:numPr>
                <w:ilvl w:val="0"/>
                <w:numId w:val="3"/>
              </w:numPr>
              <w:ind w:left="720" w:hanging="360"/>
              <w:jc w:val="left"/>
            </w:pPr>
            <w:r w:rsidRPr="00F31CE3">
              <w:t>developing visual representations of crash analysis</w:t>
            </w:r>
          </w:p>
          <w:p w:rsidR="00D44002" w:rsidRPr="00F31CE3" w:rsidP="00F31CE3">
            <w:pPr>
              <w:numPr>
                <w:ilvl w:val="0"/>
                <w:numId w:val="3"/>
              </w:numPr>
              <w:ind w:left="720" w:hanging="360"/>
              <w:jc w:val="left"/>
            </w:pPr>
            <w:r w:rsidRPr="00F31CE3">
              <w:t xml:space="preserve">judicial legislation and policies on presenting expert evidence </w:t>
            </w:r>
          </w:p>
          <w:p w:rsidR="00D44002" w:rsidRPr="00F31CE3" w:rsidP="00F31CE3">
            <w:pPr>
              <w:numPr>
                <w:ilvl w:val="0"/>
                <w:numId w:val="3"/>
              </w:numPr>
              <w:ind w:left="720" w:hanging="360"/>
              <w:jc w:val="left"/>
            </w:pPr>
            <w:r w:rsidRPr="00F31CE3">
              <w:t>roles and responsibilities of stakeholders in the judicial process</w:t>
            </w:r>
          </w:p>
          <w:p w:rsidR="00D44002" w:rsidRPr="00F31CE3" w:rsidP="00F31CE3">
            <w:pPr>
              <w:numPr>
                <w:ilvl w:val="0"/>
                <w:numId w:val="3"/>
              </w:numPr>
              <w:ind w:left="720" w:hanging="360"/>
              <w:jc w:val="left"/>
            </w:pPr>
            <w:r w:rsidRPr="00F31CE3">
              <w:t>rules and types of evidence in various judicial settings. </w:t>
            </w:r>
          </w:p>
        </w:tc>
      </w:tr>
    </w:tbl>
    <w:p w:rsidR="00D44002" w:rsidRPr="00F31CE3" w:rsidP="00F31CE3">
      <w:pPr>
        <w:pStyle w:val="Heading1"/>
      </w:pPr>
      <w:r w:rsidRPr="00F31CE3">
        <w:t>Assessment Conditions</w:t>
      </w:r>
    </w:p>
    <w:p w:rsidR="00D44002" w:rsidRPr="00F31CE3" w:rsidP="00F31CE3">
      <w:r w:rsidRPr="00F31CE3">
        <w:t>Assessment must occur in operational workplace situations or, where this is not available, in simulated situations that replicate workplace conditions. </w:t>
      </w:r>
    </w:p>
    <w:p w:rsidR="00D44002" w:rsidRPr="00F31CE3" w:rsidP="00F31CE3">
      <w:r w:rsidRPr="00F31CE3">
        <w:t>Assessors of this unit must satisfy relevant vocational education and training legislation, frameworks and/or standards.</w:t>
      </w:r>
    </w:p>
    <w:p w:rsidR="00D44002" w:rsidRPr="00F31CE3" w:rsidP="00F31CE3">
      <w:pPr>
        <w:pStyle w:val="Heading1"/>
      </w:pPr>
      <w:r w:rsidRPr="00F31CE3">
        <w:t>Link</w:t>
      </w:r>
    </w:p>
    <w:p w:rsidR="00D44002" w:rsidRPr="00F31CE3" w:rsidP="00F31CE3">
      <w:r w:rsidRPr="00F31CE3">
        <w:t xml:space="preserve">Companion volumes, including implementation guides, are found on the national training register - </w:t>
      </w:r>
      <w:hyperlink r:id="rId13" w:history="1">
        <w:r w:rsidRPr="00F31CE3">
          <w:rPr>
            <w:rStyle w:val="Hyperlink"/>
          </w:rPr>
          <w:t>https://vetnet.gov.au/Pages/TrainingDocs.aspx?q=98c3984e-2cf1-48a8-8ed1-85e4b92e7351</w:t>
        </w:r>
      </w:hyperlink>
      <w:r w:rsidRPr="00F31CE3">
        <w:t>.</w:t>
      </w:r>
    </w:p>
    <w:sectPr w:rsidSect="00F31508">
      <w:headerReference w:type="even" r:id="rId14"/>
      <w:headerReference w:type="default" r:id="rId15"/>
      <w:footerReference w:type="even" r:id="rId16"/>
      <w:footerReference w:type="default" r:id="rId17"/>
      <w:headerReference w:type="first" r:id="rId18"/>
      <w:footerReference w:type="first" r:id="rId19"/>
      <w:pgSz w:w="11906" w:h="16838"/>
      <w:pgMar w:top="1701" w:right="1418" w:bottom="170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RPr="00FA4076" w:rsidP="00FA4076" w14:paraId="4A580142" w14:textId="77777777">
    <w:pPr>
      <w:pStyle w:val="Footer"/>
    </w:pPr>
    <w:r w:rsidRPr="00E53E67">
      <w:rPr>
        <w:b/>
        <w:bCs/>
        <w:sz w:val="20"/>
        <w:szCs w:val="20"/>
      </w:rPr>
      <w:t xml:space="preserve">Release: </w:t>
    </w:r>
    <w:r w:rsidRPr="00E53E67">
      <w:rPr>
        <w:b/>
        <w:bCs/>
        <w:sz w:val="20"/>
        <w:szCs w:val="20"/>
      </w:rPr>
      <w:t>1</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42B97885"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paraId="095EFEC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5</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6</w:t>
    </w:r>
    <w:r>
      <w:rPr>
        <w:sz w:val="16"/>
        <w:szCs w:val="16"/>
      </w:rPr>
      <w:fldChar w:fldCharType="end"/>
    </w:r>
  </w:p>
  <w:p w:rsidR="00F27B0A" w:rsidP="00F27B0A" w14:paraId="2EC2BA9B"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2025</w:t>
    </w:r>
    <w:r>
      <w:rPr>
        <w:sz w:val="16"/>
        <w:szCs w:val="16"/>
      </w:rPr>
      <w:fldChar w:fldCharType="end"/>
    </w:r>
    <w:r w:rsidRPr="003E4545">
      <w:rPr>
        <w:sz w:val="16"/>
        <w:szCs w:val="16"/>
      </w:rPr>
      <w:tab/>
    </w:r>
    <w:r w:rsidRPr="003E4545">
      <w:rPr>
        <w:sz w:val="16"/>
        <w:szCs w:val="16"/>
      </w:rPr>
      <w:t>Public Skills Australia</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0937DF49"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6</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6</w:t>
    </w:r>
    <w:r>
      <w:rPr>
        <w:sz w:val="16"/>
        <w:szCs w:val="16"/>
      </w:rPr>
      <w:fldChar w:fldCharType="end"/>
    </w:r>
  </w:p>
  <w:p w:rsidR="00F27B0A" w:rsidP="00F27B0A"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2025</w:t>
    </w:r>
    <w:r>
      <w:rPr>
        <w:sz w:val="16"/>
        <w:szCs w:val="16"/>
      </w:rPr>
      <w:fldChar w:fldCharType="end"/>
    </w:r>
    <w:r w:rsidRPr="003E4545">
      <w:rPr>
        <w:sz w:val="16"/>
        <w:szCs w:val="16"/>
      </w:rPr>
      <w:tab/>
    </w:r>
    <w:r w:rsidRPr="003E4545">
      <w:rPr>
        <w:sz w:val="16"/>
        <w:szCs w:val="16"/>
      </w:rPr>
      <w:t>Public Skills Australia</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P="00FA4076" w14:paraId="2756F965" w14:textId="1F82DF94">
    <w:pPr>
      <w:pStyle w:val="Header"/>
      <w:jc w:val="center"/>
    </w:pPr>
    <w:r>
      <w:rPr>
        <w:noProof/>
      </w:rPr>
      <w:drawing>
        <wp:inline distT="0" distB="0" distL="0" distR="0">
          <wp:extent cx="2066667" cy="1076190"/>
          <wp:effectExtent l="0" t="0" r="0" b="0"/>
          <wp:docPr id="1572583867" name="Picture 1" descr="Australian Government 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2583867" name="Picture 1" descr="Australian Government Crest"/>
                  <pic:cNvPicPr/>
                </pic:nvPicPr>
                <pic:blipFill>
                  <a:blip xmlns:r="http://schemas.openxmlformats.org/officeDocument/2006/relationships" r:embed="rId1"/>
                  <a:stretch>
                    <a:fillRect/>
                  </a:stretch>
                </pic:blipFill>
                <pic:spPr>
                  <a:xfrm>
                    <a:off x="0" y="0"/>
                    <a:ext cx="2066667" cy="107619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60696BB4"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paraId="05DA8F9E" w14:textId="6D38A07F">
    <w:pPr>
      <w:pStyle w:val="Header"/>
      <w:pBdr>
        <w:bottom w:val="single" w:sz="4" w:space="1" w:color="auto"/>
      </w:pBdr>
      <w:tabs>
        <w:tab w:val="clear" w:pos="4513"/>
      </w:tabs>
      <w:rPr>
        <w:sz w:val="16"/>
        <w:szCs w:val="16"/>
      </w:rPr>
    </w:pPr>
    <w:r w:rsidRPr="003E4545">
      <w:rPr>
        <w:sz w:val="16"/>
        <w:szCs w:val="16"/>
      </w:rPr>
      <w:t>POLINV043 Present evidence on crash incidents</w:t>
    </w:r>
    <w:r>
      <w:rPr>
        <w:sz w:val="16"/>
        <w:szCs w:val="16"/>
      </w:rPr>
      <w:tab/>
    </w:r>
    <w:r w:rsidRPr="003E4545">
      <w:rPr>
        <w:sz w:val="16"/>
        <w:szCs w:val="16"/>
      </w:rPr>
      <w:t xml:space="preserve">Date this document was generated: </w:t>
    </w:r>
    <w:r>
      <w:rPr>
        <w:sz w:val="16"/>
        <w:szCs w:val="16"/>
      </w:rPr>
      <w:t>26 September 2025</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12A3AE3F"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textId="6D38A07F">
    <w:pPr>
      <w:pStyle w:val="Header"/>
      <w:pBdr>
        <w:bottom w:val="single" w:sz="4" w:space="1" w:color="auto"/>
      </w:pBdr>
      <w:tabs>
        <w:tab w:val="clear" w:pos="4513"/>
      </w:tabs>
      <w:rPr>
        <w:sz w:val="16"/>
        <w:szCs w:val="16"/>
      </w:rPr>
    </w:pPr>
    <w:r w:rsidRPr="003E4545">
      <w:rPr>
        <w:sz w:val="16"/>
        <w:szCs w:val="16"/>
      </w:rPr>
      <w:t>Assessment Requirements for POLINV043 Present evidence on crash incidents</w:t>
    </w:r>
    <w:r>
      <w:rPr>
        <w:sz w:val="16"/>
        <w:szCs w:val="16"/>
      </w:rPr>
      <w:tab/>
    </w:r>
    <w:r w:rsidRPr="003E4545">
      <w:rPr>
        <w:sz w:val="16"/>
        <w:szCs w:val="16"/>
      </w:rPr>
      <w:t xml:space="preserve">Date this document was generated: </w:t>
    </w:r>
    <w:r>
      <w:rPr>
        <w:sz w:val="16"/>
        <w:szCs w:val="16"/>
      </w:rPr>
      <w:t>26 September 2025</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 w15:restartNumberingAfterBreak="0">
    <w:nsid w:val="665D409A"/>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665D409B"/>
    <w:multiLevelType w:val="hybridMultilevel"/>
    <w:tmpl w:val="665D409B"/>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2124492594">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02E"/>
    <w:rsid w:val="00001716"/>
    <w:rsid w:val="00003DB6"/>
    <w:rsid w:val="00011C84"/>
    <w:rsid w:val="0002276B"/>
    <w:rsid w:val="00032672"/>
    <w:rsid w:val="00032758"/>
    <w:rsid w:val="00036205"/>
    <w:rsid w:val="00041A6A"/>
    <w:rsid w:val="0004324C"/>
    <w:rsid w:val="00043658"/>
    <w:rsid w:val="00043FE6"/>
    <w:rsid w:val="00044734"/>
    <w:rsid w:val="0006329A"/>
    <w:rsid w:val="00063382"/>
    <w:rsid w:val="000670DA"/>
    <w:rsid w:val="000761A0"/>
    <w:rsid w:val="000934AA"/>
    <w:rsid w:val="0009533A"/>
    <w:rsid w:val="000A3C26"/>
    <w:rsid w:val="000A4105"/>
    <w:rsid w:val="000A6888"/>
    <w:rsid w:val="000B3C8F"/>
    <w:rsid w:val="000B5D56"/>
    <w:rsid w:val="000D392F"/>
    <w:rsid w:val="000D4918"/>
    <w:rsid w:val="000D52E6"/>
    <w:rsid w:val="000E134A"/>
    <w:rsid w:val="000F7257"/>
    <w:rsid w:val="00100960"/>
    <w:rsid w:val="001025D1"/>
    <w:rsid w:val="00102854"/>
    <w:rsid w:val="00104464"/>
    <w:rsid w:val="0010497C"/>
    <w:rsid w:val="00112439"/>
    <w:rsid w:val="001139F8"/>
    <w:rsid w:val="00113C48"/>
    <w:rsid w:val="001279EF"/>
    <w:rsid w:val="00155E51"/>
    <w:rsid w:val="001639BB"/>
    <w:rsid w:val="00164298"/>
    <w:rsid w:val="0017445A"/>
    <w:rsid w:val="00174B3C"/>
    <w:rsid w:val="00187F7F"/>
    <w:rsid w:val="00190EA1"/>
    <w:rsid w:val="00197ABF"/>
    <w:rsid w:val="001A3FC6"/>
    <w:rsid w:val="001B0586"/>
    <w:rsid w:val="001B2903"/>
    <w:rsid w:val="001B3FB2"/>
    <w:rsid w:val="001B64A1"/>
    <w:rsid w:val="001B76F4"/>
    <w:rsid w:val="001C11F8"/>
    <w:rsid w:val="001C6F51"/>
    <w:rsid w:val="001C71B5"/>
    <w:rsid w:val="001D7B20"/>
    <w:rsid w:val="001E36D4"/>
    <w:rsid w:val="001F08C6"/>
    <w:rsid w:val="001F65FC"/>
    <w:rsid w:val="002103C0"/>
    <w:rsid w:val="00211A8C"/>
    <w:rsid w:val="00213466"/>
    <w:rsid w:val="00222E93"/>
    <w:rsid w:val="00226877"/>
    <w:rsid w:val="00227BD4"/>
    <w:rsid w:val="00246CE0"/>
    <w:rsid w:val="00262572"/>
    <w:rsid w:val="0026375B"/>
    <w:rsid w:val="002644C1"/>
    <w:rsid w:val="00266B3B"/>
    <w:rsid w:val="00266C4D"/>
    <w:rsid w:val="002807FD"/>
    <w:rsid w:val="00282869"/>
    <w:rsid w:val="002869A9"/>
    <w:rsid w:val="002A002E"/>
    <w:rsid w:val="002A5613"/>
    <w:rsid w:val="002B6140"/>
    <w:rsid w:val="002C1A16"/>
    <w:rsid w:val="002C2B22"/>
    <w:rsid w:val="002D4A04"/>
    <w:rsid w:val="002E425A"/>
    <w:rsid w:val="002E6BE1"/>
    <w:rsid w:val="002E6E27"/>
    <w:rsid w:val="002F4DCD"/>
    <w:rsid w:val="002F6500"/>
    <w:rsid w:val="003030C4"/>
    <w:rsid w:val="0030690A"/>
    <w:rsid w:val="003069B6"/>
    <w:rsid w:val="00330352"/>
    <w:rsid w:val="00346FFB"/>
    <w:rsid w:val="00351D9D"/>
    <w:rsid w:val="003571B9"/>
    <w:rsid w:val="00370B77"/>
    <w:rsid w:val="00380794"/>
    <w:rsid w:val="00381B18"/>
    <w:rsid w:val="003820E9"/>
    <w:rsid w:val="00382DF4"/>
    <w:rsid w:val="0038530E"/>
    <w:rsid w:val="00385C31"/>
    <w:rsid w:val="003B286B"/>
    <w:rsid w:val="003B39E2"/>
    <w:rsid w:val="003D175E"/>
    <w:rsid w:val="003E4545"/>
    <w:rsid w:val="003F26B2"/>
    <w:rsid w:val="003F3D1F"/>
    <w:rsid w:val="003F615F"/>
    <w:rsid w:val="00403B2B"/>
    <w:rsid w:val="00404AE8"/>
    <w:rsid w:val="004235DB"/>
    <w:rsid w:val="0042688C"/>
    <w:rsid w:val="00431CBB"/>
    <w:rsid w:val="00432B22"/>
    <w:rsid w:val="004368AF"/>
    <w:rsid w:val="00441958"/>
    <w:rsid w:val="00454D3D"/>
    <w:rsid w:val="00457698"/>
    <w:rsid w:val="004726B8"/>
    <w:rsid w:val="0047638B"/>
    <w:rsid w:val="004832B7"/>
    <w:rsid w:val="00490D5E"/>
    <w:rsid w:val="00492374"/>
    <w:rsid w:val="00497944"/>
    <w:rsid w:val="004B00D0"/>
    <w:rsid w:val="004B18E5"/>
    <w:rsid w:val="004B20E2"/>
    <w:rsid w:val="004B23A7"/>
    <w:rsid w:val="004C2B1A"/>
    <w:rsid w:val="004D10E5"/>
    <w:rsid w:val="004D1A81"/>
    <w:rsid w:val="004E290E"/>
    <w:rsid w:val="004F165C"/>
    <w:rsid w:val="004F1795"/>
    <w:rsid w:val="00500FFC"/>
    <w:rsid w:val="00501C36"/>
    <w:rsid w:val="005067E8"/>
    <w:rsid w:val="00512FF0"/>
    <w:rsid w:val="00513126"/>
    <w:rsid w:val="00516904"/>
    <w:rsid w:val="005219D8"/>
    <w:rsid w:val="00522E1A"/>
    <w:rsid w:val="00524DAA"/>
    <w:rsid w:val="005355BA"/>
    <w:rsid w:val="00542D25"/>
    <w:rsid w:val="0054353E"/>
    <w:rsid w:val="005503CB"/>
    <w:rsid w:val="00560137"/>
    <w:rsid w:val="00564561"/>
    <w:rsid w:val="005663F8"/>
    <w:rsid w:val="0056754A"/>
    <w:rsid w:val="00572299"/>
    <w:rsid w:val="005743C4"/>
    <w:rsid w:val="005871AF"/>
    <w:rsid w:val="00593918"/>
    <w:rsid w:val="005A2B1D"/>
    <w:rsid w:val="005B33BC"/>
    <w:rsid w:val="005B543F"/>
    <w:rsid w:val="005B7A74"/>
    <w:rsid w:val="005C16AE"/>
    <w:rsid w:val="005C4CC6"/>
    <w:rsid w:val="005D2B3F"/>
    <w:rsid w:val="005E3CC2"/>
    <w:rsid w:val="005E7A34"/>
    <w:rsid w:val="005F118A"/>
    <w:rsid w:val="005F40E1"/>
    <w:rsid w:val="005F489F"/>
    <w:rsid w:val="005F6F5B"/>
    <w:rsid w:val="00614E9C"/>
    <w:rsid w:val="006161E3"/>
    <w:rsid w:val="006170D3"/>
    <w:rsid w:val="00621CBC"/>
    <w:rsid w:val="0062273A"/>
    <w:rsid w:val="006301FF"/>
    <w:rsid w:val="00630517"/>
    <w:rsid w:val="00635D48"/>
    <w:rsid w:val="00637A3D"/>
    <w:rsid w:val="006600D1"/>
    <w:rsid w:val="0066407A"/>
    <w:rsid w:val="006705FA"/>
    <w:rsid w:val="00674A8A"/>
    <w:rsid w:val="0067722C"/>
    <w:rsid w:val="00677884"/>
    <w:rsid w:val="00682E9B"/>
    <w:rsid w:val="00684D0F"/>
    <w:rsid w:val="006A43BF"/>
    <w:rsid w:val="006A5202"/>
    <w:rsid w:val="006B5BAE"/>
    <w:rsid w:val="006C1244"/>
    <w:rsid w:val="006D323C"/>
    <w:rsid w:val="006D3EB7"/>
    <w:rsid w:val="006E472E"/>
    <w:rsid w:val="006F06EC"/>
    <w:rsid w:val="006F1DFD"/>
    <w:rsid w:val="006F231B"/>
    <w:rsid w:val="006F3A9E"/>
    <w:rsid w:val="00704250"/>
    <w:rsid w:val="007103AD"/>
    <w:rsid w:val="00712B8A"/>
    <w:rsid w:val="0071575F"/>
    <w:rsid w:val="00726497"/>
    <w:rsid w:val="007351F1"/>
    <w:rsid w:val="00735D94"/>
    <w:rsid w:val="00736341"/>
    <w:rsid w:val="0074423E"/>
    <w:rsid w:val="00751158"/>
    <w:rsid w:val="007519C1"/>
    <w:rsid w:val="00752378"/>
    <w:rsid w:val="00757A0E"/>
    <w:rsid w:val="00761FC7"/>
    <w:rsid w:val="007628C3"/>
    <w:rsid w:val="00773269"/>
    <w:rsid w:val="00774FEA"/>
    <w:rsid w:val="00775E24"/>
    <w:rsid w:val="0078256D"/>
    <w:rsid w:val="00787507"/>
    <w:rsid w:val="00793E01"/>
    <w:rsid w:val="00794E49"/>
    <w:rsid w:val="00794FA5"/>
    <w:rsid w:val="007A1A24"/>
    <w:rsid w:val="007C1BA3"/>
    <w:rsid w:val="007D1B11"/>
    <w:rsid w:val="007D59B6"/>
    <w:rsid w:val="007F18D6"/>
    <w:rsid w:val="007F520C"/>
    <w:rsid w:val="007F6285"/>
    <w:rsid w:val="008108B8"/>
    <w:rsid w:val="00812B70"/>
    <w:rsid w:val="0081463A"/>
    <w:rsid w:val="00814E85"/>
    <w:rsid w:val="00823A11"/>
    <w:rsid w:val="00824604"/>
    <w:rsid w:val="00825426"/>
    <w:rsid w:val="00836A00"/>
    <w:rsid w:val="00847844"/>
    <w:rsid w:val="00862744"/>
    <w:rsid w:val="008649CB"/>
    <w:rsid w:val="00872EBC"/>
    <w:rsid w:val="00874FF7"/>
    <w:rsid w:val="008805C8"/>
    <w:rsid w:val="00882287"/>
    <w:rsid w:val="00883F83"/>
    <w:rsid w:val="008845E8"/>
    <w:rsid w:val="00884D2C"/>
    <w:rsid w:val="00887EFD"/>
    <w:rsid w:val="00894669"/>
    <w:rsid w:val="0089616F"/>
    <w:rsid w:val="00897001"/>
    <w:rsid w:val="00897CB4"/>
    <w:rsid w:val="008A5287"/>
    <w:rsid w:val="008B51CD"/>
    <w:rsid w:val="008B6DCB"/>
    <w:rsid w:val="008C6C7B"/>
    <w:rsid w:val="008F3E52"/>
    <w:rsid w:val="00910A1D"/>
    <w:rsid w:val="009121B0"/>
    <w:rsid w:val="009125CA"/>
    <w:rsid w:val="0091477C"/>
    <w:rsid w:val="009264EB"/>
    <w:rsid w:val="009345F5"/>
    <w:rsid w:val="00936235"/>
    <w:rsid w:val="00950F79"/>
    <w:rsid w:val="00961188"/>
    <w:rsid w:val="00961A5C"/>
    <w:rsid w:val="00964EBF"/>
    <w:rsid w:val="00967B77"/>
    <w:rsid w:val="00970070"/>
    <w:rsid w:val="00971518"/>
    <w:rsid w:val="0097697A"/>
    <w:rsid w:val="00986284"/>
    <w:rsid w:val="00991A5B"/>
    <w:rsid w:val="009926F6"/>
    <w:rsid w:val="00992FD5"/>
    <w:rsid w:val="00996622"/>
    <w:rsid w:val="009A5BA7"/>
    <w:rsid w:val="009A6430"/>
    <w:rsid w:val="009B0979"/>
    <w:rsid w:val="009B7E04"/>
    <w:rsid w:val="009C0105"/>
    <w:rsid w:val="009D0860"/>
    <w:rsid w:val="009E40FF"/>
    <w:rsid w:val="009E6DC5"/>
    <w:rsid w:val="009F22CE"/>
    <w:rsid w:val="00A06DAE"/>
    <w:rsid w:val="00A11C08"/>
    <w:rsid w:val="00A1681D"/>
    <w:rsid w:val="00A20013"/>
    <w:rsid w:val="00A26181"/>
    <w:rsid w:val="00A32B80"/>
    <w:rsid w:val="00A32F83"/>
    <w:rsid w:val="00A43A63"/>
    <w:rsid w:val="00A574ED"/>
    <w:rsid w:val="00A73A18"/>
    <w:rsid w:val="00A74143"/>
    <w:rsid w:val="00A90BFD"/>
    <w:rsid w:val="00A91052"/>
    <w:rsid w:val="00AA0300"/>
    <w:rsid w:val="00AA168D"/>
    <w:rsid w:val="00AA3131"/>
    <w:rsid w:val="00AB352E"/>
    <w:rsid w:val="00AB36F5"/>
    <w:rsid w:val="00AB3ACF"/>
    <w:rsid w:val="00AD4375"/>
    <w:rsid w:val="00AD5023"/>
    <w:rsid w:val="00AD752D"/>
    <w:rsid w:val="00AD7694"/>
    <w:rsid w:val="00AE5A77"/>
    <w:rsid w:val="00AF08AC"/>
    <w:rsid w:val="00AF21BF"/>
    <w:rsid w:val="00AF38BF"/>
    <w:rsid w:val="00B118FB"/>
    <w:rsid w:val="00B136BC"/>
    <w:rsid w:val="00B1796F"/>
    <w:rsid w:val="00B209D8"/>
    <w:rsid w:val="00B249EE"/>
    <w:rsid w:val="00B31BAE"/>
    <w:rsid w:val="00B329CB"/>
    <w:rsid w:val="00B4103E"/>
    <w:rsid w:val="00B47210"/>
    <w:rsid w:val="00B5364D"/>
    <w:rsid w:val="00B53F2D"/>
    <w:rsid w:val="00B544EB"/>
    <w:rsid w:val="00B62662"/>
    <w:rsid w:val="00B72256"/>
    <w:rsid w:val="00B74DD7"/>
    <w:rsid w:val="00B76710"/>
    <w:rsid w:val="00B818B5"/>
    <w:rsid w:val="00B8457C"/>
    <w:rsid w:val="00B911E4"/>
    <w:rsid w:val="00B950C0"/>
    <w:rsid w:val="00B9610D"/>
    <w:rsid w:val="00BA7986"/>
    <w:rsid w:val="00BB4157"/>
    <w:rsid w:val="00BB4203"/>
    <w:rsid w:val="00BB5487"/>
    <w:rsid w:val="00BC0299"/>
    <w:rsid w:val="00BC0C2F"/>
    <w:rsid w:val="00BC739F"/>
    <w:rsid w:val="00BD6B5A"/>
    <w:rsid w:val="00BE3983"/>
    <w:rsid w:val="00BE44A9"/>
    <w:rsid w:val="00BE4637"/>
    <w:rsid w:val="00BF0323"/>
    <w:rsid w:val="00BF3F89"/>
    <w:rsid w:val="00C002D5"/>
    <w:rsid w:val="00C0142E"/>
    <w:rsid w:val="00C01EDA"/>
    <w:rsid w:val="00C02768"/>
    <w:rsid w:val="00C04A97"/>
    <w:rsid w:val="00C12C67"/>
    <w:rsid w:val="00C14C5E"/>
    <w:rsid w:val="00C24235"/>
    <w:rsid w:val="00C2423E"/>
    <w:rsid w:val="00C25A99"/>
    <w:rsid w:val="00C32154"/>
    <w:rsid w:val="00C538BF"/>
    <w:rsid w:val="00C60C23"/>
    <w:rsid w:val="00C646F2"/>
    <w:rsid w:val="00C660CF"/>
    <w:rsid w:val="00C73758"/>
    <w:rsid w:val="00C83175"/>
    <w:rsid w:val="00C87216"/>
    <w:rsid w:val="00C9219C"/>
    <w:rsid w:val="00C9530A"/>
    <w:rsid w:val="00CA6667"/>
    <w:rsid w:val="00CB3533"/>
    <w:rsid w:val="00CB4607"/>
    <w:rsid w:val="00CC67A9"/>
    <w:rsid w:val="00CD5F00"/>
    <w:rsid w:val="00CE70D8"/>
    <w:rsid w:val="00CE75EB"/>
    <w:rsid w:val="00CF261C"/>
    <w:rsid w:val="00CF42BF"/>
    <w:rsid w:val="00D14D06"/>
    <w:rsid w:val="00D15825"/>
    <w:rsid w:val="00D1773F"/>
    <w:rsid w:val="00D2347B"/>
    <w:rsid w:val="00D339C2"/>
    <w:rsid w:val="00D33E57"/>
    <w:rsid w:val="00D33FBB"/>
    <w:rsid w:val="00D35252"/>
    <w:rsid w:val="00D44002"/>
    <w:rsid w:val="00D55866"/>
    <w:rsid w:val="00D57635"/>
    <w:rsid w:val="00D57872"/>
    <w:rsid w:val="00D76614"/>
    <w:rsid w:val="00D85E80"/>
    <w:rsid w:val="00D9069F"/>
    <w:rsid w:val="00D90BA3"/>
    <w:rsid w:val="00D916A4"/>
    <w:rsid w:val="00D9243B"/>
    <w:rsid w:val="00D9446B"/>
    <w:rsid w:val="00D96FCE"/>
    <w:rsid w:val="00DA164C"/>
    <w:rsid w:val="00DA2A72"/>
    <w:rsid w:val="00DB1F0E"/>
    <w:rsid w:val="00DB1F57"/>
    <w:rsid w:val="00DB7CFC"/>
    <w:rsid w:val="00DC17E3"/>
    <w:rsid w:val="00DC27CD"/>
    <w:rsid w:val="00DD2F58"/>
    <w:rsid w:val="00DD33C6"/>
    <w:rsid w:val="00DD5401"/>
    <w:rsid w:val="00DD5CA1"/>
    <w:rsid w:val="00DE0D78"/>
    <w:rsid w:val="00DE77A4"/>
    <w:rsid w:val="00DF2DA7"/>
    <w:rsid w:val="00E04D84"/>
    <w:rsid w:val="00E11E5F"/>
    <w:rsid w:val="00E148D6"/>
    <w:rsid w:val="00E3418A"/>
    <w:rsid w:val="00E34BE6"/>
    <w:rsid w:val="00E364A5"/>
    <w:rsid w:val="00E4345F"/>
    <w:rsid w:val="00E434CD"/>
    <w:rsid w:val="00E436F8"/>
    <w:rsid w:val="00E449F4"/>
    <w:rsid w:val="00E52B5E"/>
    <w:rsid w:val="00E52CE1"/>
    <w:rsid w:val="00E53E67"/>
    <w:rsid w:val="00E6153B"/>
    <w:rsid w:val="00E61734"/>
    <w:rsid w:val="00E61B97"/>
    <w:rsid w:val="00E61F1A"/>
    <w:rsid w:val="00E67B41"/>
    <w:rsid w:val="00E7051D"/>
    <w:rsid w:val="00E709D6"/>
    <w:rsid w:val="00E73351"/>
    <w:rsid w:val="00E7448D"/>
    <w:rsid w:val="00E763D9"/>
    <w:rsid w:val="00E8515B"/>
    <w:rsid w:val="00E8581E"/>
    <w:rsid w:val="00EA0642"/>
    <w:rsid w:val="00EB07CD"/>
    <w:rsid w:val="00EC15C8"/>
    <w:rsid w:val="00EC5C3D"/>
    <w:rsid w:val="00EE2270"/>
    <w:rsid w:val="00EF2FF5"/>
    <w:rsid w:val="00EF6E84"/>
    <w:rsid w:val="00F0357A"/>
    <w:rsid w:val="00F048D2"/>
    <w:rsid w:val="00F12AC6"/>
    <w:rsid w:val="00F14533"/>
    <w:rsid w:val="00F16052"/>
    <w:rsid w:val="00F23D12"/>
    <w:rsid w:val="00F2677E"/>
    <w:rsid w:val="00F27B0A"/>
    <w:rsid w:val="00F3025B"/>
    <w:rsid w:val="00F31508"/>
    <w:rsid w:val="00F31CE3"/>
    <w:rsid w:val="00F4021B"/>
    <w:rsid w:val="00F453FC"/>
    <w:rsid w:val="00F559E5"/>
    <w:rsid w:val="00F622F2"/>
    <w:rsid w:val="00F6277A"/>
    <w:rsid w:val="00F6342E"/>
    <w:rsid w:val="00F660FA"/>
    <w:rsid w:val="00F82094"/>
    <w:rsid w:val="00F843E5"/>
    <w:rsid w:val="00F8649C"/>
    <w:rsid w:val="00F86589"/>
    <w:rsid w:val="00F960CB"/>
    <w:rsid w:val="00FA4076"/>
    <w:rsid w:val="00FA4516"/>
    <w:rsid w:val="00FB447B"/>
    <w:rsid w:val="00FB5854"/>
    <w:rsid w:val="00FC257E"/>
    <w:rsid w:val="00FC2D28"/>
    <w:rsid w:val="00FD1820"/>
    <w:rsid w:val="00FD6CAA"/>
    <w:rsid w:val="00FD7729"/>
    <w:rsid w:val="00FD7A21"/>
    <w:rsid w:val="00FD7FCC"/>
    <w:rsid w:val="00FF4324"/>
  </w:rsids>
  <m:mathPr>
    <m:mathFont m:val="Cambria Math"/>
  </m:mathPr>
  <w:themeFontLang w:val="en-AU"/>
  <w:clrSchemeMapping w:bg1="light1" w:t1="dark1" w:bg2="light2" w:t2="dark2" w:accent1="accent1" w:accent2="accent2" w:accent3="accent3" w:accent4="accent4" w:accent5="accent5" w:accent6="accent6" w:hyperlink="hyperlink" w:followedHyperlink="followedHyperlink"/>
  <w14:docId w14:val="5B6DE972"/>
  <w15:chartTrackingRefBased/>
  <w15:docId w15:val="{9484522D-40FD-4F62-8642-C46B5A354A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A0642"/>
    <w:pPr>
      <w:spacing w:before="120" w:after="120" w:line="240" w:lineRule="auto"/>
    </w:pPr>
    <w:rPr>
      <w:rFonts w:ascii="Times New Roman" w:hAnsi="Times New Roman" w:cs="Times New Roman"/>
      <w:sz w:val="24"/>
      <w:szCs w:val="24"/>
    </w:rPr>
  </w:style>
  <w:style w:type="paragraph" w:styleId="Heading1">
    <w:name w:val="heading 1"/>
    <w:basedOn w:val="Heading2"/>
    <w:next w:val="Normal"/>
    <w:link w:val="Heading1Char"/>
    <w:uiPriority w:val="9"/>
    <w:qFormat/>
    <w:rsid w:val="00BC0299"/>
    <w:pPr>
      <w:keepNext/>
      <w:spacing w:after="60"/>
      <w:outlineLvl w:val="0"/>
    </w:pPr>
  </w:style>
  <w:style w:type="paragraph" w:styleId="Heading2">
    <w:name w:val="heading 2"/>
    <w:basedOn w:val="Normal"/>
    <w:next w:val="Normal"/>
    <w:link w:val="Heading2Char"/>
    <w:uiPriority w:val="9"/>
    <w:unhideWhenUsed/>
    <w:rsid w:val="00736341"/>
    <w:pPr>
      <w:spacing w:before="360"/>
      <w:outlineLvl w:val="1"/>
    </w:pPr>
    <w:rPr>
      <w:b/>
      <w:bCs/>
      <w:sz w:val="32"/>
      <w:szCs w:val="32"/>
    </w:rPr>
  </w:style>
  <w:style w:type="paragraph" w:styleId="Heading3">
    <w:name w:val="heading 3"/>
    <w:basedOn w:val="Normal"/>
    <w:next w:val="Normal"/>
    <w:link w:val="Heading3Char"/>
    <w:uiPriority w:val="9"/>
    <w:semiHidden/>
    <w:unhideWhenUsed/>
    <w:rsid w:val="009926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26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26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26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26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26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26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0299"/>
    <w:rPr>
      <w:rFonts w:ascii="Times New Roman" w:hAnsi="Times New Roman" w:cs="Times New Roman"/>
      <w:b/>
      <w:bCs/>
      <w:sz w:val="32"/>
      <w:szCs w:val="32"/>
    </w:rPr>
  </w:style>
  <w:style w:type="character" w:customStyle="1" w:styleId="Heading2Char">
    <w:name w:val="Heading 2 Char"/>
    <w:basedOn w:val="DefaultParagraphFont"/>
    <w:link w:val="Heading2"/>
    <w:uiPriority w:val="9"/>
    <w:rsid w:val="00736341"/>
    <w:rPr>
      <w:rFonts w:ascii="Times New Roman" w:hAnsi="Times New Roman" w:cs="Times New Roman"/>
      <w:b/>
      <w:bCs/>
      <w:sz w:val="32"/>
      <w:szCs w:val="32"/>
    </w:rPr>
  </w:style>
  <w:style w:type="character" w:customStyle="1" w:styleId="Heading3Char">
    <w:name w:val="Heading 3 Char"/>
    <w:basedOn w:val="DefaultParagraphFont"/>
    <w:link w:val="Heading3"/>
    <w:uiPriority w:val="9"/>
    <w:semiHidden/>
    <w:rsid w:val="009926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26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26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26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26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26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26F6"/>
    <w:rPr>
      <w:rFonts w:eastAsiaTheme="majorEastAsia" w:cstheme="majorBidi"/>
      <w:color w:val="272727" w:themeColor="text1" w:themeTint="D8"/>
    </w:rPr>
  </w:style>
  <w:style w:type="paragraph" w:styleId="Title">
    <w:name w:val="Title"/>
    <w:basedOn w:val="Heading1"/>
    <w:next w:val="Normal"/>
    <w:link w:val="TitleChar"/>
    <w:uiPriority w:val="10"/>
    <w:qFormat/>
    <w:rsid w:val="00262572"/>
    <w:pPr>
      <w:spacing w:before="5040"/>
      <w:jc w:val="center"/>
    </w:pPr>
    <w:rPr>
      <w:sz w:val="48"/>
      <w:szCs w:val="48"/>
    </w:rPr>
  </w:style>
  <w:style w:type="character" w:customStyle="1" w:styleId="TitleChar">
    <w:name w:val="Title Char"/>
    <w:basedOn w:val="DefaultParagraphFont"/>
    <w:link w:val="Title"/>
    <w:uiPriority w:val="10"/>
    <w:rsid w:val="00262572"/>
    <w:rPr>
      <w:rFonts w:ascii="Times New Roman" w:hAnsi="Times New Roman" w:cs="Times New Roman"/>
      <w:b/>
      <w:bCs/>
      <w:sz w:val="48"/>
      <w:szCs w:val="48"/>
    </w:rPr>
  </w:style>
  <w:style w:type="paragraph" w:styleId="Subtitle">
    <w:name w:val="Subtitle"/>
    <w:basedOn w:val="Normal"/>
    <w:next w:val="Normal"/>
    <w:link w:val="SubtitleChar"/>
    <w:uiPriority w:val="11"/>
    <w:qFormat/>
    <w:rsid w:val="009926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26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26F6"/>
    <w:pPr>
      <w:spacing w:before="160"/>
      <w:jc w:val="center"/>
    </w:pPr>
    <w:rPr>
      <w:i/>
      <w:iCs/>
      <w:color w:val="404040" w:themeColor="text1" w:themeTint="BF"/>
    </w:rPr>
  </w:style>
  <w:style w:type="character" w:customStyle="1" w:styleId="QuoteChar">
    <w:name w:val="Quote Char"/>
    <w:basedOn w:val="DefaultParagraphFont"/>
    <w:link w:val="Quote"/>
    <w:uiPriority w:val="29"/>
    <w:rsid w:val="009926F6"/>
    <w:rPr>
      <w:i/>
      <w:iCs/>
      <w:color w:val="404040" w:themeColor="text1" w:themeTint="BF"/>
    </w:rPr>
  </w:style>
  <w:style w:type="paragraph" w:styleId="ListParagraph">
    <w:name w:val="List Paragraph"/>
    <w:basedOn w:val="Normal"/>
    <w:uiPriority w:val="34"/>
    <w:qFormat/>
    <w:rsid w:val="009926F6"/>
    <w:pPr>
      <w:ind w:left="720"/>
      <w:contextualSpacing/>
    </w:pPr>
  </w:style>
  <w:style w:type="character" w:styleId="IntenseEmphasis">
    <w:name w:val="Intense Emphasis"/>
    <w:basedOn w:val="DefaultParagraphFont"/>
    <w:uiPriority w:val="21"/>
    <w:qFormat/>
    <w:rsid w:val="009926F6"/>
    <w:rPr>
      <w:i/>
      <w:iCs/>
      <w:color w:val="0F4761" w:themeColor="accent1" w:themeShade="BF"/>
    </w:rPr>
  </w:style>
  <w:style w:type="paragraph" w:styleId="IntenseQuote">
    <w:name w:val="Intense Quote"/>
    <w:basedOn w:val="Normal"/>
    <w:next w:val="Normal"/>
    <w:link w:val="IntenseQuoteChar"/>
    <w:uiPriority w:val="30"/>
    <w:qFormat/>
    <w:rsid w:val="009926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26F6"/>
    <w:rPr>
      <w:i/>
      <w:iCs/>
      <w:color w:val="0F4761" w:themeColor="accent1" w:themeShade="BF"/>
    </w:rPr>
  </w:style>
  <w:style w:type="character" w:styleId="IntenseReference">
    <w:name w:val="Intense Reference"/>
    <w:basedOn w:val="DefaultParagraphFont"/>
    <w:uiPriority w:val="32"/>
    <w:qFormat/>
    <w:rsid w:val="009926F6"/>
    <w:rPr>
      <w:b/>
      <w:bCs/>
      <w:smallCaps/>
      <w:color w:val="0F4761" w:themeColor="accent1" w:themeShade="BF"/>
      <w:spacing w:val="5"/>
    </w:rPr>
  </w:style>
  <w:style w:type="paragraph" w:styleId="Header">
    <w:name w:val="header"/>
    <w:basedOn w:val="Normal"/>
    <w:link w:val="HeaderChar"/>
    <w:uiPriority w:val="99"/>
    <w:unhideWhenUsed/>
    <w:rsid w:val="009926F6"/>
    <w:pPr>
      <w:tabs>
        <w:tab w:val="center" w:pos="4513"/>
        <w:tab w:val="right" w:pos="9026"/>
      </w:tabs>
      <w:spacing w:after="0"/>
    </w:pPr>
  </w:style>
  <w:style w:type="character" w:customStyle="1" w:styleId="HeaderChar">
    <w:name w:val="Header Char"/>
    <w:basedOn w:val="DefaultParagraphFont"/>
    <w:link w:val="Header"/>
    <w:uiPriority w:val="99"/>
    <w:rsid w:val="009926F6"/>
  </w:style>
  <w:style w:type="paragraph" w:styleId="Footer">
    <w:name w:val="footer"/>
    <w:basedOn w:val="Normal"/>
    <w:link w:val="FooterChar"/>
    <w:uiPriority w:val="99"/>
    <w:unhideWhenUsed/>
    <w:rsid w:val="009926F6"/>
    <w:pPr>
      <w:tabs>
        <w:tab w:val="center" w:pos="4513"/>
        <w:tab w:val="right" w:pos="9026"/>
      </w:tabs>
      <w:spacing w:after="0"/>
    </w:pPr>
  </w:style>
  <w:style w:type="character" w:customStyle="1" w:styleId="FooterChar">
    <w:name w:val="Footer Char"/>
    <w:basedOn w:val="DefaultParagraphFont"/>
    <w:link w:val="Footer"/>
    <w:uiPriority w:val="99"/>
    <w:rsid w:val="009926F6"/>
  </w:style>
  <w:style w:type="table" w:styleId="TableGrid">
    <w:name w:val="Table Grid"/>
    <w:basedOn w:val="TableNormal"/>
    <w:uiPriority w:val="39"/>
    <w:rsid w:val="003303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rsid w:val="007F18D6"/>
    <w:rPr>
      <w:i/>
    </w:rPr>
  </w:style>
  <w:style w:type="paragraph" w:styleId="BodyText">
    <w:name w:val="Body Text"/>
    <w:basedOn w:val="Normal"/>
    <w:link w:val="BodyTextChar"/>
    <w:rsid w:val="000670DA"/>
    <w:pPr>
      <w:keepLines/>
    </w:pPr>
    <w:rPr>
      <w:rFonts w:eastAsia="Times New Roman"/>
      <w:kern w:val="0"/>
      <w:szCs w:val="22"/>
      <w14:ligatures w14:val="none"/>
    </w:rPr>
  </w:style>
  <w:style w:type="character" w:customStyle="1" w:styleId="BodyTextChar">
    <w:name w:val="Body Text Char"/>
    <w:basedOn w:val="DefaultParagraphFont"/>
    <w:link w:val="BodyText"/>
    <w:rsid w:val="000670DA"/>
    <w:rPr>
      <w:rFonts w:ascii="Times New Roman" w:eastAsia="Times New Roman" w:hAnsi="Times New Roman" w:cs="Times New Roman"/>
      <w:kern w:val="0"/>
      <w:sz w:val="24"/>
      <w14:ligatures w14:val="none"/>
    </w:rPr>
  </w:style>
  <w:style w:type="paragraph" w:customStyle="1" w:styleId="BodyTextBold">
    <w:name w:val="Body Text Bold"/>
    <w:basedOn w:val="BodyText"/>
    <w:qFormat/>
    <w:rsid w:val="000670DA"/>
    <w:rPr>
      <w:b/>
    </w:rPr>
  </w:style>
  <w:style w:type="paragraph" w:styleId="ListBullet">
    <w:name w:val="List Bullet"/>
    <w:basedOn w:val="List"/>
    <w:rsid w:val="00D916A4"/>
    <w:pPr>
      <w:keepLines/>
      <w:numPr>
        <w:numId w:val="1"/>
      </w:numPr>
      <w:spacing w:before="40" w:after="40"/>
      <w:contextualSpacing w:val="0"/>
    </w:pPr>
    <w:rPr>
      <w:rFonts w:eastAsia="Times New Roman"/>
      <w:kern w:val="0"/>
      <w:szCs w:val="22"/>
      <w14:ligatures w14:val="none"/>
    </w:rPr>
  </w:style>
  <w:style w:type="paragraph" w:customStyle="1" w:styleId="SmallText">
    <w:name w:val="Small Text"/>
    <w:basedOn w:val="Normal"/>
    <w:qFormat/>
    <w:rsid w:val="00D916A4"/>
    <w:pPr>
      <w:keepNext/>
      <w:keepLines/>
      <w:spacing w:before="0" w:after="0"/>
    </w:pPr>
    <w:rPr>
      <w:rFonts w:ascii="Tahoma" w:eastAsia="Times New Roman" w:hAnsi="Tahoma"/>
      <w:kern w:val="0"/>
      <w:sz w:val="16"/>
      <w:szCs w:val="20"/>
      <w14:ligatures w14:val="none"/>
    </w:rPr>
  </w:style>
  <w:style w:type="paragraph" w:customStyle="1" w:styleId="WhiteCentredHeading">
    <w:name w:val="White Centred Heading"/>
    <w:basedOn w:val="Heading1"/>
    <w:qFormat/>
    <w:rsid w:val="00D916A4"/>
    <w:pPr>
      <w:jc w:val="center"/>
    </w:pPr>
    <w:rPr>
      <w:rFonts w:eastAsia="Times New Roman"/>
      <w:bCs w:val="0"/>
      <w:color w:val="FFFFFF" w:themeColor="background1"/>
      <w:kern w:val="0"/>
      <w:sz w:val="24"/>
      <w:szCs w:val="20"/>
      <w14:ligatures w14:val="none"/>
    </w:rPr>
  </w:style>
  <w:style w:type="paragraph" w:styleId="List">
    <w:name w:val="List"/>
    <w:basedOn w:val="Normal"/>
    <w:uiPriority w:val="99"/>
    <w:semiHidden/>
    <w:unhideWhenUsed/>
    <w:rsid w:val="00D916A4"/>
    <w:pPr>
      <w:ind w:left="283" w:hanging="283"/>
      <w:contextualSpacing/>
    </w:pPr>
  </w:style>
  <w:style w:type="paragraph" w:styleId="TOCHeading">
    <w:name w:val="TOC Heading"/>
    <w:basedOn w:val="Heading1"/>
    <w:next w:val="Normal"/>
    <w:uiPriority w:val="39"/>
    <w:unhideWhenUsed/>
    <w:qFormat/>
    <w:rsid w:val="008F3E52"/>
    <w:pPr>
      <w:keepLines/>
      <w:spacing w:line="259" w:lineRule="auto"/>
      <w:jc w:val="center"/>
      <w:outlineLvl w:val="9"/>
    </w:pPr>
    <w:rPr>
      <w:rFonts w:asciiTheme="majorHAnsi" w:eastAsiaTheme="majorEastAsia" w:hAnsiTheme="majorHAnsi" w:cstheme="majorBidi"/>
      <w:bCs w:val="0"/>
      <w:kern w:val="0"/>
      <w:lang w:val="en-US"/>
      <w14:ligatures w14:val="none"/>
    </w:rPr>
  </w:style>
  <w:style w:type="paragraph" w:styleId="TOC1">
    <w:name w:val="toc 1"/>
    <w:basedOn w:val="Normal"/>
    <w:next w:val="Normal"/>
    <w:autoRedefine/>
    <w:uiPriority w:val="39"/>
    <w:unhideWhenUsed/>
    <w:rsid w:val="004F165C"/>
    <w:pPr>
      <w:spacing w:after="100"/>
    </w:pPr>
  </w:style>
  <w:style w:type="character" w:styleId="Hyperlink">
    <w:name w:val="Hyperlink"/>
    <w:basedOn w:val="DefaultParagraphFont"/>
    <w:uiPriority w:val="99"/>
    <w:unhideWhenUsed/>
    <w:rsid w:val="004F165C"/>
    <w:rPr>
      <w:color w:val="467886" w:themeColor="hyperlink"/>
      <w:u w:val="single"/>
    </w:rPr>
  </w:style>
  <w:style w:type="paragraph" w:customStyle="1" w:styleId="Title-TOCExcluded">
    <w:name w:val="Title - TOC Excluded"/>
    <w:link w:val="Title-TOCExcludedChar"/>
    <w:qFormat/>
    <w:rsid w:val="00B911E4"/>
    <w:pPr>
      <w:jc w:val="center"/>
    </w:pPr>
    <w:rPr>
      <w:rFonts w:ascii="Times New Roman" w:hAnsi="Times New Roman" w:cs="Times New Roman"/>
      <w:b/>
      <w:bCs/>
      <w:sz w:val="48"/>
      <w:szCs w:val="48"/>
    </w:rPr>
  </w:style>
  <w:style w:type="character" w:customStyle="1" w:styleId="Title-TOCExcludedChar">
    <w:name w:val="Title - TOC Excluded Char"/>
    <w:basedOn w:val="DefaultParagraphFont"/>
    <w:link w:val="Title-TOCExcluded"/>
    <w:rsid w:val="00B911E4"/>
    <w:rPr>
      <w:rFonts w:ascii="Times New Roman" w:hAnsi="Times New Roman" w:cs="Times New Roman"/>
      <w:b/>
      <w:bCs/>
      <w:sz w:val="48"/>
      <w:szCs w:val="48"/>
    </w:rPr>
  </w:style>
  <w:style w:type="paragraph" w:customStyle="1" w:styleId="ChapterTitle">
    <w:name w:val="Chapter Title"/>
    <w:basedOn w:val="Heading1"/>
    <w:next w:val="Normal"/>
    <w:link w:val="ChapterTitleChar"/>
    <w:qFormat/>
    <w:rsid w:val="00C87216"/>
    <w:pPr>
      <w:spacing w:before="240"/>
    </w:pPr>
    <w:rPr>
      <w:bCs w:val="0"/>
    </w:rPr>
  </w:style>
  <w:style w:type="character" w:customStyle="1" w:styleId="ChapterTitleChar">
    <w:name w:val="Chapter Title Char"/>
    <w:basedOn w:val="DefaultParagraphFont"/>
    <w:link w:val="ChapterTitle"/>
    <w:rsid w:val="00C87216"/>
    <w:rPr>
      <w:rFonts w:ascii="Times New Roman" w:hAnsi="Times New Roman" w:cs="Times New Roman"/>
      <w:b/>
      <w:sz w:val="32"/>
      <w:szCs w:val="32"/>
    </w:rPr>
  </w:style>
  <w:style w:type="character" w:styleId="Strong">
    <w:name w:val="Strong"/>
    <w:basedOn w:val="DefaultParagraphFont"/>
    <w:uiPriority w:val="22"/>
    <w:qFormat/>
    <w:rsid w:val="00506D7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yperlink" Target="https://vetnet.gov.au/Pages/TrainingDocs.aspx?q=98c3984e-2cf1-48a8-8ed1-85e4b92e7351" TargetMode="External" /><Relationship Id="rId14" Type="http://schemas.openxmlformats.org/officeDocument/2006/relationships/header" Target="header5.xml" /><Relationship Id="rId15" Type="http://schemas.openxmlformats.org/officeDocument/2006/relationships/header" Target="header6.xml" /><Relationship Id="rId16" Type="http://schemas.openxmlformats.org/officeDocument/2006/relationships/footer" Target="footer5.xml" /><Relationship Id="rId17" Type="http://schemas.openxmlformats.org/officeDocument/2006/relationships/footer" Target="footer6.xml" /><Relationship Id="rId18" Type="http://schemas.openxmlformats.org/officeDocument/2006/relationships/header" Target="header7.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theme" Target="theme/theme1.xml" /><Relationship Id="rId21" Type="http://schemas.openxmlformats.org/officeDocument/2006/relationships/numbering" Target="numbering.xml" /><Relationship Id="rId22"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eader" Target="header2.xml" /><Relationship Id="rId8" Type="http://schemas.openxmlformats.org/officeDocument/2006/relationships/header" Target="header3.xml" /><Relationship Id="rId9" Type="http://schemas.openxmlformats.org/officeDocument/2006/relationships/footer" Target="footer2.xml"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15D1FD-CC37-42A8-9988-D7D032043C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2</Words>
  <Characters>14</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Public Skills Australia</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POLINV043 Present evidence on crash incidents</dc:title>
  <dc:subject>Release: 1</dc:subject>
  <dc:creator>Public Skills Australia</dc:creator>
  <cp:keywords>TPC v2.9.0-1889+Branch.main.Sha.5c5515f0cb3477ef23201eb5dbc80d48b7a3d011.5c5515f0cb3477ef23201eb5dbc80d48b7a3d011</cp:keywords>
  <cp:lastModifiedBy>TPC</cp:lastModifiedBy>
  <cp:revision>9</cp:revision>
  <dcterms:created xsi:type="dcterms:W3CDTF">2025-09-26T00:06:40Z</dcterms:created>
  <dcterms:modified xsi:type="dcterms:W3CDTF">2025-09-26T00:06:40Z</dcterms:modified>
  <cp:contentStatus>Published</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ActionId">
    <vt:lpwstr>abd97b8f-d1c9-4757-9d6f-2d16a89172d4</vt:lpwstr>
  </property>
  <property fmtid="{D5CDD505-2E9C-101B-9397-08002B2CF9AE}" pid="3" name="MSIP_Label_79d889eb-932f-4752-8739-64d25806ef64_ContentBits">
    <vt:lpwstr>0</vt:lpwstr>
  </property>
  <property fmtid="{D5CDD505-2E9C-101B-9397-08002B2CF9AE}" pid="4" name="MSIP_Label_79d889eb-932f-4752-8739-64d25806ef64_Enabled">
    <vt:lpwstr>true</vt:lpwstr>
  </property>
  <property fmtid="{D5CDD505-2E9C-101B-9397-08002B2CF9AE}" pid="5" name="MSIP_Label_79d889eb-932f-4752-8739-64d25806ef64_Method">
    <vt:lpwstr>Privileged</vt:lpwstr>
  </property>
  <property fmtid="{D5CDD505-2E9C-101B-9397-08002B2CF9AE}" pid="6" name="MSIP_Label_79d889eb-932f-4752-8739-64d25806ef64_Name">
    <vt:lpwstr>79d889eb-932f-4752-8739-64d25806ef64</vt:lpwstr>
  </property>
  <property fmtid="{D5CDD505-2E9C-101B-9397-08002B2CF9AE}" pid="7" name="MSIP_Label_79d889eb-932f-4752-8739-64d25806ef64_SetDate">
    <vt:lpwstr>2024-11-13T03:44:06Z</vt:lpwstr>
  </property>
  <property fmtid="{D5CDD505-2E9C-101B-9397-08002B2CF9AE}" pid="8" name="MSIP_Label_79d889eb-932f-4752-8739-64d25806ef64_SiteId">
    <vt:lpwstr>dd0cfd15-4558-4b12-8bad-ea26984fc417</vt:lpwstr>
  </property>
  <property fmtid="{D5CDD505-2E9C-101B-9397-08002B2CF9AE}" pid="9" name="MSIP_Label_8b160e8f-e4bd-494f-8ddf-e78e1834eb0e_ActionId">
    <vt:lpwstr>5670ec57-b4f4-4914-985d-2cf22212a888</vt:lpwstr>
  </property>
  <property fmtid="{D5CDD505-2E9C-101B-9397-08002B2CF9AE}" pid="10" name="MSIP_Label_8b160e8f-e4bd-494f-8ddf-e78e1834eb0e_ContentBits">
    <vt:lpwstr>0</vt:lpwstr>
  </property>
  <property fmtid="{D5CDD505-2E9C-101B-9397-08002B2CF9AE}" pid="11" name="MSIP_Label_8b160e8f-e4bd-494f-8ddf-e78e1834eb0e_Enabled">
    <vt:lpwstr>true</vt:lpwstr>
  </property>
  <property fmtid="{D5CDD505-2E9C-101B-9397-08002B2CF9AE}" pid="12" name="MSIP_Label_8b160e8f-e4bd-494f-8ddf-e78e1834eb0e_Method">
    <vt:lpwstr>Privileged</vt:lpwstr>
  </property>
  <property fmtid="{D5CDD505-2E9C-101B-9397-08002B2CF9AE}" pid="13" name="MSIP_Label_8b160e8f-e4bd-494f-8ddf-e78e1834eb0e_Name">
    <vt:lpwstr>General</vt:lpwstr>
  </property>
  <property fmtid="{D5CDD505-2E9C-101B-9397-08002B2CF9AE}" pid="14" name="MSIP_Label_8b160e8f-e4bd-494f-8ddf-e78e1834eb0e_SetDate">
    <vt:lpwstr>2024-11-28T04:30:51Z</vt:lpwstr>
  </property>
  <property fmtid="{D5CDD505-2E9C-101B-9397-08002B2CF9AE}" pid="15" name="MSIP_Label_8b160e8f-e4bd-494f-8ddf-e78e1834eb0e_SiteId">
    <vt:lpwstr>ff8a34aa-31fe-4a22-9c22-29e2af4a065d</vt:lpwstr>
  </property>
</Properties>
</file>