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041" w:rsidP="00121041">
      <w:pPr>
        <w:pStyle w:val="Title"/>
      </w:pPr>
      <w:r>
        <w:fldChar w:fldCharType="begin"/>
      </w:r>
      <w:r>
        <w:instrText xml:space="preserve"> TITLE   \* MERGEFORMAT </w:instrText>
      </w:r>
      <w:r>
        <w:fldChar w:fldCharType="separate"/>
      </w:r>
      <w:r>
        <w:t>POLGEN044 Conduct an initial investigation</w:t>
      </w:r>
      <w:r>
        <w:fldChar w:fldCharType="end"/>
      </w:r>
    </w:p>
    <w:p w:rsidR="00121041" w:rsidP="00121041">
      <w:pPr>
        <w:pStyle w:val="Version"/>
        <w:sectPr w:rsidSect="006F0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A56" w:rsidP="006F0A56">
      <w:pPr>
        <w:pStyle w:val="SuperHeading"/>
      </w:pPr>
      <w:r w:rsidRPr="006F0A56">
        <w:t>POLGEN044 Conduct an initial investigation</w:t>
      </w:r>
    </w:p>
    <w:p w:rsidR="00000000" w:rsidRPr="006F0A56" w:rsidP="006F0A56">
      <w:pPr>
        <w:pStyle w:val="Heading1"/>
      </w:pPr>
      <w:bookmarkStart w:id="1" w:name="O_1283453"/>
      <w:bookmarkEnd w:id="1"/>
      <w:r w:rsidRPr="006F0A56">
        <w:t>Modification History</w:t>
      </w:r>
    </w:p>
    <w:tbl>
      <w:tblPr>
        <w:tblW w:w="0" w:type="auto"/>
        <w:tblLayout w:type="fixed"/>
        <w:tblCellMar>
          <w:left w:w="62" w:type="dxa"/>
          <w:right w:w="62" w:type="dxa"/>
        </w:tblCellMar>
        <w:tblLook w:val="0000"/>
      </w:tblPr>
      <w:tblGrid>
        <w:gridCol w:w="1134"/>
        <w:gridCol w:w="7937"/>
      </w:tblGrid>
      <w:tr w:rsidTr="00121041">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A56">
            <w:pPr>
              <w:pStyle w:val="TableHeading"/>
              <w:rPr>
                <w:lang w:val="en-NZ"/>
              </w:rPr>
            </w:pPr>
            <w:r w:rsidRPr="006F0A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A56">
            <w:pPr>
              <w:pStyle w:val="TableHeading"/>
              <w:rPr>
                <w:lang w:val="en-NZ"/>
              </w:rPr>
            </w:pPr>
            <w:r w:rsidRPr="006F0A56">
              <w:t>Comments</w:t>
            </w:r>
          </w:p>
        </w:tc>
      </w:tr>
      <w:tr w:rsidTr="00121041">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A56">
            <w:pPr>
              <w:pStyle w:val="BodyText"/>
              <w:rPr>
                <w:lang w:val="en-NZ"/>
              </w:rPr>
            </w:pPr>
            <w:r w:rsidRPr="006F0A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A56" w:rsidP="006F0A56">
            <w:pPr>
              <w:pStyle w:val="BodyText"/>
            </w:pPr>
            <w:r w:rsidRPr="006F0A56">
              <w:t>This unit was released in POL Police Training Package release 8.0</w:t>
            </w:r>
          </w:p>
        </w:tc>
      </w:tr>
    </w:tbl>
    <w:p w:rsidR="00000000" w:rsidRPr="006F0A56" w:rsidP="006F0A56">
      <w:pPr>
        <w:pStyle w:val="BodyText"/>
      </w:pPr>
    </w:p>
    <w:p w:rsidR="00000000" w:rsidRPr="006F0A56" w:rsidP="006F0A56">
      <w:pPr>
        <w:pStyle w:val="AllowPageBreak"/>
      </w:pPr>
    </w:p>
    <w:p w:rsidR="00000000" w:rsidRPr="006F0A56" w:rsidP="006F0A56">
      <w:pPr>
        <w:pStyle w:val="Heading1"/>
      </w:pPr>
      <w:bookmarkStart w:id="2" w:name="O_1283454"/>
      <w:bookmarkEnd w:id="2"/>
      <w:r w:rsidRPr="006F0A56">
        <w:t>Application</w:t>
      </w:r>
    </w:p>
    <w:p w:rsidR="00000000" w:rsidRPr="006F0A56" w:rsidP="00121041">
      <w:pPr>
        <w:pStyle w:val="BodyText"/>
      </w:pPr>
      <w:r w:rsidRPr="006F0A56">
        <w:t>This unit describes the competencies required to conduct initial investigations, including managing incident scenes,</w:t>
      </w:r>
      <w:r w:rsidRPr="006F0A56">
        <w:t xml:space="preserve"> gathering and assessing information and evidence, managing exhibits, interviewing participants, conducting searches and processing persons of interest. It applies to candidates working in a policing environment, typically in a general duties role. The ski</w:t>
      </w:r>
      <w:r w:rsidRPr="006F0A56">
        <w:t>lls and knowledge described in this unit must be applied within the current legislative, regulatory and policy environment in which they are carried out. Organisational policies and procedures must be consulted and adhered to, particularly those related to</w:t>
      </w:r>
      <w:r w:rsidRPr="006F0A56">
        <w:t xml:space="preserve"> preservation of evidence, collecting of information, handling of exhibits and lawful searches.  Candidates undertaking this unit would primarily work independently or under limited supervision, while performing specific tasks in a broad range of contexts.</w:t>
      </w:r>
      <w:r w:rsidRPr="006F0A56">
        <w:t xml:space="preserve"> They would be required to apply decision making and problem-solving skills to interpret behaviours and develop solutions.  </w:t>
      </w:r>
    </w:p>
    <w:p w:rsidR="00000000" w:rsidRPr="006F0A56" w:rsidP="00121041">
      <w:pPr>
        <w:pStyle w:val="BodyText"/>
      </w:pPr>
      <w:r w:rsidRPr="006F0A56">
        <w:t>No licensing, legislative or certification requirements apply to unit at the time of publication.</w:t>
      </w:r>
    </w:p>
    <w:p w:rsidR="00000000" w:rsidRPr="006F0A56" w:rsidP="006F0A56">
      <w:pPr>
        <w:pStyle w:val="Heading1"/>
      </w:pPr>
      <w:bookmarkStart w:id="3" w:name="O_1283455"/>
      <w:bookmarkEnd w:id="3"/>
      <w:r w:rsidRPr="006F0A56">
        <w:t>Pre-requisite Unit</w:t>
      </w:r>
    </w:p>
    <w:p w:rsidR="00000000" w:rsidRPr="006F0A56" w:rsidP="00121041">
      <w:pPr>
        <w:pStyle w:val="BodyText"/>
      </w:pPr>
      <w:r w:rsidRPr="006F0A56">
        <w:t>Not applicable</w:t>
      </w:r>
    </w:p>
    <w:p w:rsidR="00000000" w:rsidRPr="006F0A56" w:rsidP="006F0A56">
      <w:pPr>
        <w:pStyle w:val="Heading1"/>
      </w:pPr>
      <w:bookmarkStart w:id="4" w:name="O_1283456"/>
      <w:bookmarkEnd w:id="4"/>
      <w:r w:rsidRPr="006F0A56">
        <w:t>Competency Field</w:t>
      </w:r>
    </w:p>
    <w:p w:rsidR="00000000" w:rsidRPr="006F0A56" w:rsidP="00121041">
      <w:pPr>
        <w:pStyle w:val="BodyText"/>
      </w:pPr>
      <w:r w:rsidRPr="006F0A56">
        <w:t>General</w:t>
      </w:r>
    </w:p>
    <w:p w:rsidR="00000000" w:rsidRPr="006F0A56" w:rsidP="006F0A56">
      <w:pPr>
        <w:pStyle w:val="Heading1"/>
      </w:pPr>
      <w:bookmarkStart w:id="5" w:name="O_1283457"/>
      <w:bookmarkEnd w:id="5"/>
      <w:r w:rsidRPr="006F0A56">
        <w:t>Unit Sector</w:t>
      </w:r>
    </w:p>
    <w:p w:rsidR="00000000" w:rsidRPr="006F0A56" w:rsidP="00121041">
      <w:pPr>
        <w:pStyle w:val="BodyText"/>
      </w:pPr>
      <w:r w:rsidRPr="006F0A56">
        <w:t>Not applicable</w:t>
      </w:r>
    </w:p>
    <w:p w:rsidR="00000000" w:rsidRPr="006F0A56" w:rsidP="006F0A56">
      <w:pPr>
        <w:pStyle w:val="Heading1"/>
      </w:pPr>
      <w:bookmarkStart w:id="6" w:name="O_1283458"/>
      <w:bookmarkEnd w:id="6"/>
      <w:r w:rsidRPr="006F0A56">
        <w:t>Elements and Performance Criteria</w:t>
      </w:r>
    </w:p>
    <w:tbl>
      <w:tblPr>
        <w:tblW w:w="0" w:type="auto"/>
        <w:tblCellMar>
          <w:left w:w="62" w:type="dxa"/>
          <w:right w:w="62" w:type="dxa"/>
        </w:tblCellMar>
        <w:tblLook w:val="0000"/>
      </w:tblPr>
      <w:tblGrid>
        <w:gridCol w:w="2695"/>
        <w:gridCol w:w="6501"/>
      </w:tblGrid>
      <w:tr w:rsidTr="00121041">
        <w:tblPrEx>
          <w:tblW w:w="0" w:type="auto"/>
          <w:tblCellMar>
            <w:left w:w="62" w:type="dxa"/>
            <w:right w:w="62" w:type="dxa"/>
          </w:tblCellMar>
          <w:tblLook w:val="0000"/>
        </w:tblPrEx>
        <w:trPr>
          <w:trHeight w:val="2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TableHeading"/>
              <w:rPr>
                <w:lang w:val="en-NZ"/>
              </w:rPr>
            </w:pPr>
            <w:r w:rsidRPr="006F0A56">
              <w:t xml:space="preserve">ELEMENTS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TableHeading"/>
              <w:rPr>
                <w:lang w:val="en-NZ"/>
              </w:rPr>
            </w:pPr>
            <w:r w:rsidRPr="006F0A56">
              <w:t>PERFORMANCE CRITERIA</w:t>
            </w:r>
          </w:p>
        </w:tc>
      </w:tr>
      <w:tr w:rsidTr="00121041">
        <w:tblPrEx>
          <w:tblW w:w="0" w:type="auto"/>
          <w:tblCellMar>
            <w:left w:w="62" w:type="dxa"/>
            <w:right w:w="62" w:type="dxa"/>
          </w:tblCellMar>
          <w:tblLook w:val="0000"/>
        </w:tblPrEx>
        <w:trPr>
          <w:trHeight w:val="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t xml:space="preserve">Elements describe the </w:t>
            </w:r>
            <w:r w:rsidRPr="006F0A56">
              <w:t>essential outcomes of the</w:t>
            </w:r>
            <w:r w:rsidRPr="006F0A56">
              <w:t xml:space="preserve"> unit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t xml:space="preserve">Performance criteria describe the performance needed to demonstrate </w:t>
            </w:r>
            <w:r w:rsidRPr="006F0A56">
              <w:t xml:space="preserve">achievement of the element. </w:t>
            </w:r>
          </w:p>
        </w:tc>
      </w:tr>
      <w:tr w:rsidTr="00121041">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1.</w:t>
            </w:r>
            <w:r w:rsidRPr="006F0A56">
              <w:tab/>
              <w:t>Manage incident scene</w:t>
            </w:r>
            <w:r w:rsidRPr="006F0A5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1.1</w:t>
            </w:r>
            <w:r w:rsidRPr="006F0A56">
              <w:tab/>
              <w:t>Assess situation to determine whether an investigation is required.</w:t>
            </w:r>
          </w:p>
          <w:p w:rsidR="00000000" w:rsidRPr="006F0A56" w:rsidP="006F0A56">
            <w:pPr>
              <w:pStyle w:val="List"/>
            </w:pPr>
            <w:r w:rsidRPr="006F0A56">
              <w:t>1.2</w:t>
            </w:r>
            <w:r w:rsidRPr="006F0A56">
              <w:tab/>
            </w:r>
            <w:r w:rsidRPr="006F0A56">
              <w:t>Ensure scene and evidence is secured to facilitate investigation.</w:t>
            </w:r>
          </w:p>
          <w:p w:rsidR="00000000" w:rsidRPr="006F0A56" w:rsidP="006F0A56">
            <w:pPr>
              <w:pStyle w:val="List"/>
            </w:pPr>
            <w:r w:rsidRPr="006F0A56">
              <w:t>1.3</w:t>
            </w:r>
            <w:r w:rsidRPr="006F0A56">
              <w:tab/>
              <w:t xml:space="preserve">Communicate resource requirements to internal and external stakeholders. </w:t>
            </w:r>
          </w:p>
          <w:p w:rsidR="00000000" w:rsidRPr="006F0A56" w:rsidP="006F0A56">
            <w:pPr>
              <w:pStyle w:val="List"/>
            </w:pPr>
            <w:r w:rsidRPr="006F0A56">
              <w:t>1.4</w:t>
            </w:r>
            <w:r w:rsidRPr="006F0A56">
              <w:tab/>
              <w:t xml:space="preserve">Determine witnesses and persons of interest to support the investigation. </w:t>
            </w:r>
          </w:p>
          <w:p w:rsidR="00000000" w:rsidP="006F0A56">
            <w:pPr>
              <w:pStyle w:val="List"/>
              <w:rPr>
                <w:lang w:val="en-NZ"/>
              </w:rPr>
            </w:pPr>
            <w:r w:rsidRPr="006F0A56">
              <w:t>1.5</w:t>
            </w:r>
            <w:r w:rsidRPr="006F0A56">
              <w:tab/>
              <w:t>Identify details of the scene</w:t>
            </w:r>
            <w:r w:rsidRPr="006F0A56">
              <w:t xml:space="preserve"> for recording purposes. </w:t>
            </w:r>
          </w:p>
        </w:tc>
      </w:tr>
      <w:tr w:rsidTr="00121041">
        <w:tblPrEx>
          <w:tblW w:w="0" w:type="auto"/>
          <w:tblCellMar>
            <w:left w:w="62" w:type="dxa"/>
            <w:right w:w="62" w:type="dxa"/>
          </w:tblCellMar>
          <w:tblLook w:val="0000"/>
        </w:tblPrEx>
        <w:trPr>
          <w:trHeight w:val="133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2.</w:t>
            </w:r>
            <w:r w:rsidRPr="006F0A56">
              <w:tab/>
              <w:t>Gather information and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2.1</w:t>
            </w:r>
            <w:r w:rsidRPr="006F0A56">
              <w:tab/>
              <w:t>Identify information that may be relevant to the investigation.</w:t>
            </w:r>
          </w:p>
          <w:p w:rsidR="00000000" w:rsidRPr="006F0A56" w:rsidP="006F0A56">
            <w:pPr>
              <w:pStyle w:val="List"/>
            </w:pPr>
            <w:r w:rsidRPr="006F0A56">
              <w:t>2.2</w:t>
            </w:r>
            <w:r w:rsidRPr="006F0A56">
              <w:tab/>
              <w:t xml:space="preserve">Obtain information in an ethical and professional manner to ensure the integrity of the investigation.  </w:t>
            </w:r>
          </w:p>
          <w:p w:rsidR="00000000" w:rsidP="006F0A56">
            <w:pPr>
              <w:pStyle w:val="List"/>
              <w:rPr>
                <w:lang w:val="en-NZ"/>
              </w:rPr>
            </w:pPr>
            <w:r w:rsidRPr="006F0A56">
              <w:t>2.3</w:t>
            </w:r>
            <w:r w:rsidRPr="006F0A56">
              <w:tab/>
              <w:t>Collect poten</w:t>
            </w:r>
            <w:r w:rsidRPr="006F0A56">
              <w:t>tial evidence for recording and investigation purposes.</w:t>
            </w:r>
          </w:p>
        </w:tc>
      </w:tr>
      <w:tr w:rsidTr="00121041">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3.</w:t>
            </w:r>
            <w:r w:rsidRPr="006F0A56">
              <w:tab/>
              <w:t>Assess information and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3.1</w:t>
            </w:r>
            <w:r w:rsidRPr="006F0A56">
              <w:tab/>
              <w:t>Analyse information to determine its relevance to the investigation.</w:t>
            </w:r>
          </w:p>
          <w:p w:rsidR="00000000" w:rsidP="006F0A56">
            <w:pPr>
              <w:pStyle w:val="List"/>
              <w:rPr>
                <w:lang w:val="en-NZ"/>
              </w:rPr>
            </w:pPr>
            <w:r w:rsidRPr="006F0A56">
              <w:t>3.2</w:t>
            </w:r>
            <w:r w:rsidRPr="006F0A56">
              <w:tab/>
            </w:r>
            <w:r w:rsidRPr="006F0A56">
              <w:t xml:space="preserve">Evaluate information and evidence to determine whether an offence has been committed.    </w:t>
            </w:r>
          </w:p>
        </w:tc>
      </w:tr>
      <w:tr w:rsidTr="00121041">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4.</w:t>
            </w:r>
            <w:r w:rsidRPr="006F0A56">
              <w:tab/>
              <w:t>Manage exhibits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4.1</w:t>
            </w:r>
            <w:r w:rsidRPr="006F0A56">
              <w:tab/>
              <w:t>Handle exhibits to minimise contamination and maintain integrity.</w:t>
            </w:r>
          </w:p>
          <w:p w:rsidR="00000000" w:rsidRPr="006F0A56" w:rsidP="006F0A56">
            <w:pPr>
              <w:pStyle w:val="List"/>
            </w:pPr>
            <w:r w:rsidRPr="006F0A56">
              <w:t>4.2</w:t>
            </w:r>
            <w:r w:rsidRPr="006F0A56">
              <w:tab/>
              <w:t xml:space="preserve">Adhere to continuity of evidence principles to preserve the evidentiary </w:t>
            </w:r>
            <w:r w:rsidRPr="006F0A56">
              <w:t>value of exhibits.</w:t>
            </w:r>
          </w:p>
          <w:p w:rsidR="00000000" w:rsidRPr="006F0A56" w:rsidP="006F0A56">
            <w:pPr>
              <w:pStyle w:val="List"/>
            </w:pPr>
            <w:r w:rsidRPr="006F0A56">
              <w:t>4.3</w:t>
            </w:r>
            <w:r w:rsidRPr="006F0A56">
              <w:tab/>
              <w:t>Assess exhibits to determine whether further forensic analysis is required.</w:t>
            </w:r>
          </w:p>
          <w:p w:rsidR="00000000" w:rsidP="006F0A56">
            <w:pPr>
              <w:pStyle w:val="List"/>
              <w:rPr>
                <w:lang w:val="en-NZ"/>
              </w:rPr>
            </w:pPr>
            <w:r w:rsidRPr="006F0A56">
              <w:t>4.4</w:t>
            </w:r>
            <w:r w:rsidRPr="006F0A56">
              <w:tab/>
              <w:t>Use evidentiary recording and collection equipment to manage and store exhibits.</w:t>
            </w:r>
          </w:p>
        </w:tc>
      </w:tr>
      <w:tr w:rsidTr="00121041">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5.</w:t>
            </w:r>
            <w:r w:rsidRPr="006F0A56">
              <w:tab/>
              <w:t>Interview victims and witnesses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5.1</w:t>
            </w:r>
            <w:r w:rsidRPr="006F0A56">
              <w:tab/>
              <w:t>Develop an initial interview pla</w:t>
            </w:r>
            <w:r w:rsidRPr="006F0A56">
              <w:t>n to obtain information and support investigation.</w:t>
            </w:r>
          </w:p>
          <w:p w:rsidR="00000000" w:rsidRPr="006F0A56" w:rsidP="006F0A56">
            <w:pPr>
              <w:pStyle w:val="List"/>
            </w:pPr>
            <w:r w:rsidRPr="006F0A56">
              <w:t>5.2</w:t>
            </w:r>
            <w:r w:rsidRPr="006F0A56">
              <w:tab/>
              <w:t>Assess welfare of victims/witness for referral purposes.</w:t>
            </w:r>
          </w:p>
          <w:p w:rsidR="00000000" w:rsidRPr="006F0A56" w:rsidP="006F0A56">
            <w:pPr>
              <w:pStyle w:val="List"/>
            </w:pPr>
            <w:r w:rsidRPr="006F0A56">
              <w:t>5.3</w:t>
            </w:r>
            <w:r w:rsidRPr="006F0A56">
              <w:tab/>
              <w:t>Take statements from victims/witness for evidentiary purposes.</w:t>
            </w:r>
          </w:p>
          <w:p w:rsidR="00000000" w:rsidRPr="006F0A56" w:rsidP="006F0A56">
            <w:pPr>
              <w:pStyle w:val="List"/>
            </w:pPr>
            <w:r w:rsidRPr="006F0A56">
              <w:t>5.4</w:t>
            </w:r>
            <w:r w:rsidRPr="006F0A56">
              <w:tab/>
              <w:t>Review statements with victims/witness to ensure details and chronology h</w:t>
            </w:r>
            <w:r w:rsidRPr="006F0A56">
              <w:t>ave been accurately recorded.</w:t>
            </w:r>
          </w:p>
          <w:p w:rsidR="00000000" w:rsidP="006F0A56">
            <w:pPr>
              <w:pStyle w:val="List"/>
              <w:rPr>
                <w:lang w:val="en-NZ"/>
              </w:rPr>
            </w:pPr>
            <w:r w:rsidRPr="006F0A56">
              <w:t>5.5</w:t>
            </w:r>
            <w:r w:rsidRPr="006F0A56">
              <w:tab/>
              <w:t>Assess statements to identify potential avenues of further inquiry within the investigation.</w:t>
            </w:r>
          </w:p>
        </w:tc>
      </w:tr>
      <w:tr w:rsidTr="00121041">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6.</w:t>
            </w:r>
            <w:r w:rsidRPr="006F0A56">
              <w:tab/>
              <w:t>Conduct an interview with persons of interest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6.1</w:t>
            </w:r>
            <w:r w:rsidRPr="006F0A56">
              <w:tab/>
              <w:t>Manage interview process in accordance with custody requirements.</w:t>
            </w:r>
          </w:p>
          <w:p w:rsidR="00000000" w:rsidRPr="006F0A56" w:rsidP="006F0A56">
            <w:pPr>
              <w:pStyle w:val="List"/>
            </w:pPr>
            <w:r w:rsidRPr="006F0A56">
              <w:t>6.2</w:t>
            </w:r>
            <w:r w:rsidRPr="006F0A56">
              <w:tab/>
            </w:r>
            <w:r w:rsidRPr="006F0A56">
              <w:t>Plan interview in accordance with investigative requirements.</w:t>
            </w:r>
          </w:p>
          <w:p w:rsidR="00000000" w:rsidRPr="006F0A56" w:rsidP="006F0A56">
            <w:pPr>
              <w:pStyle w:val="List"/>
            </w:pPr>
            <w:r w:rsidRPr="006F0A56">
              <w:t>6.3</w:t>
            </w:r>
            <w:r w:rsidRPr="006F0A56">
              <w:tab/>
              <w:t>Explain the interview process to person of interest to provide an understanding of legal rights.</w:t>
            </w:r>
          </w:p>
          <w:p w:rsidR="00000000" w:rsidRPr="006F0A56" w:rsidP="006F0A56">
            <w:pPr>
              <w:pStyle w:val="List"/>
            </w:pPr>
            <w:r w:rsidRPr="006F0A56">
              <w:t>6.4</w:t>
            </w:r>
            <w:r w:rsidRPr="006F0A56">
              <w:tab/>
              <w:t>Use investigative interviewing techniques to identify and collect relevant information.</w:t>
            </w:r>
          </w:p>
          <w:p w:rsidR="00000000" w:rsidP="006F0A56">
            <w:pPr>
              <w:pStyle w:val="List"/>
              <w:rPr>
                <w:lang w:val="en-NZ"/>
              </w:rPr>
            </w:pPr>
            <w:r w:rsidRPr="006F0A56">
              <w:t>6</w:t>
            </w:r>
            <w:r w:rsidRPr="006F0A56">
              <w:t>.5</w:t>
            </w:r>
            <w:r w:rsidRPr="006F0A56">
              <w:tab/>
              <w:t>Assess interview to identify potential options for judicial processes and other avenues for investigation.</w:t>
            </w:r>
          </w:p>
        </w:tc>
      </w:tr>
      <w:tr w:rsidTr="00121041">
        <w:tblPrEx>
          <w:tblW w:w="0" w:type="auto"/>
          <w:tblCellMar>
            <w:left w:w="62" w:type="dxa"/>
            <w:right w:w="62" w:type="dxa"/>
          </w:tblCellMar>
          <w:tblLook w:val="0000"/>
        </w:tblPrEx>
        <w:trPr>
          <w:trHeight w:val="6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List"/>
              <w:rPr>
                <w:lang w:val="en-NZ"/>
              </w:rPr>
            </w:pPr>
            <w:r w:rsidRPr="006F0A56">
              <w:t>7.</w:t>
            </w:r>
            <w:r w:rsidRPr="006F0A56">
              <w:tab/>
              <w:t>Complete searches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List"/>
            </w:pPr>
            <w:r w:rsidRPr="006F0A56">
              <w:t>7.1</w:t>
            </w:r>
            <w:r w:rsidRPr="006F0A56">
              <w:tab/>
              <w:t>Assess risk to protect safety of self, colleagues and public.</w:t>
            </w:r>
          </w:p>
          <w:p w:rsidR="00000000" w:rsidRPr="006F0A56" w:rsidP="006F0A56">
            <w:pPr>
              <w:pStyle w:val="List"/>
            </w:pPr>
            <w:r w:rsidRPr="006F0A56">
              <w:t>7.2</w:t>
            </w:r>
            <w:r w:rsidRPr="006F0A56">
              <w:tab/>
              <w:t xml:space="preserve">Plan search according to legislative requirements and </w:t>
            </w:r>
            <w:r w:rsidRPr="006F0A56">
              <w:t xml:space="preserve">resource </w:t>
            </w:r>
            <w:r w:rsidRPr="006F0A56">
              <w:t xml:space="preserve">constraints.  </w:t>
            </w:r>
          </w:p>
          <w:p w:rsidR="00000000" w:rsidRPr="006F0A56" w:rsidP="006F0A56">
            <w:pPr>
              <w:pStyle w:val="List"/>
            </w:pPr>
            <w:r w:rsidRPr="006F0A56">
              <w:t>7.3</w:t>
            </w:r>
            <w:r w:rsidRPr="006F0A56">
              <w:tab/>
              <w:t xml:space="preserve">Conduct search of person, vehicle or place in a safe and lawful manner.  </w:t>
            </w:r>
          </w:p>
        </w:tc>
      </w:tr>
    </w:tbl>
    <w:p w:rsidR="00000000" w:rsidRPr="006F0A56" w:rsidP="006F0A56">
      <w:pPr>
        <w:pStyle w:val="BodyText"/>
      </w:pPr>
    </w:p>
    <w:p w:rsidR="00000000" w:rsidRPr="006F0A56" w:rsidP="006F0A56">
      <w:pPr>
        <w:pStyle w:val="AllowPageBreak"/>
      </w:pPr>
    </w:p>
    <w:p w:rsidR="00000000" w:rsidRPr="006F0A56" w:rsidP="006F0A56">
      <w:pPr>
        <w:pStyle w:val="Heading1"/>
      </w:pPr>
      <w:bookmarkStart w:id="7" w:name="O_1283459"/>
      <w:bookmarkEnd w:id="7"/>
      <w:r w:rsidRPr="006F0A56">
        <w:t>Foundation Skills</w:t>
      </w:r>
    </w:p>
    <w:p w:rsidR="00000000" w:rsidRPr="006F0A56" w:rsidP="00121041">
      <w:pPr>
        <w:pStyle w:val="BodyText"/>
      </w:pPr>
      <w:r w:rsidRPr="006F0A56">
        <w:t xml:space="preserve">This section describes those language, literacy, numeracy and employment skills that are essential to performance. </w:t>
      </w:r>
      <w:r w:rsidRPr="006F0A56">
        <w:t>Foundation skills essential to performance in this unit, but not explicit in the performance criteria are listed in the table below.</w:t>
      </w:r>
    </w:p>
    <w:p w:rsidR="00000000" w:rsidRPr="006F0A56" w:rsidP="00121041">
      <w:pPr>
        <w:pStyle w:val="BodyText"/>
      </w:pPr>
      <w:r w:rsidRPr="006F0A56">
        <w:t>The ability to interpret messages and text, record observations and evidence, communicate with purpose to different communi</w:t>
      </w:r>
      <w:r w:rsidRPr="006F0A56">
        <w:t>ties and audiences, plan and schedule tasks according to estimated timeframes, continuously seek to learn through on-the-job observations, solve problems, work with others in a team, plan and organise activities and self-manage behaviour are core foundatio</w:t>
      </w:r>
      <w:r w:rsidRPr="006F0A56">
        <w:t>n skills relevant to the policing context.</w:t>
      </w:r>
    </w:p>
    <w:tbl>
      <w:tblPr>
        <w:tblW w:w="0" w:type="auto"/>
        <w:tblLayout w:type="fixed"/>
        <w:tblCellMar>
          <w:left w:w="62" w:type="dxa"/>
          <w:right w:w="62" w:type="dxa"/>
        </w:tblCellMar>
        <w:tblLook w:val="0000"/>
      </w:tblPr>
      <w:tblGrid>
        <w:gridCol w:w="2028"/>
        <w:gridCol w:w="6801"/>
      </w:tblGrid>
      <w:tr w:rsidTr="006F0A56">
        <w:tblPrEx>
          <w:tblW w:w="0" w:type="auto"/>
          <w:tblLayout w:type="fixed"/>
          <w:tblCellMar>
            <w:left w:w="62" w:type="dxa"/>
            <w:right w:w="62" w:type="dxa"/>
          </w:tblCellMar>
          <w:tblLook w:val="0000"/>
        </w:tblPrEx>
        <w:trPr>
          <w:trHeight w:val="784"/>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BodyText"/>
            </w:pPr>
            <w:r w:rsidRPr="006F0A56">
              <w:rPr>
                <w:rStyle w:val="SpecialBold"/>
              </w:rPr>
              <w:t>Skill</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rPr>
                <w:rStyle w:val="SpecialBold"/>
              </w:rPr>
              <w:t>Description</w:t>
            </w:r>
          </w:p>
        </w:tc>
      </w:tr>
      <w:tr w:rsidTr="006F0A56">
        <w:tblPrEx>
          <w:tblW w:w="0" w:type="auto"/>
          <w:tblLayout w:type="fixed"/>
          <w:tblCellMar>
            <w:left w:w="62" w:type="dxa"/>
            <w:right w:w="62" w:type="dxa"/>
          </w:tblCellMar>
          <w:tblLook w:val="0000"/>
        </w:tblPrEx>
        <w:trPr>
          <w:trHeight w:val="784"/>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rPr>
                <w:rStyle w:val="SpecialBold"/>
              </w:rPr>
              <w:t>Learning</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t>Build skills in how to exercise police powers with tact, discretion and sensitivity in an ethical manner.</w:t>
            </w:r>
          </w:p>
        </w:tc>
      </w:tr>
      <w:tr w:rsidTr="006F0A56">
        <w:tblPrEx>
          <w:tblW w:w="0" w:type="auto"/>
          <w:tblLayout w:type="fixed"/>
          <w:tblCellMar>
            <w:left w:w="62" w:type="dxa"/>
            <w:right w:w="62" w:type="dxa"/>
          </w:tblCellMar>
          <w:tblLook w:val="0000"/>
        </w:tblPrEx>
        <w:trPr>
          <w:trHeight w:val="1873"/>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rPr>
                <w:rStyle w:val="SpecialBold"/>
              </w:rPr>
              <w:t>Reading</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BodyText"/>
            </w:pPr>
            <w:r w:rsidRPr="006F0A56">
              <w:t>Read and apply jurisdictional policies and procedures for pr</w:t>
            </w:r>
            <w:r w:rsidRPr="006F0A56">
              <w:t>eparation, filing and execution of search and arrest warrants.</w:t>
            </w:r>
          </w:p>
          <w:p w:rsidR="00000000" w:rsidRPr="006F0A56" w:rsidP="006F0A56">
            <w:pPr>
              <w:pStyle w:val="BodyText"/>
            </w:pPr>
            <w:r w:rsidRPr="006F0A56">
              <w:t>Read and evaluate written information and evidence to determine whether an offence has been committed.</w:t>
            </w:r>
          </w:p>
          <w:p w:rsidR="00000000" w:rsidP="006F0A56">
            <w:pPr>
              <w:pStyle w:val="BodyText"/>
              <w:rPr>
                <w:lang w:val="en-NZ"/>
              </w:rPr>
            </w:pPr>
            <w:r w:rsidRPr="006F0A56">
              <w:t>Read and assess information and potential evidence to determine its evidentiary value.</w:t>
            </w:r>
          </w:p>
        </w:tc>
      </w:tr>
      <w:tr w:rsidTr="006F0A56">
        <w:tblPrEx>
          <w:tblW w:w="0" w:type="auto"/>
          <w:tblLayout w:type="fixed"/>
          <w:tblCellMar>
            <w:left w:w="62" w:type="dxa"/>
            <w:right w:w="62" w:type="dxa"/>
          </w:tblCellMar>
          <w:tblLook w:val="0000"/>
        </w:tblPrEx>
        <w:trPr>
          <w:trHeight w:val="1329"/>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rPr>
                <w:rStyle w:val="SpecialBold"/>
              </w:rPr>
              <w:t>Wr</w:t>
            </w:r>
            <w:r w:rsidRPr="006F0A56">
              <w:rPr>
                <w:rStyle w:val="SpecialBold"/>
              </w:rPr>
              <w:t>iting</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BodyText"/>
            </w:pPr>
            <w:r w:rsidRPr="006F0A56">
              <w:t>Record details of the scene and potential evidence.</w:t>
            </w:r>
          </w:p>
          <w:p w:rsidR="00000000" w:rsidRPr="006F0A56" w:rsidP="006F0A56">
            <w:pPr>
              <w:pStyle w:val="BodyText"/>
            </w:pPr>
            <w:r w:rsidRPr="006F0A56">
              <w:t>Develop an initial investigation plan.</w:t>
            </w:r>
          </w:p>
          <w:p w:rsidR="00000000" w:rsidP="006F0A56">
            <w:pPr>
              <w:pStyle w:val="BodyText"/>
              <w:rPr>
                <w:lang w:val="en-NZ"/>
              </w:rPr>
            </w:pPr>
            <w:r w:rsidRPr="006F0A56">
              <w:t>Record, check and review statements from interviewee.</w:t>
            </w:r>
          </w:p>
        </w:tc>
      </w:tr>
      <w:tr w:rsidTr="006F0A56">
        <w:tblPrEx>
          <w:tblW w:w="0" w:type="auto"/>
          <w:tblLayout w:type="fixed"/>
          <w:tblCellMar>
            <w:left w:w="62" w:type="dxa"/>
            <w:right w:w="62" w:type="dxa"/>
          </w:tblCellMar>
          <w:tblLook w:val="0000"/>
        </w:tblPrEx>
        <w:trPr>
          <w:trHeight w:val="2963"/>
        </w:trPr>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56">
            <w:pPr>
              <w:pStyle w:val="BodyText"/>
              <w:rPr>
                <w:lang w:val="en-NZ"/>
              </w:rPr>
            </w:pPr>
            <w:r w:rsidRPr="006F0A56">
              <w:rPr>
                <w:rStyle w:val="SpecialBold"/>
              </w:rPr>
              <w:t>Oral communication</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56" w:rsidP="006F0A56">
            <w:pPr>
              <w:pStyle w:val="BodyText"/>
            </w:pPr>
            <w:r w:rsidRPr="006F0A56">
              <w:t>Communicate orally with internal and external stakeholders to facilitate investigation.</w:t>
            </w:r>
          </w:p>
          <w:p w:rsidR="00000000" w:rsidRPr="006F0A56" w:rsidP="006F0A56">
            <w:pPr>
              <w:pStyle w:val="BodyText"/>
            </w:pPr>
            <w:r w:rsidRPr="006F0A56">
              <w:t>Question others to determine potential persons of interest and/or witnesses.</w:t>
            </w:r>
          </w:p>
          <w:p w:rsidR="00000000" w:rsidRPr="006F0A56" w:rsidP="006F0A56">
            <w:pPr>
              <w:pStyle w:val="BodyText"/>
            </w:pPr>
            <w:r w:rsidRPr="006F0A56">
              <w:t>Use interviewing skills.</w:t>
            </w:r>
          </w:p>
          <w:p w:rsidR="00000000" w:rsidRPr="006F0A56" w:rsidP="006F0A56">
            <w:pPr>
              <w:pStyle w:val="BodyText"/>
            </w:pPr>
            <w:r w:rsidRPr="006F0A56">
              <w:t>Explain the interview process to interviewee to provide an underst</w:t>
            </w:r>
            <w:r w:rsidRPr="006F0A56">
              <w:t>anding of legal rights and investigative interviewing processes.</w:t>
            </w:r>
          </w:p>
          <w:p w:rsidR="00000000" w:rsidRPr="006F0A56" w:rsidP="006F0A56">
            <w:pPr>
              <w:pStyle w:val="BodyText"/>
            </w:pPr>
            <w:r w:rsidRPr="006F0A56">
              <w:t>Repeat and check accuracy of statements taken from interviewee.</w:t>
            </w:r>
          </w:p>
        </w:tc>
      </w:tr>
    </w:tbl>
    <w:p w:rsidR="00000000" w:rsidRPr="006F0A56" w:rsidP="006F0A56">
      <w:pPr>
        <w:pStyle w:val="BodyText"/>
      </w:pPr>
    </w:p>
    <w:p w:rsidR="00000000" w:rsidRPr="006F0A56" w:rsidP="006F0A56">
      <w:pPr>
        <w:pStyle w:val="AllowPageBreak"/>
      </w:pPr>
    </w:p>
    <w:p w:rsidR="00000000" w:rsidRPr="006F0A56" w:rsidP="006F0A56">
      <w:pPr>
        <w:pStyle w:val="Heading1"/>
      </w:pPr>
      <w:bookmarkStart w:id="8" w:name="O_1283460"/>
      <w:bookmarkEnd w:id="8"/>
      <w:r w:rsidRPr="006F0A56">
        <w:t>Range of Conditions</w:t>
      </w:r>
    </w:p>
    <w:p w:rsidR="00000000" w:rsidRPr="006F0A56" w:rsidP="00121041">
      <w:pPr>
        <w:pStyle w:val="BodyText"/>
      </w:pPr>
      <w:r w:rsidRPr="006F0A56">
        <w:t>Not applicable</w:t>
      </w:r>
    </w:p>
    <w:p w:rsidR="00000000" w:rsidRPr="006F0A56" w:rsidP="006F0A56">
      <w:pPr>
        <w:pStyle w:val="Heading1"/>
      </w:pPr>
      <w:bookmarkStart w:id="9" w:name="O_1283461"/>
      <w:bookmarkEnd w:id="9"/>
      <w:r w:rsidRPr="006F0A56">
        <w:t>Unit Mapping Information</w:t>
      </w:r>
    </w:p>
    <w:p w:rsidR="00000000" w:rsidRPr="006F0A56" w:rsidP="00121041">
      <w:pPr>
        <w:pStyle w:val="BodyText"/>
      </w:pPr>
      <w:r w:rsidRPr="006F0A56">
        <w:t>This unit replaces but is e</w:t>
      </w:r>
      <w:r w:rsidRPr="006F0A56">
        <w:t xml:space="preserve">quivalent to </w:t>
      </w:r>
      <w:r w:rsidRPr="006F0A56">
        <w:rPr>
          <w:rStyle w:val="Emphasis"/>
        </w:rPr>
        <w:t>POLGEN031 Conduct an initial investigation.</w:t>
      </w:r>
    </w:p>
    <w:p w:rsidR="00000000" w:rsidRPr="006F0A56" w:rsidP="006F0A56">
      <w:pPr>
        <w:pStyle w:val="Heading1"/>
      </w:pPr>
      <w:bookmarkStart w:id="10" w:name="O_1283468"/>
      <w:bookmarkEnd w:id="10"/>
      <w:r w:rsidRPr="006F0A56">
        <w:t>Links</w:t>
      </w:r>
    </w:p>
    <w:p w:rsidR="00000000" w:rsidRPr="006F0A56" w:rsidP="00121041">
      <w:pPr>
        <w:pStyle w:val="BodyText"/>
      </w:pPr>
      <w:r w:rsidRPr="006F0A56">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FF2BAE">
        <w:rPr>
          <w:rStyle w:val="Hyperlink"/>
        </w:rPr>
        <w:t>https://vetnet.gov.au/Pages/TrainingDocs.aspx?q=98c3984e-2cf1-48a8-8ed1-85e4b92e7351</w:t>
      </w:r>
      <w:r>
        <w:fldChar w:fldCharType="end"/>
      </w:r>
    </w:p>
    <w:p w:rsidR="00000000" w:rsidRPr="006F0A56" w:rsidP="006F0A56"/>
    <w:sectPr w:rsidSect="006F0A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56" w:rsidRPr="00121041" w:rsidP="00121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41" w:rsidP="006F0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041" w:rsidP="006F0A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21041" w:rsidP="006F0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A56" w:rsidRPr="00121041" w:rsidP="001210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41" w:rsidRPr="002D2AF8" w:rsidP="006F0A56">
    <w:pPr>
      <w:pStyle w:val="Header"/>
      <w:framePr w:wrap="around"/>
    </w:pPr>
    <w:r>
      <w:fldChar w:fldCharType="begin"/>
    </w:r>
    <w:r>
      <w:instrText xml:space="preserve"> TITLE   \* MERGEFORMAT </w:instrText>
    </w:r>
    <w:r>
      <w:fldChar w:fldCharType="separate"/>
    </w:r>
    <w:r>
      <w:t>POLGEN044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21041" w:rsidP="006F0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A56"/>
    <w:pPr>
      <w:spacing w:before="360" w:after="60"/>
      <w:outlineLvl w:val="0"/>
    </w:pPr>
    <w:rPr>
      <w:sz w:val="32"/>
    </w:rPr>
  </w:style>
  <w:style w:type="paragraph" w:styleId="Heading2">
    <w:name w:val="heading 2"/>
    <w:basedOn w:val="HeadingBase"/>
    <w:next w:val="BodyText"/>
    <w:link w:val="Heading2Char"/>
    <w:qFormat/>
    <w:rsid w:val="006F0A56"/>
    <w:pPr>
      <w:keepLines/>
      <w:spacing w:before="240" w:after="120"/>
      <w:outlineLvl w:val="1"/>
    </w:pPr>
    <w:rPr>
      <w:sz w:val="28"/>
      <w:szCs w:val="40"/>
    </w:rPr>
  </w:style>
  <w:style w:type="paragraph" w:styleId="Heading3">
    <w:name w:val="heading 3"/>
    <w:basedOn w:val="HeadingBase"/>
    <w:next w:val="BodyText"/>
    <w:link w:val="Heading3Char"/>
    <w:qFormat/>
    <w:rsid w:val="006F0A56"/>
    <w:pPr>
      <w:spacing w:before="180" w:after="120"/>
      <w:outlineLvl w:val="2"/>
    </w:pPr>
    <w:rPr>
      <w:spacing w:val="-10"/>
      <w:kern w:val="32"/>
    </w:rPr>
  </w:style>
  <w:style w:type="paragraph" w:styleId="Heading4">
    <w:name w:val="heading 4"/>
    <w:basedOn w:val="HeadingBase"/>
    <w:next w:val="BodyText"/>
    <w:link w:val="Heading4Char"/>
    <w:qFormat/>
    <w:rsid w:val="006F0A56"/>
    <w:pPr>
      <w:spacing w:before="160" w:after="120"/>
      <w:outlineLvl w:val="3"/>
    </w:pPr>
    <w:rPr>
      <w:sz w:val="22"/>
    </w:rPr>
  </w:style>
  <w:style w:type="paragraph" w:styleId="Heading5">
    <w:name w:val="heading 5"/>
    <w:basedOn w:val="HeadingBase"/>
    <w:next w:val="Normal"/>
    <w:link w:val="Heading5Char"/>
    <w:qFormat/>
    <w:rsid w:val="006F0A56"/>
    <w:pPr>
      <w:spacing w:before="80"/>
      <w:outlineLvl w:val="4"/>
    </w:pPr>
    <w:rPr>
      <w:color w:val="918585"/>
      <w:sz w:val="20"/>
    </w:rPr>
  </w:style>
  <w:style w:type="paragraph" w:styleId="Heading6">
    <w:name w:val="heading 6"/>
    <w:basedOn w:val="HeadingBase"/>
    <w:next w:val="Normal"/>
    <w:link w:val="Heading6Char"/>
    <w:qFormat/>
    <w:rsid w:val="006F0A56"/>
    <w:pPr>
      <w:spacing w:before="60"/>
      <w:outlineLvl w:val="5"/>
    </w:pPr>
    <w:rPr>
      <w:color w:val="918585"/>
      <w:sz w:val="20"/>
    </w:rPr>
  </w:style>
  <w:style w:type="paragraph" w:styleId="Heading7">
    <w:name w:val="heading 7"/>
    <w:basedOn w:val="Normal"/>
    <w:next w:val="Normal"/>
    <w:link w:val="Heading7Char"/>
    <w:qFormat/>
    <w:rsid w:val="006F0A56"/>
    <w:pPr>
      <w:ind w:left="720"/>
      <w:outlineLvl w:val="6"/>
    </w:pPr>
    <w:rPr>
      <w:i/>
    </w:rPr>
  </w:style>
  <w:style w:type="paragraph" w:styleId="Heading8">
    <w:name w:val="heading 8"/>
    <w:basedOn w:val="Normal"/>
    <w:next w:val="Normal"/>
    <w:link w:val="Heading8Char"/>
    <w:qFormat/>
    <w:rsid w:val="006F0A56"/>
    <w:pPr>
      <w:ind w:left="720"/>
      <w:outlineLvl w:val="7"/>
    </w:pPr>
    <w:rPr>
      <w:i/>
    </w:rPr>
  </w:style>
  <w:style w:type="paragraph" w:styleId="Heading9">
    <w:name w:val="heading 9"/>
    <w:basedOn w:val="Normal"/>
    <w:next w:val="Normal"/>
    <w:link w:val="Heading9Char"/>
    <w:qFormat/>
    <w:rsid w:val="006F0A56"/>
    <w:pPr>
      <w:ind w:left="720"/>
      <w:outlineLvl w:val="8"/>
    </w:pPr>
    <w:rPr>
      <w:i/>
    </w:rPr>
  </w:style>
  <w:style w:type="character" w:default="1" w:styleId="DefaultParagraphFont">
    <w:name w:val="Default Paragraph Font"/>
    <w:uiPriority w:val="1"/>
    <w:unhideWhenUsed/>
    <w:rsid w:val="006F0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A56"/>
  </w:style>
  <w:style w:type="character" w:customStyle="1" w:styleId="Heading1Char">
    <w:name w:val="Heading 1 Char"/>
    <w:basedOn w:val="DefaultParagraphFont"/>
    <w:link w:val="Heading1"/>
    <w:rsid w:val="006F0A56"/>
    <w:rPr>
      <w:rFonts w:ascii="Times New Roman" w:eastAsia="Times New Roman" w:hAnsi="Times New Roman" w:cs="Times New Roman"/>
      <w:b/>
      <w:sz w:val="32"/>
      <w:szCs w:val="20"/>
      <w:lang w:eastAsia="en-US"/>
    </w:rPr>
  </w:style>
  <w:style w:type="paragraph" w:styleId="BodyText">
    <w:name w:val="Body Text"/>
    <w:basedOn w:val="Normal"/>
    <w:link w:val="BodyTextChar"/>
    <w:rsid w:val="006F0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A56"/>
    <w:rPr>
      <w:rFonts w:ascii="Times New Roman" w:eastAsia="Times New Roman" w:hAnsi="Times New Roman" w:cs="Times New Roman"/>
      <w:sz w:val="24"/>
      <w:lang w:eastAsia="en-US"/>
    </w:rPr>
  </w:style>
  <w:style w:type="paragraph" w:styleId="List">
    <w:name w:val="List"/>
    <w:basedOn w:val="BodyText"/>
    <w:next w:val="BodyText"/>
    <w:rsid w:val="006F0A56"/>
    <w:pPr>
      <w:tabs>
        <w:tab w:val="left" w:pos="340"/>
      </w:tabs>
      <w:spacing w:before="60" w:after="60"/>
      <w:ind w:left="340" w:hanging="340"/>
    </w:pPr>
  </w:style>
  <w:style w:type="character" w:customStyle="1" w:styleId="SpecialBold">
    <w:name w:val="Special Bold"/>
    <w:basedOn w:val="DefaultParagraphFont"/>
    <w:rsid w:val="006F0A56"/>
    <w:rPr>
      <w:b/>
      <w:spacing w:val="0"/>
    </w:rPr>
  </w:style>
  <w:style w:type="character" w:styleId="Emphasis">
    <w:name w:val="Emphasis"/>
    <w:basedOn w:val="DefaultParagraphFont"/>
    <w:qFormat/>
    <w:rsid w:val="006F0A56"/>
    <w:rPr>
      <w:i/>
    </w:rPr>
  </w:style>
  <w:style w:type="paragraph" w:customStyle="1" w:styleId="SuperHeading">
    <w:name w:val="SuperHeading"/>
    <w:basedOn w:val="Normal"/>
    <w:rsid w:val="006F0A56"/>
    <w:pPr>
      <w:spacing w:before="240" w:after="120"/>
      <w:outlineLvl w:val="0"/>
    </w:pPr>
    <w:rPr>
      <w:rFonts w:ascii="Times New Roman" w:hAnsi="Times New Roman"/>
      <w:b/>
      <w:sz w:val="32"/>
    </w:rPr>
  </w:style>
  <w:style w:type="paragraph" w:customStyle="1" w:styleId="TableHeading">
    <w:name w:val="Table Heading"/>
    <w:basedOn w:val="HeadingBase"/>
    <w:rsid w:val="006F0A56"/>
    <w:pPr>
      <w:keepLines/>
      <w:pBdr>
        <w:bottom w:val="single" w:sz="6" w:space="1" w:color="918585"/>
      </w:pBdr>
      <w:spacing w:before="240"/>
    </w:pPr>
  </w:style>
  <w:style w:type="paragraph" w:customStyle="1" w:styleId="AllowPageBreak">
    <w:name w:val="AllowPageBreak"/>
    <w:rsid w:val="006F0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A56"/>
    <w:rPr>
      <w:rFonts w:ascii="Courier New" w:eastAsia="Times New Roman" w:hAnsi="Courier New" w:cs="Times New Roman"/>
      <w:i/>
      <w:szCs w:val="20"/>
      <w:lang w:eastAsia="en-US"/>
    </w:rPr>
  </w:style>
  <w:style w:type="paragraph" w:customStyle="1" w:styleId="HeadingBase">
    <w:name w:val="Heading Base"/>
    <w:rsid w:val="006F0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A56"/>
    <w:pPr>
      <w:tabs>
        <w:tab w:val="right" w:leader="dot" w:pos="9072"/>
      </w:tabs>
      <w:ind w:left="567"/>
    </w:pPr>
    <w:rPr>
      <w:szCs w:val="22"/>
    </w:rPr>
  </w:style>
  <w:style w:type="paragraph" w:customStyle="1" w:styleId="TOCBase">
    <w:name w:val="TOC Base"/>
    <w:rsid w:val="006F0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A56"/>
    <w:pPr>
      <w:tabs>
        <w:tab w:val="right" w:leader="dot" w:pos="9072"/>
      </w:tabs>
      <w:spacing w:before="40" w:after="40"/>
      <w:ind w:left="284"/>
    </w:pPr>
    <w:rPr>
      <w:rFonts w:ascii="Times New Roman" w:hAnsi="Times New Roman"/>
    </w:rPr>
  </w:style>
  <w:style w:type="paragraph" w:styleId="TOC1">
    <w:name w:val="toc 1"/>
    <w:basedOn w:val="TOCBase"/>
    <w:next w:val="Normal"/>
    <w:rsid w:val="006F0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A56"/>
    <w:rPr>
      <w:rFonts w:ascii="Times New Roman" w:eastAsia="Times New Roman" w:hAnsi="Times New Roman" w:cs="Times New Roman"/>
      <w:sz w:val="16"/>
      <w:lang w:eastAsia="en-US"/>
    </w:rPr>
  </w:style>
  <w:style w:type="paragraph" w:styleId="Title">
    <w:name w:val="Title"/>
    <w:basedOn w:val="HeadingBase"/>
    <w:link w:val="TitleChar"/>
    <w:qFormat/>
    <w:rsid w:val="006F0A56"/>
    <w:pPr>
      <w:spacing w:before="5040"/>
      <w:jc w:val="center"/>
    </w:pPr>
    <w:rPr>
      <w:sz w:val="48"/>
      <w:szCs w:val="72"/>
      <w:lang w:val="en-US"/>
    </w:rPr>
  </w:style>
  <w:style w:type="character" w:customStyle="1" w:styleId="TitleChar">
    <w:name w:val="Title Char"/>
    <w:basedOn w:val="DefaultParagraphFont"/>
    <w:link w:val="Title"/>
    <w:rsid w:val="006F0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A56"/>
    <w:pPr>
      <w:tabs>
        <w:tab w:val="left" w:pos="3600"/>
        <w:tab w:val="left" w:pos="3958"/>
      </w:tabs>
    </w:pPr>
  </w:style>
  <w:style w:type="paragraph" w:styleId="ListBullet">
    <w:name w:val="List Bullet"/>
    <w:basedOn w:val="List"/>
    <w:rsid w:val="006F0A56"/>
    <w:pPr>
      <w:numPr>
        <w:numId w:val="10"/>
      </w:numPr>
      <w:tabs>
        <w:tab w:val="clear" w:pos="340"/>
      </w:tabs>
      <w:spacing w:before="40" w:after="40"/>
    </w:pPr>
  </w:style>
  <w:style w:type="paragraph" w:customStyle="1" w:styleId="Note">
    <w:name w:val="Note"/>
    <w:basedOn w:val="BodyText"/>
    <w:rsid w:val="006F0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A56"/>
    <w:pPr>
      <w:framePr w:wrap="auto" w:hAnchor="text" w:y="6049"/>
    </w:pPr>
    <w:rPr>
      <w:color w:val="000000"/>
      <w:sz w:val="40"/>
    </w:rPr>
  </w:style>
  <w:style w:type="paragraph" w:customStyle="1" w:styleId="TOCTitle">
    <w:name w:val="TOCTitle"/>
    <w:basedOn w:val="Heading1"/>
    <w:rsid w:val="006F0A56"/>
    <w:pPr>
      <w:spacing w:after="240"/>
      <w:jc w:val="center"/>
      <w:outlineLvl w:val="9"/>
    </w:pPr>
    <w:rPr>
      <w:caps/>
    </w:rPr>
  </w:style>
  <w:style w:type="paragraph" w:customStyle="1" w:styleId="Version">
    <w:name w:val="Version"/>
    <w:rsid w:val="006F0A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A56"/>
    <w:pPr>
      <w:numPr>
        <w:numId w:val="11"/>
      </w:numPr>
      <w:tabs>
        <w:tab w:val="clear" w:pos="680"/>
      </w:tabs>
    </w:pPr>
  </w:style>
  <w:style w:type="paragraph" w:styleId="Index1">
    <w:name w:val="index 1"/>
    <w:basedOn w:val="Normal"/>
    <w:next w:val="Normal"/>
    <w:semiHidden/>
    <w:rsid w:val="006F0A56"/>
    <w:pPr>
      <w:keepNext w:val="0"/>
      <w:tabs>
        <w:tab w:val="right" w:pos="4176"/>
      </w:tabs>
      <w:ind w:left="198" w:hanging="198"/>
    </w:pPr>
    <w:rPr>
      <w:rFonts w:ascii="Garamond" w:hAnsi="Garamond"/>
    </w:rPr>
  </w:style>
  <w:style w:type="paragraph" w:styleId="IndexHeading">
    <w:name w:val="index heading"/>
    <w:basedOn w:val="Normal"/>
    <w:next w:val="Index1"/>
    <w:semiHidden/>
    <w:rsid w:val="006F0A56"/>
    <w:pPr>
      <w:spacing w:before="120" w:after="120"/>
    </w:pPr>
    <w:rPr>
      <w:rFonts w:ascii="Arial" w:hAnsi="Arial"/>
      <w:b/>
      <w:color w:val="918585"/>
      <w:sz w:val="24"/>
    </w:rPr>
  </w:style>
  <w:style w:type="paragraph" w:styleId="Header">
    <w:name w:val="header"/>
    <w:basedOn w:val="Normal"/>
    <w:link w:val="HeaderChar"/>
    <w:rsid w:val="006F0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A56"/>
    <w:rPr>
      <w:rFonts w:ascii="Times New Roman" w:eastAsia="Times New Roman" w:hAnsi="Times New Roman" w:cs="Times New Roman"/>
      <w:sz w:val="16"/>
      <w:szCs w:val="20"/>
      <w:lang w:val="en-GB" w:eastAsia="en-US"/>
    </w:rPr>
  </w:style>
  <w:style w:type="paragraph" w:customStyle="1" w:styleId="Chapter">
    <w:name w:val="Chapter"/>
    <w:basedOn w:val="Normal"/>
    <w:rsid w:val="006F0A56"/>
    <w:pPr>
      <w:spacing w:before="240"/>
    </w:pPr>
    <w:rPr>
      <w:rFonts w:ascii="Times New Roman" w:hAnsi="Times New Roman"/>
      <w:smallCaps/>
      <w:spacing w:val="80"/>
      <w:sz w:val="28"/>
    </w:rPr>
  </w:style>
  <w:style w:type="paragraph" w:customStyle="1" w:styleId="InChapter">
    <w:name w:val="InChapter"/>
    <w:basedOn w:val="Heading3"/>
    <w:rsid w:val="006F0A56"/>
    <w:pPr>
      <w:spacing w:after="240"/>
      <w:outlineLvl w:val="9"/>
    </w:pPr>
    <w:rPr>
      <w:noProof/>
    </w:rPr>
  </w:style>
  <w:style w:type="paragraph" w:styleId="Index2">
    <w:name w:val="index 2"/>
    <w:basedOn w:val="Normal"/>
    <w:next w:val="Normal"/>
    <w:semiHidden/>
    <w:rsid w:val="006F0A56"/>
    <w:pPr>
      <w:tabs>
        <w:tab w:val="right" w:pos="4176"/>
      </w:tabs>
      <w:ind w:left="568" w:hanging="284"/>
    </w:pPr>
    <w:rPr>
      <w:rFonts w:ascii="Garamond" w:hAnsi="Garamond"/>
    </w:rPr>
  </w:style>
  <w:style w:type="paragraph" w:customStyle="1" w:styleId="Byline">
    <w:name w:val="Byline"/>
    <w:rsid w:val="006F0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A56"/>
    <w:pPr>
      <w:tabs>
        <w:tab w:val="clear" w:pos="3600"/>
        <w:tab w:val="clear" w:pos="3958"/>
      </w:tabs>
      <w:jc w:val="right"/>
    </w:pPr>
  </w:style>
  <w:style w:type="paragraph" w:styleId="Caption">
    <w:name w:val="caption"/>
    <w:basedOn w:val="BodyText"/>
    <w:next w:val="Normal"/>
    <w:qFormat/>
    <w:rsid w:val="006F0A56"/>
    <w:pPr>
      <w:framePr w:w="2268" w:hSpace="181" w:vSpace="181" w:wrap="around" w:vAnchor="text" w:hAnchor="page" w:x="1135" w:y="285" w:anchorLock="1"/>
    </w:pPr>
    <w:rPr>
      <w:i/>
    </w:rPr>
  </w:style>
  <w:style w:type="paragraph" w:customStyle="1" w:styleId="MiniTOCTitle">
    <w:name w:val="MiniTOCTitle"/>
    <w:basedOn w:val="Heading4"/>
    <w:rsid w:val="006F0A56"/>
    <w:pPr>
      <w:spacing w:before="240"/>
      <w:outlineLvl w:val="9"/>
    </w:pPr>
    <w:rPr>
      <w:noProof/>
      <w:sz w:val="24"/>
    </w:rPr>
  </w:style>
  <w:style w:type="paragraph" w:customStyle="1" w:styleId="MiniTOCItem">
    <w:name w:val="MiniTOCItem"/>
    <w:basedOn w:val="ListBullet"/>
    <w:rsid w:val="006F0A56"/>
    <w:pPr>
      <w:numPr>
        <w:numId w:val="0"/>
      </w:numPr>
      <w:tabs>
        <w:tab w:val="right" w:leader="dot" w:pos="6521"/>
      </w:tabs>
      <w:spacing w:before="0" w:after="0"/>
    </w:pPr>
  </w:style>
  <w:style w:type="paragraph" w:customStyle="1" w:styleId="TOFTitle">
    <w:name w:val="TOFTitle"/>
    <w:basedOn w:val="TOCTitle"/>
    <w:rsid w:val="006F0A56"/>
  </w:style>
  <w:style w:type="paragraph" w:styleId="TableofFigures">
    <w:name w:val="table of figures"/>
    <w:basedOn w:val="Normal"/>
    <w:next w:val="Normal"/>
    <w:semiHidden/>
    <w:rsid w:val="006F0A56"/>
    <w:pPr>
      <w:tabs>
        <w:tab w:val="right" w:leader="dot" w:pos="9072"/>
      </w:tabs>
      <w:ind w:left="970" w:hanging="403"/>
    </w:pPr>
    <w:rPr>
      <w:rFonts w:ascii="Times New Roman" w:hAnsi="Times New Roman"/>
      <w:b/>
    </w:rPr>
  </w:style>
  <w:style w:type="paragraph" w:styleId="ListNumber">
    <w:name w:val="List Number"/>
    <w:basedOn w:val="List"/>
    <w:rsid w:val="006F0A56"/>
    <w:pPr>
      <w:numPr>
        <w:numId w:val="13"/>
      </w:numPr>
      <w:tabs>
        <w:tab w:val="clear" w:pos="340"/>
      </w:tabs>
    </w:pPr>
  </w:style>
  <w:style w:type="character" w:customStyle="1" w:styleId="WingdingSymbols">
    <w:name w:val="Wingding Symbols"/>
    <w:rsid w:val="006F0A56"/>
    <w:rPr>
      <w:rFonts w:ascii="Wingdings" w:hAnsi="Wingdings"/>
    </w:rPr>
  </w:style>
  <w:style w:type="character" w:customStyle="1" w:styleId="HotSpot">
    <w:name w:val="HotSpot"/>
    <w:rsid w:val="006F0A56"/>
    <w:rPr>
      <w:color w:val="0033CC"/>
      <w:u w:val="none"/>
    </w:rPr>
  </w:style>
  <w:style w:type="paragraph" w:customStyle="1" w:styleId="BodyTextRight">
    <w:name w:val="Body Text Right"/>
    <w:basedOn w:val="BodyText"/>
    <w:rsid w:val="006F0A56"/>
    <w:pPr>
      <w:spacing w:before="0" w:after="0"/>
      <w:jc w:val="right"/>
    </w:pPr>
  </w:style>
  <w:style w:type="paragraph" w:styleId="Index3">
    <w:name w:val="index 3"/>
    <w:basedOn w:val="ListNumber2"/>
    <w:next w:val="Normal"/>
    <w:semiHidden/>
    <w:rsid w:val="006F0A56"/>
    <w:pPr>
      <w:numPr>
        <w:numId w:val="0"/>
      </w:numPr>
      <w:tabs>
        <w:tab w:val="right" w:leader="dot" w:pos="4176"/>
      </w:tabs>
    </w:pPr>
  </w:style>
  <w:style w:type="paragraph" w:styleId="ListNumber2">
    <w:name w:val="List Number 2"/>
    <w:basedOn w:val="List2"/>
    <w:rsid w:val="006F0A56"/>
    <w:pPr>
      <w:numPr>
        <w:numId w:val="8"/>
      </w:numPr>
      <w:tabs>
        <w:tab w:val="clear" w:pos="1060"/>
      </w:tabs>
    </w:pPr>
  </w:style>
  <w:style w:type="paragraph" w:customStyle="1" w:styleId="MarginNote">
    <w:name w:val="Margin Note"/>
    <w:basedOn w:val="BodyText"/>
    <w:rsid w:val="006F0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A56"/>
    <w:rPr>
      <w:sz w:val="32"/>
    </w:rPr>
  </w:style>
  <w:style w:type="paragraph" w:customStyle="1" w:styleId="HeadingProcedure">
    <w:name w:val="Heading Procedure"/>
    <w:basedOn w:val="HeadingBase"/>
    <w:next w:val="Normal"/>
    <w:rsid w:val="006F0A56"/>
    <w:pPr>
      <w:tabs>
        <w:tab w:val="left" w:pos="0"/>
      </w:tabs>
      <w:spacing w:before="120" w:after="60"/>
    </w:pPr>
    <w:rPr>
      <w:i/>
      <w:color w:val="918585"/>
      <w:sz w:val="22"/>
    </w:rPr>
  </w:style>
  <w:style w:type="paragraph" w:customStyle="1" w:styleId="TableBodyText">
    <w:name w:val="Table Body Text"/>
    <w:basedOn w:val="BodyText"/>
    <w:rsid w:val="006F0A56"/>
    <w:pPr>
      <w:spacing w:before="60" w:after="60"/>
    </w:pPr>
  </w:style>
  <w:style w:type="paragraph" w:styleId="ListContinue">
    <w:name w:val="List Continue"/>
    <w:basedOn w:val="List"/>
    <w:rsid w:val="006F0A56"/>
    <w:pPr>
      <w:ind w:firstLine="0"/>
    </w:pPr>
  </w:style>
  <w:style w:type="paragraph" w:customStyle="1" w:styleId="ListNote">
    <w:name w:val="List Note"/>
    <w:basedOn w:val="List"/>
    <w:rsid w:val="006F0A56"/>
    <w:pPr>
      <w:pBdr>
        <w:top w:val="single" w:sz="6" w:space="2" w:color="918585"/>
        <w:bottom w:val="single" w:sz="6" w:space="2" w:color="918585"/>
      </w:pBdr>
      <w:tabs>
        <w:tab w:val="left" w:pos="1021"/>
      </w:tabs>
      <w:ind w:firstLine="0"/>
    </w:pPr>
  </w:style>
  <w:style w:type="paragraph" w:customStyle="1" w:styleId="Warning">
    <w:name w:val="Warning"/>
    <w:basedOn w:val="BodyText"/>
    <w:rsid w:val="006F0A56"/>
    <w:pPr>
      <w:shd w:val="clear" w:color="auto" w:fill="D9D9D9"/>
      <w:tabs>
        <w:tab w:val="left" w:pos="992"/>
      </w:tabs>
      <w:ind w:left="119" w:right="119"/>
    </w:pPr>
    <w:rPr>
      <w:sz w:val="20"/>
    </w:rPr>
  </w:style>
  <w:style w:type="paragraph" w:customStyle="1" w:styleId="MarginIcons">
    <w:name w:val="Margin Icons"/>
    <w:basedOn w:val="BodyText"/>
    <w:rsid w:val="006F0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A56"/>
    <w:rPr>
      <w:rFonts w:ascii="Courier New" w:hAnsi="Courier New"/>
    </w:rPr>
  </w:style>
  <w:style w:type="paragraph" w:customStyle="1" w:styleId="NoteBullet">
    <w:name w:val="Note Bullet"/>
    <w:basedOn w:val="Note"/>
    <w:rsid w:val="006F0A56"/>
    <w:pPr>
      <w:tabs>
        <w:tab w:val="clear" w:pos="680"/>
      </w:tabs>
      <w:spacing w:before="60" w:after="60"/>
    </w:pPr>
  </w:style>
  <w:style w:type="paragraph" w:customStyle="1" w:styleId="SubHeading2">
    <w:name w:val="SubHeading2"/>
    <w:basedOn w:val="HeadingBase"/>
    <w:rsid w:val="006F0A56"/>
    <w:pPr>
      <w:spacing w:before="240" w:after="60"/>
    </w:pPr>
    <w:rPr>
      <w:sz w:val="20"/>
    </w:rPr>
  </w:style>
  <w:style w:type="paragraph" w:customStyle="1" w:styleId="SubHeading1">
    <w:name w:val="SubHeading1"/>
    <w:basedOn w:val="HeadingBase"/>
    <w:rsid w:val="006F0A56"/>
    <w:pPr>
      <w:spacing w:before="240" w:after="60"/>
    </w:pPr>
    <w:rPr>
      <w:color w:val="918585"/>
      <w:sz w:val="22"/>
    </w:rPr>
  </w:style>
  <w:style w:type="paragraph" w:customStyle="1" w:styleId="SideHeading">
    <w:name w:val="Side Heading"/>
    <w:basedOn w:val="HeadingBase"/>
    <w:rsid w:val="006F0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A56"/>
    <w:pPr>
      <w:numPr>
        <w:numId w:val="9"/>
      </w:numPr>
    </w:pPr>
  </w:style>
  <w:style w:type="paragraph" w:styleId="PlainText">
    <w:name w:val="Plain Text"/>
    <w:basedOn w:val="Normal"/>
    <w:link w:val="PlainTextChar"/>
    <w:rsid w:val="006F0A56"/>
    <w:rPr>
      <w:sz w:val="20"/>
    </w:rPr>
  </w:style>
  <w:style w:type="character" w:customStyle="1" w:styleId="PlainTextChar">
    <w:name w:val="Plain Text Char"/>
    <w:basedOn w:val="DefaultParagraphFont"/>
    <w:link w:val="PlainText"/>
    <w:rsid w:val="006F0A56"/>
    <w:rPr>
      <w:rFonts w:ascii="Courier New" w:eastAsia="Times New Roman" w:hAnsi="Courier New" w:cs="Times New Roman"/>
      <w:sz w:val="20"/>
      <w:szCs w:val="20"/>
      <w:lang w:eastAsia="en-US"/>
    </w:rPr>
  </w:style>
  <w:style w:type="character" w:customStyle="1" w:styleId="MenuOption">
    <w:name w:val="Menu Option"/>
    <w:basedOn w:val="DefaultParagraphFont"/>
    <w:rsid w:val="006F0A56"/>
    <w:rPr>
      <w:b/>
      <w:smallCaps/>
    </w:rPr>
  </w:style>
  <w:style w:type="paragraph" w:customStyle="1" w:styleId="TableListNumber">
    <w:name w:val="Table List Number"/>
    <w:basedOn w:val="ListNumber"/>
    <w:rsid w:val="006F0A56"/>
    <w:pPr>
      <w:numPr>
        <w:numId w:val="0"/>
      </w:numPr>
    </w:pPr>
  </w:style>
  <w:style w:type="paragraph" w:styleId="TOC4">
    <w:name w:val="toc 4"/>
    <w:basedOn w:val="TOCBase"/>
    <w:next w:val="Normal"/>
    <w:semiHidden/>
    <w:rsid w:val="006F0A56"/>
    <w:pPr>
      <w:tabs>
        <w:tab w:val="right" w:leader="dot" w:pos="9071"/>
      </w:tabs>
      <w:ind w:left="1701"/>
    </w:pPr>
  </w:style>
  <w:style w:type="paragraph" w:customStyle="1" w:styleId="ListAlpha">
    <w:name w:val="List Alpha"/>
    <w:basedOn w:val="List"/>
    <w:rsid w:val="006F0A56"/>
    <w:pPr>
      <w:numPr>
        <w:numId w:val="7"/>
      </w:numPr>
    </w:pPr>
  </w:style>
  <w:style w:type="paragraph" w:customStyle="1" w:styleId="ListAlpha2">
    <w:name w:val="List Alpha 2"/>
    <w:basedOn w:val="List2"/>
    <w:rsid w:val="006F0A56"/>
    <w:pPr>
      <w:numPr>
        <w:numId w:val="6"/>
      </w:numPr>
    </w:pPr>
  </w:style>
  <w:style w:type="paragraph" w:styleId="List2">
    <w:name w:val="List 2"/>
    <w:basedOn w:val="BodyText"/>
    <w:rsid w:val="006F0A56"/>
    <w:pPr>
      <w:tabs>
        <w:tab w:val="left" w:pos="680"/>
      </w:tabs>
      <w:spacing w:before="60" w:after="60"/>
      <w:ind w:left="680" w:hanging="340"/>
    </w:pPr>
  </w:style>
  <w:style w:type="paragraph" w:styleId="List3">
    <w:name w:val="List 3"/>
    <w:basedOn w:val="BodyText"/>
    <w:rsid w:val="006F0A56"/>
    <w:pPr>
      <w:tabs>
        <w:tab w:val="left" w:pos="1021"/>
      </w:tabs>
      <w:spacing w:before="60" w:after="60"/>
      <w:ind w:left="1020" w:hanging="340"/>
    </w:pPr>
  </w:style>
  <w:style w:type="paragraph" w:styleId="List4">
    <w:name w:val="List 4"/>
    <w:basedOn w:val="BodyText"/>
    <w:rsid w:val="006F0A56"/>
    <w:pPr>
      <w:tabs>
        <w:tab w:val="left" w:pos="1361"/>
      </w:tabs>
      <w:spacing w:before="60" w:after="60"/>
      <w:ind w:left="1361" w:hanging="340"/>
    </w:pPr>
  </w:style>
  <w:style w:type="paragraph" w:styleId="List5">
    <w:name w:val="List 5"/>
    <w:basedOn w:val="BodyText"/>
    <w:rsid w:val="006F0A56"/>
    <w:pPr>
      <w:tabs>
        <w:tab w:val="left" w:pos="1701"/>
      </w:tabs>
      <w:spacing w:before="60" w:after="60"/>
      <w:ind w:left="1701" w:hanging="340"/>
    </w:pPr>
  </w:style>
  <w:style w:type="paragraph" w:styleId="ListBullet3">
    <w:name w:val="List Bullet 3"/>
    <w:basedOn w:val="List3"/>
    <w:rsid w:val="006F0A56"/>
    <w:pPr>
      <w:numPr>
        <w:numId w:val="12"/>
      </w:numPr>
      <w:tabs>
        <w:tab w:val="clear" w:pos="1021"/>
      </w:tabs>
      <w:ind w:left="1037" w:hanging="357"/>
    </w:pPr>
  </w:style>
  <w:style w:type="paragraph" w:styleId="ListBullet4">
    <w:name w:val="List Bullet 4"/>
    <w:basedOn w:val="List4"/>
    <w:rsid w:val="006F0A56"/>
    <w:pPr>
      <w:numPr>
        <w:numId w:val="1"/>
      </w:numPr>
      <w:tabs>
        <w:tab w:val="clear" w:pos="1361"/>
      </w:tabs>
    </w:pPr>
  </w:style>
  <w:style w:type="paragraph" w:styleId="ListBullet5">
    <w:name w:val="List Bullet 5"/>
    <w:basedOn w:val="List5"/>
    <w:rsid w:val="006F0A56"/>
    <w:pPr>
      <w:numPr>
        <w:numId w:val="2"/>
      </w:numPr>
    </w:pPr>
  </w:style>
  <w:style w:type="paragraph" w:styleId="ListContinue2">
    <w:name w:val="List Continue 2"/>
    <w:basedOn w:val="List2"/>
    <w:rsid w:val="006F0A56"/>
    <w:pPr>
      <w:ind w:firstLine="0"/>
    </w:pPr>
  </w:style>
  <w:style w:type="paragraph" w:styleId="ListContinue3">
    <w:name w:val="List Continue 3"/>
    <w:basedOn w:val="List3"/>
    <w:rsid w:val="006F0A56"/>
    <w:pPr>
      <w:ind w:left="1021" w:firstLine="0"/>
    </w:pPr>
  </w:style>
  <w:style w:type="paragraph" w:styleId="ListContinue4">
    <w:name w:val="List Continue 4"/>
    <w:basedOn w:val="List4"/>
    <w:rsid w:val="006F0A56"/>
    <w:pPr>
      <w:ind w:firstLine="0"/>
    </w:pPr>
  </w:style>
  <w:style w:type="paragraph" w:styleId="ListContinue5">
    <w:name w:val="List Continue 5"/>
    <w:basedOn w:val="List5"/>
    <w:rsid w:val="006F0A56"/>
    <w:pPr>
      <w:ind w:firstLine="0"/>
    </w:pPr>
  </w:style>
  <w:style w:type="paragraph" w:styleId="ListNumber3">
    <w:name w:val="List Number 3"/>
    <w:basedOn w:val="List3"/>
    <w:rsid w:val="006F0A56"/>
    <w:pPr>
      <w:numPr>
        <w:numId w:val="3"/>
      </w:numPr>
    </w:pPr>
  </w:style>
  <w:style w:type="paragraph" w:styleId="ListNumber4">
    <w:name w:val="List Number 4"/>
    <w:basedOn w:val="List4"/>
    <w:rsid w:val="006F0A56"/>
    <w:pPr>
      <w:numPr>
        <w:numId w:val="4"/>
      </w:numPr>
    </w:pPr>
  </w:style>
  <w:style w:type="paragraph" w:styleId="ListNumber5">
    <w:name w:val="List Number 5"/>
    <w:basedOn w:val="List5"/>
    <w:rsid w:val="006F0A56"/>
    <w:pPr>
      <w:numPr>
        <w:numId w:val="5"/>
      </w:numPr>
    </w:pPr>
  </w:style>
  <w:style w:type="paragraph" w:styleId="BlockText">
    <w:name w:val="Block Text"/>
    <w:basedOn w:val="Normal"/>
    <w:rsid w:val="006F0A56"/>
    <w:pPr>
      <w:spacing w:after="120"/>
      <w:ind w:left="1440" w:right="1440"/>
    </w:pPr>
  </w:style>
  <w:style w:type="character" w:customStyle="1" w:styleId="Subscript">
    <w:name w:val="Subscript"/>
    <w:basedOn w:val="DefaultParagraphFont"/>
    <w:rsid w:val="006F0A56"/>
    <w:rPr>
      <w:sz w:val="16"/>
      <w:vertAlign w:val="subscript"/>
    </w:rPr>
  </w:style>
  <w:style w:type="character" w:customStyle="1" w:styleId="Superscript">
    <w:name w:val="Superscript"/>
    <w:basedOn w:val="DefaultParagraphFont"/>
    <w:rsid w:val="006F0A56"/>
    <w:rPr>
      <w:sz w:val="16"/>
      <w:vertAlign w:val="superscript"/>
    </w:rPr>
  </w:style>
  <w:style w:type="character" w:customStyle="1" w:styleId="Symbols">
    <w:name w:val="Symbols"/>
    <w:basedOn w:val="DefaultParagraphFont"/>
    <w:rsid w:val="006F0A56"/>
    <w:rPr>
      <w:rFonts w:ascii="Symbol" w:hAnsi="Symbol"/>
    </w:rPr>
  </w:style>
  <w:style w:type="character" w:customStyle="1" w:styleId="MenuOptions">
    <w:name w:val="Menu Options"/>
    <w:basedOn w:val="DefaultParagraphFont"/>
    <w:rsid w:val="006F0A56"/>
    <w:rPr>
      <w:rFonts w:ascii="Arial Narrow" w:hAnsi="Arial Narrow"/>
      <w:smallCaps/>
    </w:rPr>
  </w:style>
  <w:style w:type="character" w:customStyle="1" w:styleId="Buttons">
    <w:name w:val="Buttons"/>
    <w:basedOn w:val="DefaultParagraphFont"/>
    <w:rsid w:val="006F0A56"/>
    <w:rPr>
      <w:b/>
    </w:rPr>
  </w:style>
  <w:style w:type="character" w:customStyle="1" w:styleId="Underlined">
    <w:name w:val="Underlined"/>
    <w:basedOn w:val="DefaultParagraphFont"/>
    <w:rsid w:val="006F0A56"/>
    <w:rPr>
      <w:u w:val="single"/>
    </w:rPr>
  </w:style>
  <w:style w:type="paragraph" w:customStyle="1" w:styleId="TableBodyTextRight">
    <w:name w:val="Table Body Text Right"/>
    <w:basedOn w:val="TableBodyText"/>
    <w:rsid w:val="006F0A56"/>
    <w:pPr>
      <w:widowControl w:val="0"/>
      <w:autoSpaceDE w:val="0"/>
      <w:autoSpaceDN w:val="0"/>
      <w:adjustRightInd w:val="0"/>
      <w:jc w:val="right"/>
    </w:pPr>
    <w:rPr>
      <w:rFonts w:cs="Arial"/>
      <w:szCs w:val="18"/>
    </w:rPr>
  </w:style>
  <w:style w:type="paragraph" w:customStyle="1" w:styleId="CopyrightText">
    <w:name w:val="Copyright Text"/>
    <w:basedOn w:val="BodyText"/>
    <w:rsid w:val="006F0A56"/>
    <w:rPr>
      <w:sz w:val="18"/>
    </w:rPr>
  </w:style>
  <w:style w:type="paragraph" w:customStyle="1" w:styleId="BodySmallRight">
    <w:name w:val="Body Small Right"/>
    <w:basedOn w:val="BodyTextRight"/>
    <w:rsid w:val="006F0A56"/>
    <w:rPr>
      <w:sz w:val="18"/>
      <w:szCs w:val="18"/>
    </w:rPr>
  </w:style>
  <w:style w:type="paragraph" w:customStyle="1" w:styleId="MarginEdition">
    <w:name w:val="Margin Edition"/>
    <w:basedOn w:val="MarginNote"/>
    <w:rsid w:val="006F0A56"/>
    <w:pPr>
      <w:spacing w:before="0" w:after="0"/>
    </w:pPr>
    <w:rPr>
      <w:rFonts w:ascii="Times New Roman" w:hAnsi="Times New Roman"/>
      <w:color w:val="999999"/>
    </w:rPr>
  </w:style>
  <w:style w:type="paragraph" w:customStyle="1" w:styleId="Spacer">
    <w:name w:val="Spacer"/>
    <w:basedOn w:val="Normal"/>
    <w:rsid w:val="006F0A56"/>
    <w:rPr>
      <w:sz w:val="2"/>
      <w:szCs w:val="2"/>
    </w:rPr>
  </w:style>
  <w:style w:type="character" w:customStyle="1" w:styleId="Small">
    <w:name w:val="Small"/>
    <w:basedOn w:val="DefaultParagraphFont"/>
    <w:rsid w:val="006F0A56"/>
    <w:rPr>
      <w:sz w:val="16"/>
    </w:rPr>
  </w:style>
  <w:style w:type="paragraph" w:customStyle="1" w:styleId="WideTable">
    <w:name w:val="Wide Table"/>
    <w:basedOn w:val="Normal"/>
    <w:rsid w:val="006F0A56"/>
    <w:pPr>
      <w:ind w:left="-1418"/>
    </w:pPr>
    <w:rPr>
      <w:sz w:val="2"/>
      <w:szCs w:val="2"/>
    </w:rPr>
  </w:style>
  <w:style w:type="character" w:styleId="PageNumber">
    <w:name w:val="page number"/>
    <w:basedOn w:val="DefaultParagraphFont"/>
    <w:rsid w:val="006F0A56"/>
  </w:style>
  <w:style w:type="paragraph" w:styleId="Quote">
    <w:name w:val="Quote"/>
    <w:basedOn w:val="Heading1"/>
    <w:link w:val="QuoteChar"/>
    <w:qFormat/>
    <w:rsid w:val="006F0A56"/>
    <w:rPr>
      <w:b w:val="0"/>
      <w:sz w:val="72"/>
      <w:szCs w:val="72"/>
      <w:lang w:val="en-NZ"/>
    </w:rPr>
  </w:style>
  <w:style w:type="character" w:customStyle="1" w:styleId="QuoteChar">
    <w:name w:val="Quote Char"/>
    <w:basedOn w:val="DefaultParagraphFont"/>
    <w:link w:val="Quote"/>
    <w:rsid w:val="006F0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A56"/>
    <w:pPr>
      <w:pageBreakBefore/>
    </w:pPr>
  </w:style>
  <w:style w:type="paragraph" w:customStyle="1" w:styleId="Border">
    <w:name w:val="Border"/>
    <w:basedOn w:val="Normal"/>
    <w:qFormat/>
    <w:rsid w:val="006F0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A56"/>
    <w:rPr>
      <w:b/>
      <w:bCs/>
      <w:i/>
      <w:iCs/>
      <w:color w:val="auto"/>
    </w:rPr>
  </w:style>
  <w:style w:type="paragraph" w:styleId="IntenseQuote">
    <w:name w:val="Intense Quote"/>
    <w:basedOn w:val="Normal"/>
    <w:next w:val="Normal"/>
    <w:link w:val="IntenseQuoteChar"/>
    <w:uiPriority w:val="30"/>
    <w:qFormat/>
    <w:rsid w:val="006F0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A56"/>
    <w:rPr>
      <w:smallCaps/>
      <w:color w:val="auto"/>
      <w:u w:val="single"/>
    </w:rPr>
  </w:style>
  <w:style w:type="character" w:styleId="IntenseReference">
    <w:name w:val="Intense Reference"/>
    <w:basedOn w:val="DefaultParagraphFont"/>
    <w:uiPriority w:val="32"/>
    <w:qFormat/>
    <w:rsid w:val="006F0A56"/>
    <w:rPr>
      <w:b/>
      <w:bCs/>
      <w:smallCaps/>
      <w:color w:val="auto"/>
      <w:spacing w:val="5"/>
      <w:u w:val="single"/>
    </w:rPr>
  </w:style>
  <w:style w:type="paragraph" w:customStyle="1" w:styleId="2ColumnHeading">
    <w:name w:val="2Column Heading"/>
    <w:basedOn w:val="BodyText"/>
    <w:qFormat/>
    <w:rsid w:val="006F0A56"/>
    <w:pPr>
      <w:spacing w:after="60"/>
      <w:ind w:left="-2268"/>
    </w:pPr>
    <w:rPr>
      <w:b/>
    </w:rPr>
  </w:style>
  <w:style w:type="paragraph" w:customStyle="1" w:styleId="Heading1TOC">
    <w:name w:val="Heading1 TOC"/>
    <w:basedOn w:val="Normal"/>
    <w:qFormat/>
    <w:rsid w:val="006F0A56"/>
    <w:pPr>
      <w:spacing w:before="240" w:after="120"/>
    </w:pPr>
    <w:rPr>
      <w:rFonts w:ascii="Times New Roman" w:hAnsi="Times New Roman"/>
      <w:b/>
      <w:sz w:val="32"/>
    </w:rPr>
  </w:style>
  <w:style w:type="paragraph" w:customStyle="1" w:styleId="Heading2TOC">
    <w:name w:val="Heading2 TOC"/>
    <w:basedOn w:val="Normal"/>
    <w:qFormat/>
    <w:rsid w:val="006F0A56"/>
    <w:pPr>
      <w:spacing w:before="240" w:after="60"/>
    </w:pPr>
    <w:rPr>
      <w:rFonts w:ascii="Times New Roman" w:hAnsi="Times New Roman"/>
      <w:b/>
      <w:sz w:val="28"/>
    </w:rPr>
  </w:style>
  <w:style w:type="character" w:customStyle="1" w:styleId="Underline">
    <w:name w:val="Underline"/>
    <w:basedOn w:val="DefaultParagraphFont"/>
    <w:qFormat/>
    <w:rsid w:val="006F0A56"/>
    <w:rPr>
      <w:u w:val="single"/>
    </w:rPr>
  </w:style>
  <w:style w:type="character" w:customStyle="1" w:styleId="BoldandItalics">
    <w:name w:val="Bold and Italics"/>
    <w:qFormat/>
    <w:rsid w:val="006F0A56"/>
    <w:rPr>
      <w:b/>
      <w:i/>
      <w:u w:val="none"/>
    </w:rPr>
  </w:style>
  <w:style w:type="paragraph" w:styleId="BalloonText">
    <w:name w:val="Balloon Text"/>
    <w:basedOn w:val="Normal"/>
    <w:link w:val="BalloonTextChar"/>
    <w:rsid w:val="006F0A56"/>
    <w:rPr>
      <w:rFonts w:ascii="Tahoma" w:hAnsi="Tahoma" w:cs="Tahoma"/>
      <w:sz w:val="16"/>
      <w:szCs w:val="16"/>
    </w:rPr>
  </w:style>
  <w:style w:type="character" w:customStyle="1" w:styleId="BalloonTextChar">
    <w:name w:val="Balloon Text Char"/>
    <w:basedOn w:val="DefaultParagraphFont"/>
    <w:link w:val="BalloonText"/>
    <w:rsid w:val="006F0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A56"/>
    <w:rPr>
      <w:b/>
      <w:color w:val="660033"/>
      <w:spacing w:val="0"/>
    </w:rPr>
  </w:style>
  <w:style w:type="paragraph" w:customStyle="1" w:styleId="Nameditemlist">
    <w:name w:val="Named item list"/>
    <w:basedOn w:val="BodyText"/>
    <w:qFormat/>
    <w:rsid w:val="006F0A56"/>
    <w:pPr>
      <w:tabs>
        <w:tab w:val="left" w:pos="2835"/>
      </w:tabs>
      <w:ind w:left="2835" w:hanging="2835"/>
    </w:pPr>
  </w:style>
  <w:style w:type="paragraph" w:customStyle="1" w:styleId="BodyTextnopadding">
    <w:name w:val="Body Text no padding"/>
    <w:basedOn w:val="BodyText"/>
    <w:qFormat/>
    <w:rsid w:val="006F0A56"/>
    <w:pPr>
      <w:spacing w:before="0" w:after="0"/>
    </w:pPr>
  </w:style>
  <w:style w:type="paragraph" w:customStyle="1" w:styleId="BodyTextBold">
    <w:name w:val="Body Text Bold"/>
    <w:basedOn w:val="BodyText"/>
    <w:qFormat/>
    <w:rsid w:val="006F0A56"/>
    <w:rPr>
      <w:b/>
    </w:rPr>
  </w:style>
  <w:style w:type="character" w:styleId="Hyperlink">
    <w:name w:val="Hyperlink"/>
    <w:basedOn w:val="DefaultParagraphFont"/>
    <w:uiPriority w:val="99"/>
    <w:unhideWhenUsed/>
    <w:rsid w:val="001210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5379</Characters>
  <Application>Microsoft Office Word</Application>
  <DocSecurity>0</DocSecurity>
  <Lines>149</Lines>
  <Paragraphs>98</Paragraphs>
  <ScaleCrop>false</ScaleCrop>
  <Company>Author-it Software Corporation Ltd.</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POLGEN044 Conduct an initial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