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3A4" w:rsidP="005543A4">
      <w:pPr>
        <w:pStyle w:val="Title"/>
      </w:pPr>
      <w:r>
        <w:fldChar w:fldCharType="begin"/>
      </w:r>
      <w:r>
        <w:instrText xml:space="preserve"> TITLE   \* MERGEFORMAT </w:instrText>
      </w:r>
      <w:r>
        <w:fldChar w:fldCharType="separate"/>
      </w:r>
      <w:r>
        <w:t>POLGEN023 Apply legislation and judicial processes in policing</w:t>
      </w:r>
      <w:r>
        <w:fldChar w:fldCharType="end"/>
      </w:r>
    </w:p>
    <w:p w:rsidR="005543A4" w:rsidP="005543A4">
      <w:pPr>
        <w:pStyle w:val="Version"/>
        <w:sectPr w:rsidSect="00773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B2A" w:rsidP="00773B2A">
      <w:pPr>
        <w:pStyle w:val="SuperHeading"/>
      </w:pPr>
      <w:r w:rsidRPr="00773B2A">
        <w:t>POLGEN023 Apply legislation and judicial processes in policing</w:t>
      </w:r>
    </w:p>
    <w:p w:rsidR="00000000" w:rsidRPr="00773B2A" w:rsidP="00773B2A">
      <w:pPr>
        <w:pStyle w:val="Heading1"/>
      </w:pPr>
      <w:bookmarkStart w:id="1" w:name="O_714603"/>
      <w:bookmarkEnd w:id="1"/>
      <w:r w:rsidRPr="00773B2A">
        <w:t>Modification History</w:t>
      </w:r>
    </w:p>
    <w:tbl>
      <w:tblPr>
        <w:tblW w:w="0" w:type="auto"/>
        <w:tblLayout w:type="fixed"/>
        <w:tblCellMar>
          <w:left w:w="62" w:type="dxa"/>
          <w:right w:w="62" w:type="dxa"/>
        </w:tblCellMar>
        <w:tblLook w:val="0000"/>
      </w:tblPr>
      <w:tblGrid>
        <w:gridCol w:w="1134"/>
        <w:gridCol w:w="7937"/>
      </w:tblGrid>
      <w:tr w:rsidTr="005543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TableHeading"/>
              <w:rPr>
                <w:lang w:val="en-NZ"/>
              </w:rPr>
            </w:pPr>
            <w:r w:rsidRPr="00773B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TableHeading"/>
              <w:rPr>
                <w:lang w:val="en-NZ"/>
              </w:rPr>
            </w:pPr>
            <w:r w:rsidRPr="00773B2A">
              <w:t>Comments</w:t>
            </w:r>
          </w:p>
        </w:tc>
      </w:tr>
      <w:tr w:rsidTr="005543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BodyText"/>
              <w:rPr>
                <w:lang w:val="en-NZ"/>
              </w:rPr>
            </w:pPr>
            <w:r w:rsidRPr="00773B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2A" w:rsidP="00773B2A">
            <w:pPr>
              <w:pStyle w:val="BodyText"/>
            </w:pPr>
            <w:r w:rsidRPr="00773B2A">
              <w:t>This unit was released in POL Police Training Package release 1.0 and meets the Standards for Training Packages.</w:t>
            </w:r>
          </w:p>
        </w:tc>
      </w:tr>
    </w:tbl>
    <w:p w:rsidR="00000000" w:rsidRPr="00773B2A" w:rsidP="00773B2A">
      <w:pPr>
        <w:pStyle w:val="BodyText"/>
      </w:pPr>
    </w:p>
    <w:p w:rsidR="00000000" w:rsidRPr="00773B2A" w:rsidP="00773B2A">
      <w:pPr>
        <w:pStyle w:val="AllowPageBreak"/>
      </w:pPr>
    </w:p>
    <w:p w:rsidR="00000000" w:rsidRPr="00773B2A" w:rsidP="00773B2A">
      <w:pPr>
        <w:pStyle w:val="Heading1"/>
      </w:pPr>
      <w:bookmarkStart w:id="2" w:name="O_714604"/>
      <w:bookmarkEnd w:id="2"/>
      <w:r w:rsidRPr="00773B2A">
        <w:t>Application</w:t>
      </w:r>
    </w:p>
    <w:p w:rsidR="00000000" w:rsidRPr="00773B2A" w:rsidP="005543A4">
      <w:pPr>
        <w:pStyle w:val="BodyText"/>
      </w:pPr>
      <w:r w:rsidRPr="00773B2A">
        <w:t>This unit describes the skills required to apply current legislation and undertake policing activities within judicial processes. This includes interpreting and applying legislation for policing responses, exercising police powers, preparing ju</w:t>
      </w:r>
      <w:r w:rsidRPr="00773B2A">
        <w:t>dicial documents, collaborating with stakeholders and participating in judicial processes.</w:t>
      </w:r>
    </w:p>
    <w:p w:rsidR="00000000" w:rsidRPr="00773B2A" w:rsidP="005543A4">
      <w:pPr>
        <w:pStyle w:val="BodyText"/>
      </w:pPr>
      <w:r w:rsidRPr="00773B2A">
        <w:t>This unit applies to those working in a policing environment, typically in a general duties role.</w:t>
      </w:r>
    </w:p>
    <w:p w:rsidR="00000000" w:rsidRPr="00773B2A" w:rsidP="005543A4">
      <w:pPr>
        <w:pStyle w:val="BodyText"/>
      </w:pPr>
      <w:r w:rsidRPr="00773B2A">
        <w:t>The skills and knowledge described in this unit must be applied w</w:t>
      </w:r>
      <w:r w:rsidRPr="00773B2A">
        <w:t>ithin the current legislative, regulatory and policy environment in which they are carried out. Organisational policies and procedures must be consulted and adhered to, particularly those related to police powers, court processes and procedures, and proofs</w:t>
      </w:r>
      <w:r w:rsidRPr="00773B2A">
        <w:t xml:space="preserve"> of evidence.</w:t>
      </w:r>
    </w:p>
    <w:p w:rsidR="00000000" w:rsidRPr="00773B2A" w:rsidP="005543A4">
      <w:pPr>
        <w:pStyle w:val="BodyText"/>
      </w:pPr>
      <w:r w:rsidRPr="00773B2A">
        <w:t xml:space="preserve">Those undertaking this unit would primarily work autonomously or under limited supervision, while completing complex tasks in a broad range of contexts. They would be required to apply decision making and problem solving skills to interpret </w:t>
      </w:r>
      <w:r w:rsidRPr="00773B2A">
        <w:t>behaviours and develop solutions.</w:t>
      </w:r>
    </w:p>
    <w:p w:rsidR="00000000" w:rsidRPr="00773B2A" w:rsidP="005543A4">
      <w:pPr>
        <w:pStyle w:val="BodyText"/>
      </w:pPr>
      <w:r w:rsidRPr="00773B2A">
        <w:t>No licensing, legislative or certification requirements apply to unit at the time of publication.</w:t>
      </w:r>
    </w:p>
    <w:p w:rsidR="00000000" w:rsidRPr="00773B2A" w:rsidP="00773B2A">
      <w:pPr>
        <w:pStyle w:val="Heading1"/>
      </w:pPr>
      <w:bookmarkStart w:id="3" w:name="O_714606"/>
      <w:bookmarkEnd w:id="3"/>
      <w:r w:rsidRPr="00773B2A">
        <w:t>Competency Field</w:t>
      </w:r>
    </w:p>
    <w:p w:rsidR="00000000" w:rsidRPr="00773B2A" w:rsidP="005543A4">
      <w:pPr>
        <w:pStyle w:val="BodyText"/>
      </w:pPr>
      <w:r w:rsidRPr="00773B2A">
        <w:t>General</w:t>
      </w:r>
    </w:p>
    <w:p w:rsidR="00000000" w:rsidRPr="00773B2A" w:rsidP="00773B2A">
      <w:pPr>
        <w:pStyle w:val="Heading1"/>
      </w:pPr>
      <w:bookmarkStart w:id="4" w:name="O_714608"/>
      <w:bookmarkEnd w:id="4"/>
      <w:r w:rsidRPr="00773B2A">
        <w:t>Elements and Performance Criteria</w:t>
      </w:r>
    </w:p>
    <w:tbl>
      <w:tblPr>
        <w:tblW w:w="0" w:type="auto"/>
        <w:tblLayout w:type="fixed"/>
        <w:tblCellMar>
          <w:left w:w="62" w:type="dxa"/>
          <w:right w:w="62" w:type="dxa"/>
        </w:tblCellMar>
        <w:tblLook w:val="0000"/>
      </w:tblPr>
      <w:tblGrid>
        <w:gridCol w:w="2268"/>
        <w:gridCol w:w="6804"/>
      </w:tblGrid>
      <w:tr w:rsidTr="00773B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TableHeading"/>
              <w:rPr>
                <w:lang w:val="en-NZ"/>
              </w:rPr>
            </w:pPr>
            <w:r w:rsidRPr="00773B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TableHeading"/>
              <w:rPr>
                <w:lang w:val="en-NZ"/>
              </w:rPr>
            </w:pPr>
            <w:r w:rsidRPr="00773B2A">
              <w:t>PERFORMANCE CRITERIA</w:t>
            </w:r>
          </w:p>
        </w:tc>
      </w:tr>
      <w:tr w:rsidTr="00773B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BodyText"/>
              <w:rPr>
                <w:lang w:val="en-NZ"/>
              </w:rPr>
            </w:pPr>
            <w:r w:rsidRPr="00773B2A">
              <w:t xml:space="preserve">Elements describe the </w:t>
            </w:r>
            <w:r w:rsidRPr="00773B2A">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BodyText"/>
              <w:rPr>
                <w:lang w:val="en-NZ"/>
              </w:rPr>
            </w:pPr>
            <w:r w:rsidRPr="00773B2A">
              <w:t xml:space="preserve">Performance criteria describe the performance needed to demonstrate </w:t>
            </w:r>
            <w:r w:rsidRPr="00773B2A">
              <w:t>achievement of the element. Where bold italicised text is used, further information is detailed in the range of conditions section.</w:t>
            </w:r>
          </w:p>
        </w:tc>
      </w:tr>
      <w:tr w:rsidTr="00773B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List"/>
              <w:rPr>
                <w:lang w:val="en-NZ"/>
              </w:rPr>
            </w:pPr>
            <w:r w:rsidRPr="00773B2A">
              <w:rPr>
                <w:rStyle w:val="SpecialBold"/>
              </w:rPr>
              <w:t>1.</w:t>
            </w:r>
            <w:r w:rsidRPr="00773B2A">
              <w:rPr>
                <w:rStyle w:val="SpecialBold"/>
              </w:rPr>
              <w:tab/>
              <w:t>Apply legi</w:t>
            </w:r>
            <w:r w:rsidRPr="00773B2A">
              <w:rPr>
                <w:rStyle w:val="SpecialBold"/>
              </w:rPr>
              <w:t>slation for policing purposes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2A" w:rsidP="00773B2A">
            <w:pPr>
              <w:pStyle w:val="List"/>
            </w:pPr>
            <w:r w:rsidRPr="00773B2A">
              <w:t>1.1</w:t>
            </w:r>
            <w:r w:rsidRPr="00773B2A">
              <w:tab/>
              <w:t xml:space="preserve">Identify sources of legislation for use within policing. </w:t>
            </w:r>
          </w:p>
          <w:p w:rsidR="00000000" w:rsidRPr="00773B2A" w:rsidP="00773B2A">
            <w:pPr>
              <w:pStyle w:val="List"/>
            </w:pPr>
            <w:r w:rsidRPr="00773B2A">
              <w:t>1.2</w:t>
            </w:r>
            <w:r w:rsidRPr="00773B2A">
              <w:tab/>
              <w:t>Demonstrate the connection between legislation and police powers.</w:t>
            </w:r>
          </w:p>
          <w:p w:rsidR="00000000" w:rsidRPr="00773B2A" w:rsidP="00773B2A">
            <w:pPr>
              <w:pStyle w:val="List"/>
            </w:pPr>
            <w:r w:rsidRPr="00773B2A">
              <w:t>1.3</w:t>
            </w:r>
            <w:r w:rsidRPr="00773B2A">
              <w:tab/>
              <w:t>Categorise legislation according to fitness for purpose.</w:t>
            </w:r>
          </w:p>
          <w:p w:rsidR="00000000" w:rsidRPr="00773B2A" w:rsidP="00773B2A">
            <w:pPr>
              <w:pStyle w:val="List"/>
            </w:pPr>
            <w:r w:rsidRPr="00773B2A">
              <w:t>1.4</w:t>
            </w:r>
            <w:r w:rsidRPr="00773B2A">
              <w:tab/>
              <w:t>Apply the Rules of Evidence t</w:t>
            </w:r>
            <w:r w:rsidRPr="00773B2A">
              <w:t>o the delivery of policing services.</w:t>
            </w:r>
          </w:p>
          <w:p w:rsidR="00000000" w:rsidP="00773B2A">
            <w:pPr>
              <w:pStyle w:val="List"/>
              <w:rPr>
                <w:lang w:val="en-NZ"/>
              </w:rPr>
            </w:pPr>
            <w:r w:rsidRPr="00773B2A">
              <w:t>1.5</w:t>
            </w:r>
            <w:r w:rsidRPr="00773B2A">
              <w:tab/>
              <w:t>Differentiate between categories of offences/crimes in terms of their respective elements.</w:t>
            </w:r>
          </w:p>
        </w:tc>
      </w:tr>
      <w:tr w:rsidTr="00773B2A">
        <w:tblPrEx>
          <w:tblW w:w="0" w:type="auto"/>
          <w:tblLayout w:type="fixed"/>
          <w:tblCellMar>
            <w:left w:w="62" w:type="dxa"/>
            <w:right w:w="62" w:type="dxa"/>
          </w:tblCellMar>
          <w:tblLook w:val="0000"/>
        </w:tblPrEx>
        <w:trPr>
          <w:trHeight w:val="1560"/>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List"/>
              <w:rPr>
                <w:lang w:val="en-NZ"/>
              </w:rPr>
            </w:pPr>
            <w:r w:rsidRPr="00773B2A">
              <w:rPr>
                <w:rStyle w:val="SpecialBold"/>
              </w:rPr>
              <w:t>2.</w:t>
            </w:r>
            <w:r w:rsidRPr="00773B2A">
              <w:rPr>
                <w:rStyle w:val="SpecialBold"/>
              </w:rPr>
              <w:tab/>
              <w:t>Apply legislation related to offences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2A" w:rsidP="00773B2A">
            <w:pPr>
              <w:pStyle w:val="List"/>
            </w:pPr>
            <w:r w:rsidRPr="00773B2A">
              <w:t>2.1</w:t>
            </w:r>
            <w:r w:rsidRPr="00773B2A">
              <w:tab/>
              <w:t>Assess incident/situation to establish whether an offence has been committed.</w:t>
            </w:r>
          </w:p>
          <w:p w:rsidR="00000000" w:rsidRPr="00773B2A" w:rsidP="00773B2A">
            <w:pPr>
              <w:pStyle w:val="List"/>
            </w:pPr>
            <w:r w:rsidRPr="00773B2A">
              <w:t>2.2</w:t>
            </w:r>
            <w:r w:rsidRPr="00773B2A">
              <w:tab/>
              <w:t>Identify relevant sections of legislation applicable to incident/situation to inform policing response.</w:t>
            </w:r>
          </w:p>
          <w:p w:rsidR="00000000" w:rsidP="00773B2A">
            <w:pPr>
              <w:pStyle w:val="List"/>
              <w:rPr>
                <w:lang w:val="en-NZ"/>
              </w:rPr>
            </w:pPr>
            <w:r w:rsidRPr="00773B2A">
              <w:t>2.3</w:t>
            </w:r>
            <w:r w:rsidRPr="00773B2A">
              <w:tab/>
              <w:t>Identify potential evidence of offences for charging purposes.</w:t>
            </w:r>
          </w:p>
        </w:tc>
      </w:tr>
      <w:tr w:rsidTr="00773B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List"/>
              <w:rPr>
                <w:lang w:val="en-NZ"/>
              </w:rPr>
            </w:pPr>
            <w:r w:rsidRPr="00773B2A">
              <w:rPr>
                <w:rStyle w:val="SpecialBold"/>
              </w:rPr>
              <w:t>3.</w:t>
            </w:r>
            <w:r w:rsidRPr="00773B2A">
              <w:rPr>
                <w:rStyle w:val="SpecialBold"/>
              </w:rPr>
              <w:tab/>
              <w:t>Apply legislative powers and cautions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2A" w:rsidP="00773B2A">
            <w:pPr>
              <w:pStyle w:val="List"/>
            </w:pPr>
            <w:r w:rsidRPr="00773B2A">
              <w:t>3.1</w:t>
            </w:r>
            <w:r w:rsidRPr="00773B2A">
              <w:tab/>
              <w:t>Identify legislative sources of pol</w:t>
            </w:r>
            <w:r w:rsidRPr="00773B2A">
              <w:t>ice powers to inform policing responses.</w:t>
            </w:r>
          </w:p>
          <w:p w:rsidR="00000000" w:rsidRPr="00773B2A" w:rsidP="00773B2A">
            <w:pPr>
              <w:pStyle w:val="List"/>
            </w:pPr>
            <w:r w:rsidRPr="00773B2A">
              <w:t>3.2</w:t>
            </w:r>
            <w:r w:rsidRPr="00773B2A">
              <w:tab/>
              <w:t>Identify factors that may impact on policing response.</w:t>
            </w:r>
          </w:p>
          <w:p w:rsidR="00000000" w:rsidRPr="00773B2A" w:rsidP="00773B2A">
            <w:pPr>
              <w:pStyle w:val="List"/>
            </w:pPr>
            <w:r w:rsidRPr="00773B2A">
              <w:t>3.3</w:t>
            </w:r>
            <w:r w:rsidRPr="00773B2A">
              <w:tab/>
              <w:t>Exercise police powers in accordance with jurisdictional policies and procedures.</w:t>
            </w:r>
          </w:p>
          <w:p w:rsidR="00000000" w:rsidP="00773B2A">
            <w:pPr>
              <w:pStyle w:val="List"/>
              <w:rPr>
                <w:lang w:val="en-NZ"/>
              </w:rPr>
            </w:pPr>
            <w:r w:rsidRPr="00773B2A">
              <w:t>3.4</w:t>
            </w:r>
            <w:r w:rsidRPr="00773B2A">
              <w:tab/>
              <w:t>Deliver relevant cautions and rights in line with police powers, j</w:t>
            </w:r>
            <w:r w:rsidRPr="00773B2A">
              <w:t>urisdictional requirements and case law.</w:t>
            </w:r>
          </w:p>
        </w:tc>
      </w:tr>
      <w:tr w:rsidTr="00773B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List"/>
              <w:rPr>
                <w:lang w:val="en-NZ"/>
              </w:rPr>
            </w:pPr>
            <w:r w:rsidRPr="00773B2A">
              <w:rPr>
                <w:rStyle w:val="SpecialBold"/>
              </w:rPr>
              <w:t>4.</w:t>
            </w:r>
            <w:r w:rsidRPr="00773B2A">
              <w:rPr>
                <w:rStyle w:val="SpecialBold"/>
              </w:rPr>
              <w:tab/>
              <w:t>Prepare judicial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2A" w:rsidP="00773B2A">
            <w:pPr>
              <w:pStyle w:val="List"/>
            </w:pPr>
            <w:r w:rsidRPr="00773B2A">
              <w:t>4.1</w:t>
            </w:r>
            <w:r w:rsidRPr="00773B2A">
              <w:tab/>
              <w:t>Assess and document proof of evidence.</w:t>
            </w:r>
          </w:p>
          <w:p w:rsidR="00000000" w:rsidRPr="00773B2A" w:rsidP="00773B2A">
            <w:pPr>
              <w:pStyle w:val="List"/>
            </w:pPr>
            <w:r w:rsidRPr="00773B2A">
              <w:t>4.2</w:t>
            </w:r>
            <w:r w:rsidRPr="00773B2A">
              <w:tab/>
              <w:t>Review judicial documents for compliance purposes.</w:t>
            </w:r>
          </w:p>
          <w:p w:rsidR="00000000" w:rsidP="00773B2A">
            <w:pPr>
              <w:pStyle w:val="List"/>
              <w:rPr>
                <w:lang w:val="en-NZ"/>
              </w:rPr>
            </w:pPr>
            <w:r w:rsidRPr="00773B2A">
              <w:t>4.3</w:t>
            </w:r>
            <w:r w:rsidRPr="00773B2A">
              <w:tab/>
              <w:t>Develop briefs of evidence in accordance with the Rules of Evidence.</w:t>
            </w:r>
          </w:p>
        </w:tc>
      </w:tr>
      <w:tr w:rsidTr="00773B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List"/>
              <w:rPr>
                <w:lang w:val="en-NZ"/>
              </w:rPr>
            </w:pPr>
            <w:r w:rsidRPr="00773B2A">
              <w:rPr>
                <w:rStyle w:val="SpecialBold"/>
              </w:rPr>
              <w:t>5.</w:t>
            </w:r>
            <w:r w:rsidRPr="00773B2A">
              <w:rPr>
                <w:rStyle w:val="SpecialBold"/>
              </w:rPr>
              <w:tab/>
              <w:t>Prepare a</w:t>
            </w:r>
            <w:r w:rsidRPr="00773B2A">
              <w:rPr>
                <w:rStyle w:val="SpecialBold"/>
              </w:rPr>
              <w:t>nd work with persons involved in judicial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2A" w:rsidP="00773B2A">
            <w:pPr>
              <w:pStyle w:val="List"/>
            </w:pPr>
            <w:r w:rsidRPr="00773B2A">
              <w:t>5.1</w:t>
            </w:r>
            <w:r w:rsidRPr="00773B2A">
              <w:tab/>
              <w:t>Determine roles and responsibilities of persons identified to be involved in the judicial process.</w:t>
            </w:r>
          </w:p>
          <w:p w:rsidR="00000000" w:rsidRPr="00773B2A" w:rsidP="00773B2A">
            <w:pPr>
              <w:pStyle w:val="List"/>
            </w:pPr>
            <w:r w:rsidRPr="00773B2A">
              <w:t>5.2</w:t>
            </w:r>
            <w:r w:rsidRPr="00773B2A">
              <w:tab/>
              <w:t>Prepare persons for their involvement in the judicial processes.</w:t>
            </w:r>
          </w:p>
          <w:p w:rsidR="00000000" w:rsidRPr="00773B2A" w:rsidP="00773B2A">
            <w:pPr>
              <w:pStyle w:val="List"/>
            </w:pPr>
            <w:r w:rsidRPr="00773B2A">
              <w:t>5.3</w:t>
            </w:r>
            <w:r w:rsidRPr="00773B2A">
              <w:tab/>
            </w:r>
            <w:r w:rsidRPr="00773B2A">
              <w:t>Adhere to the timeframes and governance structures of judicial documents.</w:t>
            </w:r>
          </w:p>
          <w:p w:rsidR="00000000" w:rsidRPr="00773B2A" w:rsidP="00773B2A">
            <w:pPr>
              <w:pStyle w:val="List"/>
            </w:pPr>
            <w:r w:rsidRPr="00773B2A">
              <w:t>5.4</w:t>
            </w:r>
            <w:r w:rsidRPr="00773B2A">
              <w:tab/>
              <w:t>Monitor transport, accommodation and security requirements to facilitate court appearances.</w:t>
            </w:r>
          </w:p>
          <w:p w:rsidR="00000000" w:rsidP="00773B2A">
            <w:pPr>
              <w:pStyle w:val="List"/>
              <w:rPr>
                <w:lang w:val="en-NZ"/>
              </w:rPr>
            </w:pPr>
            <w:r w:rsidRPr="00773B2A">
              <w:t>5.5</w:t>
            </w:r>
            <w:r w:rsidRPr="00773B2A">
              <w:tab/>
              <w:t>Identify liaison, care/custody, support and referral requirements of persons invol</w:t>
            </w:r>
            <w:r w:rsidRPr="00773B2A">
              <w:t>ved in the judicial process.</w:t>
            </w:r>
          </w:p>
        </w:tc>
      </w:tr>
      <w:tr w:rsidTr="00773B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2A">
            <w:pPr>
              <w:pStyle w:val="List"/>
              <w:rPr>
                <w:lang w:val="en-NZ"/>
              </w:rPr>
            </w:pPr>
            <w:r w:rsidRPr="00773B2A">
              <w:rPr>
                <w:rStyle w:val="SpecialBold"/>
              </w:rPr>
              <w:t>6.</w:t>
            </w:r>
            <w:r w:rsidRPr="00773B2A">
              <w:rPr>
                <w:rStyle w:val="SpecialBold"/>
              </w:rPr>
              <w:tab/>
              <w:t>Undertake court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2A" w:rsidP="00773B2A">
            <w:pPr>
              <w:pStyle w:val="List"/>
            </w:pPr>
            <w:r w:rsidRPr="00773B2A">
              <w:t>6.1</w:t>
            </w:r>
            <w:r w:rsidRPr="00773B2A">
              <w:tab/>
              <w:t>Dispose of property and exhibits in accordance with legislation and jurisdictional requirements.</w:t>
            </w:r>
          </w:p>
          <w:p w:rsidR="00000000" w:rsidRPr="00773B2A" w:rsidP="00773B2A">
            <w:pPr>
              <w:pStyle w:val="List"/>
            </w:pPr>
            <w:r w:rsidRPr="00773B2A">
              <w:t>6.2</w:t>
            </w:r>
            <w:r w:rsidRPr="00773B2A">
              <w:tab/>
              <w:t>Inform relevant parties of court results.</w:t>
            </w:r>
          </w:p>
        </w:tc>
      </w:tr>
    </w:tbl>
    <w:p w:rsidR="00000000" w:rsidRPr="00773B2A" w:rsidP="00773B2A">
      <w:pPr>
        <w:pStyle w:val="BodyText"/>
      </w:pPr>
    </w:p>
    <w:p w:rsidR="00000000" w:rsidRPr="00773B2A" w:rsidP="00773B2A">
      <w:pPr>
        <w:pStyle w:val="AllowPageBreak"/>
      </w:pPr>
    </w:p>
    <w:p w:rsidR="00000000" w:rsidRPr="00773B2A" w:rsidP="00773B2A">
      <w:pPr>
        <w:pStyle w:val="Heading1"/>
      </w:pPr>
      <w:bookmarkStart w:id="5" w:name="O_714609"/>
      <w:bookmarkEnd w:id="5"/>
      <w:r w:rsidRPr="00773B2A">
        <w:t>Foundation Skills</w:t>
      </w:r>
    </w:p>
    <w:p w:rsidR="00000000" w:rsidRPr="00773B2A" w:rsidP="005543A4">
      <w:pPr>
        <w:pStyle w:val="BodyText"/>
      </w:pPr>
      <w:r w:rsidRPr="00773B2A">
        <w:t>The foundati</w:t>
      </w:r>
      <w:r w:rsidRPr="00773B2A">
        <w:t>on skills demands of this unit have been mapped for alignment with the Australian Core Skills Framework (ACSF). The following tables outline the performance levels indicated for successful attainment of the unit.</w:t>
      </w:r>
    </w:p>
    <w:p w:rsidR="00000000" w:rsidRPr="00773B2A" w:rsidP="00773B2A">
      <w:pPr>
        <w:pStyle w:val="BodyText"/>
        <w:keepNext/>
      </w:pPr>
    </w:p>
    <w:p w:rsidR="00000000" w:rsidRPr="00773B2A" w:rsidP="00773B2A">
      <w:pPr>
        <w:pStyle w:val="BodyText"/>
      </w:pPr>
      <w:bookmarkStart w:id="6" w:name="O_7301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0.25pt">
            <v:imagedata r:id="rId10" o:title=""/>
          </v:shape>
        </w:pict>
      </w:r>
      <w:bookmarkEnd w:id="6"/>
    </w:p>
    <w:p w:rsidR="00000000" w:rsidRPr="00773B2A" w:rsidP="00773B2A">
      <w:pPr>
        <w:pStyle w:val="BodyText"/>
      </w:pPr>
    </w:p>
    <w:p w:rsidR="00000000" w:rsidRPr="00773B2A" w:rsidP="005543A4">
      <w:pPr>
        <w:pStyle w:val="BodyText"/>
      </w:pPr>
      <w:r w:rsidRPr="00773B2A">
        <w:t>Further information on ACSF and the foundation skills underpinning this unit can be found in the Foundation Skills Guide on the GSA website.</w:t>
      </w:r>
    </w:p>
    <w:p w:rsidR="00000000" w:rsidRPr="00773B2A" w:rsidP="00773B2A">
      <w:pPr>
        <w:pStyle w:val="Heading1"/>
      </w:pPr>
      <w:bookmarkStart w:id="7" w:name="O_714611"/>
      <w:bookmarkEnd w:id="7"/>
      <w:r w:rsidRPr="00773B2A">
        <w:t>Unit Mapping Information</w:t>
      </w:r>
    </w:p>
    <w:p w:rsidR="00000000" w:rsidRPr="00773B2A" w:rsidP="005543A4">
      <w:pPr>
        <w:pStyle w:val="BodyText"/>
      </w:pPr>
      <w:r w:rsidRPr="00773B2A">
        <w:t>No equivalent unit.</w:t>
      </w:r>
    </w:p>
    <w:p w:rsidR="00000000" w:rsidRPr="00773B2A" w:rsidP="00773B2A">
      <w:pPr>
        <w:pStyle w:val="Heading1"/>
      </w:pPr>
      <w:bookmarkStart w:id="8" w:name="O_714618"/>
      <w:bookmarkEnd w:id="8"/>
      <w:r w:rsidRPr="00773B2A">
        <w:t>Links</w:t>
      </w:r>
    </w:p>
    <w:p w:rsidR="00000000" w:rsidRPr="00773B2A" w:rsidP="005543A4">
      <w:pPr>
        <w:pStyle w:val="BodyText"/>
      </w:pPr>
      <w:r w:rsidRPr="00773B2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1BFE">
        <w:rPr>
          <w:rStyle w:val="Hyperlink"/>
        </w:rPr>
        <w:t>https://vetnet.gov.au/Pages/TrainingDocs.aspx?q=98c3984e-2cf1-48a8-8ed1-85e4b92e7351</w:t>
      </w:r>
      <w:r>
        <w:fldChar w:fldCharType="end"/>
      </w:r>
    </w:p>
    <w:p w:rsidR="00000000" w:rsidRPr="00773B2A" w:rsidP="005543A4">
      <w:pPr>
        <w:pStyle w:val="BodyText"/>
      </w:pPr>
      <w:r w:rsidRPr="00773B2A">
        <w:t>Companion Volume implementati</w:t>
      </w:r>
      <w:r w:rsidRPr="00773B2A">
        <w:t xml:space="preserve">on guides are found in VETNet - </w:t>
      </w:r>
      <w:r>
        <w:fldChar w:fldCharType="begin"/>
      </w:r>
      <w:r>
        <w:instrText xml:space="preserve"> HYPERLINK "https://vetnet.gov.au/Pages/TrainingDocs.aspx?q=98c3984e-2cf1-48a8-8ed1-85e4b92e7351" </w:instrText>
      </w:r>
      <w:r>
        <w:fldChar w:fldCharType="separate"/>
      </w:r>
      <w:r w:rsidRPr="00A01BFE">
        <w:rPr>
          <w:rStyle w:val="Hyperlink"/>
        </w:rPr>
        <w:t>https://vetnet.gov.au/Pages/TrainingDocs.aspx?q=98c3984e-2cf1-48a8-8ed1-85e4b92e7351</w:t>
      </w:r>
      <w:r>
        <w:fldChar w:fldCharType="end"/>
      </w:r>
    </w:p>
    <w:p w:rsidR="00000000" w:rsidRPr="00773B2A" w:rsidP="005543A4">
      <w:pPr>
        <w:pStyle w:val="BodyText"/>
      </w:pPr>
      <w:r w:rsidRPr="00773B2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1BFE">
        <w:rPr>
          <w:rStyle w:val="Hyperlink"/>
        </w:rPr>
        <w:t>https://vetnet.gov.au/Pages/TrainingDocs.aspx?q=98c3984e-2cf1-48a8-8ed1-85e4b92e7351</w:t>
      </w:r>
      <w:r>
        <w:fldChar w:fldCharType="end"/>
      </w:r>
    </w:p>
    <w:p w:rsidR="00000000" w:rsidRPr="00773B2A" w:rsidP="00773B2A"/>
    <w:sectPr w:rsidSect="00773B2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A" w:rsidRPr="005543A4" w:rsidP="00554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A4" w:rsidP="00773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3A4" w:rsidP="00773B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543A4" w:rsidP="00773B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B2A" w:rsidRPr="005543A4" w:rsidP="00554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A4" w:rsidRPr="002D2AF8" w:rsidP="00773B2A">
    <w:pPr>
      <w:pStyle w:val="Header"/>
      <w:framePr w:wrap="around"/>
    </w:pPr>
    <w:r>
      <w:fldChar w:fldCharType="begin"/>
    </w:r>
    <w:r>
      <w:instrText xml:space="preserve"> TITLE   \* MERGEFORMAT </w:instrText>
    </w:r>
    <w:r>
      <w:fldChar w:fldCharType="separate"/>
    </w:r>
    <w:r>
      <w:t>POLGEN023 Apply legislation and judicial processes 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5543A4" w:rsidP="00773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B2A"/>
    <w:pPr>
      <w:spacing w:before="360" w:after="60"/>
      <w:outlineLvl w:val="0"/>
    </w:pPr>
    <w:rPr>
      <w:sz w:val="32"/>
    </w:rPr>
  </w:style>
  <w:style w:type="paragraph" w:styleId="Heading2">
    <w:name w:val="heading 2"/>
    <w:basedOn w:val="HeadingBase"/>
    <w:next w:val="BodyText"/>
    <w:link w:val="Heading2Char"/>
    <w:qFormat/>
    <w:rsid w:val="00773B2A"/>
    <w:pPr>
      <w:keepLines/>
      <w:spacing w:before="240" w:after="120"/>
      <w:outlineLvl w:val="1"/>
    </w:pPr>
    <w:rPr>
      <w:sz w:val="28"/>
      <w:szCs w:val="40"/>
    </w:rPr>
  </w:style>
  <w:style w:type="paragraph" w:styleId="Heading3">
    <w:name w:val="heading 3"/>
    <w:basedOn w:val="HeadingBase"/>
    <w:next w:val="BodyText"/>
    <w:link w:val="Heading3Char"/>
    <w:qFormat/>
    <w:rsid w:val="00773B2A"/>
    <w:pPr>
      <w:spacing w:before="180" w:after="120"/>
      <w:outlineLvl w:val="2"/>
    </w:pPr>
    <w:rPr>
      <w:spacing w:val="-10"/>
      <w:kern w:val="32"/>
    </w:rPr>
  </w:style>
  <w:style w:type="paragraph" w:styleId="Heading4">
    <w:name w:val="heading 4"/>
    <w:basedOn w:val="HeadingBase"/>
    <w:next w:val="BodyText"/>
    <w:link w:val="Heading4Char"/>
    <w:qFormat/>
    <w:rsid w:val="00773B2A"/>
    <w:pPr>
      <w:spacing w:before="160" w:after="120"/>
      <w:outlineLvl w:val="3"/>
    </w:pPr>
    <w:rPr>
      <w:sz w:val="22"/>
    </w:rPr>
  </w:style>
  <w:style w:type="paragraph" w:styleId="Heading5">
    <w:name w:val="heading 5"/>
    <w:basedOn w:val="HeadingBase"/>
    <w:next w:val="Normal"/>
    <w:link w:val="Heading5Char"/>
    <w:qFormat/>
    <w:rsid w:val="00773B2A"/>
    <w:pPr>
      <w:spacing w:before="80"/>
      <w:outlineLvl w:val="4"/>
    </w:pPr>
    <w:rPr>
      <w:color w:val="918585"/>
      <w:sz w:val="20"/>
    </w:rPr>
  </w:style>
  <w:style w:type="paragraph" w:styleId="Heading6">
    <w:name w:val="heading 6"/>
    <w:basedOn w:val="HeadingBase"/>
    <w:next w:val="Normal"/>
    <w:link w:val="Heading6Char"/>
    <w:qFormat/>
    <w:rsid w:val="00773B2A"/>
    <w:pPr>
      <w:spacing w:before="60"/>
      <w:outlineLvl w:val="5"/>
    </w:pPr>
    <w:rPr>
      <w:color w:val="918585"/>
      <w:sz w:val="20"/>
    </w:rPr>
  </w:style>
  <w:style w:type="paragraph" w:styleId="Heading7">
    <w:name w:val="heading 7"/>
    <w:basedOn w:val="Normal"/>
    <w:next w:val="Normal"/>
    <w:link w:val="Heading7Char"/>
    <w:qFormat/>
    <w:rsid w:val="00773B2A"/>
    <w:pPr>
      <w:ind w:left="720"/>
      <w:outlineLvl w:val="6"/>
    </w:pPr>
    <w:rPr>
      <w:i/>
    </w:rPr>
  </w:style>
  <w:style w:type="paragraph" w:styleId="Heading8">
    <w:name w:val="heading 8"/>
    <w:basedOn w:val="Normal"/>
    <w:next w:val="Normal"/>
    <w:link w:val="Heading8Char"/>
    <w:qFormat/>
    <w:rsid w:val="00773B2A"/>
    <w:pPr>
      <w:ind w:left="720"/>
      <w:outlineLvl w:val="7"/>
    </w:pPr>
    <w:rPr>
      <w:i/>
    </w:rPr>
  </w:style>
  <w:style w:type="paragraph" w:styleId="Heading9">
    <w:name w:val="heading 9"/>
    <w:basedOn w:val="Normal"/>
    <w:next w:val="Normal"/>
    <w:link w:val="Heading9Char"/>
    <w:qFormat/>
    <w:rsid w:val="00773B2A"/>
    <w:pPr>
      <w:ind w:left="720"/>
      <w:outlineLvl w:val="8"/>
    </w:pPr>
    <w:rPr>
      <w:i/>
    </w:rPr>
  </w:style>
  <w:style w:type="character" w:default="1" w:styleId="DefaultParagraphFont">
    <w:name w:val="Default Paragraph Font"/>
    <w:uiPriority w:val="1"/>
    <w:unhideWhenUsed/>
    <w:rsid w:val="00773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B2A"/>
  </w:style>
  <w:style w:type="character" w:customStyle="1" w:styleId="Heading1Char">
    <w:name w:val="Heading 1 Char"/>
    <w:basedOn w:val="DefaultParagraphFont"/>
    <w:link w:val="Heading1"/>
    <w:rsid w:val="00773B2A"/>
    <w:rPr>
      <w:rFonts w:ascii="Times New Roman" w:eastAsia="Times New Roman" w:hAnsi="Times New Roman" w:cs="Times New Roman"/>
      <w:b/>
      <w:sz w:val="32"/>
      <w:szCs w:val="20"/>
      <w:lang w:eastAsia="en-US"/>
    </w:rPr>
  </w:style>
  <w:style w:type="paragraph" w:styleId="BodyText">
    <w:name w:val="Body Text"/>
    <w:basedOn w:val="Normal"/>
    <w:link w:val="BodyTextChar"/>
    <w:rsid w:val="00773B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B2A"/>
    <w:rPr>
      <w:rFonts w:ascii="Times New Roman" w:eastAsia="Times New Roman" w:hAnsi="Times New Roman" w:cs="Times New Roman"/>
      <w:sz w:val="24"/>
      <w:lang w:eastAsia="en-US"/>
    </w:rPr>
  </w:style>
  <w:style w:type="paragraph" w:styleId="List">
    <w:name w:val="List"/>
    <w:basedOn w:val="BodyText"/>
    <w:next w:val="BodyText"/>
    <w:rsid w:val="00773B2A"/>
    <w:pPr>
      <w:tabs>
        <w:tab w:val="left" w:pos="340"/>
      </w:tabs>
      <w:spacing w:before="60" w:after="60"/>
      <w:ind w:left="340" w:hanging="340"/>
    </w:pPr>
  </w:style>
  <w:style w:type="character" w:customStyle="1" w:styleId="SpecialBold">
    <w:name w:val="Special Bold"/>
    <w:basedOn w:val="DefaultParagraphFont"/>
    <w:rsid w:val="00773B2A"/>
    <w:rPr>
      <w:b/>
      <w:spacing w:val="0"/>
    </w:rPr>
  </w:style>
  <w:style w:type="paragraph" w:customStyle="1" w:styleId="SuperHeading">
    <w:name w:val="SuperHeading"/>
    <w:basedOn w:val="Normal"/>
    <w:rsid w:val="00773B2A"/>
    <w:pPr>
      <w:spacing w:before="240" w:after="120"/>
      <w:outlineLvl w:val="0"/>
    </w:pPr>
    <w:rPr>
      <w:rFonts w:ascii="Times New Roman" w:hAnsi="Times New Roman"/>
      <w:b/>
      <w:sz w:val="32"/>
    </w:rPr>
  </w:style>
  <w:style w:type="paragraph" w:customStyle="1" w:styleId="TableHeading">
    <w:name w:val="Table Heading"/>
    <w:basedOn w:val="HeadingBase"/>
    <w:rsid w:val="00773B2A"/>
    <w:pPr>
      <w:keepLines/>
      <w:pBdr>
        <w:bottom w:val="single" w:sz="6" w:space="1" w:color="918585"/>
      </w:pBdr>
      <w:spacing w:before="240"/>
    </w:pPr>
  </w:style>
  <w:style w:type="paragraph" w:customStyle="1" w:styleId="AllowPageBreak">
    <w:name w:val="AllowPageBreak"/>
    <w:rsid w:val="00773B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B2A"/>
    <w:rPr>
      <w:rFonts w:ascii="Courier New" w:eastAsia="Times New Roman" w:hAnsi="Courier New" w:cs="Times New Roman"/>
      <w:i/>
      <w:szCs w:val="20"/>
      <w:lang w:eastAsia="en-US"/>
    </w:rPr>
  </w:style>
  <w:style w:type="paragraph" w:customStyle="1" w:styleId="HeadingBase">
    <w:name w:val="Heading Base"/>
    <w:rsid w:val="00773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B2A"/>
    <w:pPr>
      <w:tabs>
        <w:tab w:val="right" w:leader="dot" w:pos="9072"/>
      </w:tabs>
      <w:ind w:left="567"/>
    </w:pPr>
    <w:rPr>
      <w:szCs w:val="22"/>
    </w:rPr>
  </w:style>
  <w:style w:type="paragraph" w:customStyle="1" w:styleId="TOCBase">
    <w:name w:val="TOC Base"/>
    <w:rsid w:val="00773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B2A"/>
    <w:pPr>
      <w:tabs>
        <w:tab w:val="right" w:leader="dot" w:pos="9072"/>
      </w:tabs>
      <w:spacing w:before="40" w:after="40"/>
      <w:ind w:left="284"/>
    </w:pPr>
    <w:rPr>
      <w:rFonts w:ascii="Times New Roman" w:hAnsi="Times New Roman"/>
    </w:rPr>
  </w:style>
  <w:style w:type="paragraph" w:styleId="TOC1">
    <w:name w:val="toc 1"/>
    <w:basedOn w:val="TOCBase"/>
    <w:next w:val="Normal"/>
    <w:rsid w:val="00773B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B2A"/>
    <w:rPr>
      <w:rFonts w:ascii="Times New Roman" w:eastAsia="Times New Roman" w:hAnsi="Times New Roman" w:cs="Times New Roman"/>
      <w:sz w:val="16"/>
      <w:lang w:eastAsia="en-US"/>
    </w:rPr>
  </w:style>
  <w:style w:type="paragraph" w:styleId="Title">
    <w:name w:val="Title"/>
    <w:basedOn w:val="HeadingBase"/>
    <w:link w:val="TitleChar"/>
    <w:qFormat/>
    <w:rsid w:val="00773B2A"/>
    <w:pPr>
      <w:spacing w:before="5040"/>
      <w:jc w:val="center"/>
    </w:pPr>
    <w:rPr>
      <w:sz w:val="48"/>
      <w:szCs w:val="72"/>
      <w:lang w:val="en-US"/>
    </w:rPr>
  </w:style>
  <w:style w:type="character" w:customStyle="1" w:styleId="TitleChar">
    <w:name w:val="Title Char"/>
    <w:basedOn w:val="DefaultParagraphFont"/>
    <w:link w:val="Title"/>
    <w:rsid w:val="00773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B2A"/>
    <w:pPr>
      <w:tabs>
        <w:tab w:val="left" w:pos="3600"/>
        <w:tab w:val="left" w:pos="3958"/>
      </w:tabs>
    </w:pPr>
  </w:style>
  <w:style w:type="paragraph" w:styleId="ListBullet">
    <w:name w:val="List Bullet"/>
    <w:basedOn w:val="List"/>
    <w:rsid w:val="00773B2A"/>
    <w:pPr>
      <w:numPr>
        <w:numId w:val="10"/>
      </w:numPr>
      <w:tabs>
        <w:tab w:val="clear" w:pos="340"/>
      </w:tabs>
      <w:spacing w:before="40" w:after="40"/>
    </w:pPr>
  </w:style>
  <w:style w:type="paragraph" w:customStyle="1" w:styleId="Note">
    <w:name w:val="Note"/>
    <w:basedOn w:val="BodyText"/>
    <w:rsid w:val="00773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B2A"/>
    <w:pPr>
      <w:framePr w:wrap="auto" w:hAnchor="text" w:y="6049"/>
    </w:pPr>
    <w:rPr>
      <w:color w:val="000000"/>
      <w:sz w:val="40"/>
    </w:rPr>
  </w:style>
  <w:style w:type="paragraph" w:customStyle="1" w:styleId="TOCTitle">
    <w:name w:val="TOCTitle"/>
    <w:basedOn w:val="Heading1"/>
    <w:rsid w:val="00773B2A"/>
    <w:pPr>
      <w:spacing w:after="240"/>
      <w:jc w:val="center"/>
      <w:outlineLvl w:val="9"/>
    </w:pPr>
    <w:rPr>
      <w:caps/>
    </w:rPr>
  </w:style>
  <w:style w:type="paragraph" w:customStyle="1" w:styleId="Version">
    <w:name w:val="Version"/>
    <w:rsid w:val="00773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3B2A"/>
    <w:pPr>
      <w:numPr>
        <w:numId w:val="11"/>
      </w:numPr>
      <w:tabs>
        <w:tab w:val="clear" w:pos="680"/>
      </w:tabs>
    </w:pPr>
  </w:style>
  <w:style w:type="paragraph" w:styleId="Index1">
    <w:name w:val="index 1"/>
    <w:basedOn w:val="Normal"/>
    <w:next w:val="Normal"/>
    <w:semiHidden/>
    <w:rsid w:val="00773B2A"/>
    <w:pPr>
      <w:keepNext w:val="0"/>
      <w:tabs>
        <w:tab w:val="right" w:pos="4176"/>
      </w:tabs>
      <w:ind w:left="198" w:hanging="198"/>
    </w:pPr>
    <w:rPr>
      <w:rFonts w:ascii="Garamond" w:hAnsi="Garamond"/>
    </w:rPr>
  </w:style>
  <w:style w:type="paragraph" w:styleId="IndexHeading">
    <w:name w:val="index heading"/>
    <w:basedOn w:val="Normal"/>
    <w:next w:val="Index1"/>
    <w:semiHidden/>
    <w:rsid w:val="00773B2A"/>
    <w:pPr>
      <w:spacing w:before="120" w:after="120"/>
    </w:pPr>
    <w:rPr>
      <w:rFonts w:ascii="Arial" w:hAnsi="Arial"/>
      <w:b/>
      <w:color w:val="918585"/>
      <w:sz w:val="24"/>
    </w:rPr>
  </w:style>
  <w:style w:type="paragraph" w:styleId="Header">
    <w:name w:val="header"/>
    <w:basedOn w:val="Normal"/>
    <w:link w:val="HeaderChar"/>
    <w:rsid w:val="00773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B2A"/>
    <w:rPr>
      <w:rFonts w:ascii="Times New Roman" w:eastAsia="Times New Roman" w:hAnsi="Times New Roman" w:cs="Times New Roman"/>
      <w:sz w:val="16"/>
      <w:szCs w:val="20"/>
      <w:lang w:val="en-GB" w:eastAsia="en-US"/>
    </w:rPr>
  </w:style>
  <w:style w:type="paragraph" w:customStyle="1" w:styleId="Chapter">
    <w:name w:val="Chapter"/>
    <w:basedOn w:val="Normal"/>
    <w:rsid w:val="00773B2A"/>
    <w:pPr>
      <w:spacing w:before="240"/>
    </w:pPr>
    <w:rPr>
      <w:rFonts w:ascii="Times New Roman" w:hAnsi="Times New Roman"/>
      <w:smallCaps/>
      <w:spacing w:val="80"/>
      <w:sz w:val="28"/>
    </w:rPr>
  </w:style>
  <w:style w:type="paragraph" w:customStyle="1" w:styleId="InChapter">
    <w:name w:val="InChapter"/>
    <w:basedOn w:val="Heading3"/>
    <w:rsid w:val="00773B2A"/>
    <w:pPr>
      <w:spacing w:after="240"/>
      <w:outlineLvl w:val="9"/>
    </w:pPr>
    <w:rPr>
      <w:noProof/>
    </w:rPr>
  </w:style>
  <w:style w:type="paragraph" w:styleId="Index2">
    <w:name w:val="index 2"/>
    <w:basedOn w:val="Normal"/>
    <w:next w:val="Normal"/>
    <w:semiHidden/>
    <w:rsid w:val="00773B2A"/>
    <w:pPr>
      <w:tabs>
        <w:tab w:val="right" w:pos="4176"/>
      </w:tabs>
      <w:ind w:left="568" w:hanging="284"/>
    </w:pPr>
    <w:rPr>
      <w:rFonts w:ascii="Garamond" w:hAnsi="Garamond"/>
    </w:rPr>
  </w:style>
  <w:style w:type="paragraph" w:customStyle="1" w:styleId="Byline">
    <w:name w:val="Byline"/>
    <w:rsid w:val="00773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B2A"/>
    <w:pPr>
      <w:tabs>
        <w:tab w:val="clear" w:pos="3600"/>
        <w:tab w:val="clear" w:pos="3958"/>
      </w:tabs>
      <w:jc w:val="right"/>
    </w:pPr>
  </w:style>
  <w:style w:type="character" w:styleId="Emphasis">
    <w:name w:val="Emphasis"/>
    <w:basedOn w:val="DefaultParagraphFont"/>
    <w:qFormat/>
    <w:rsid w:val="00773B2A"/>
    <w:rPr>
      <w:i/>
    </w:rPr>
  </w:style>
  <w:style w:type="paragraph" w:styleId="Caption">
    <w:name w:val="caption"/>
    <w:basedOn w:val="BodyText"/>
    <w:next w:val="Normal"/>
    <w:qFormat/>
    <w:rsid w:val="00773B2A"/>
    <w:pPr>
      <w:framePr w:w="2268" w:hSpace="181" w:vSpace="181" w:wrap="around" w:vAnchor="text" w:hAnchor="page" w:x="1135" w:y="285" w:anchorLock="1"/>
    </w:pPr>
    <w:rPr>
      <w:i/>
    </w:rPr>
  </w:style>
  <w:style w:type="paragraph" w:customStyle="1" w:styleId="MiniTOCTitle">
    <w:name w:val="MiniTOCTitle"/>
    <w:basedOn w:val="Heading4"/>
    <w:rsid w:val="00773B2A"/>
    <w:pPr>
      <w:spacing w:before="240"/>
      <w:outlineLvl w:val="9"/>
    </w:pPr>
    <w:rPr>
      <w:noProof/>
      <w:sz w:val="24"/>
    </w:rPr>
  </w:style>
  <w:style w:type="paragraph" w:customStyle="1" w:styleId="MiniTOCItem">
    <w:name w:val="MiniTOCItem"/>
    <w:basedOn w:val="ListBullet"/>
    <w:rsid w:val="00773B2A"/>
    <w:pPr>
      <w:numPr>
        <w:numId w:val="0"/>
      </w:numPr>
      <w:tabs>
        <w:tab w:val="right" w:leader="dot" w:pos="6521"/>
      </w:tabs>
      <w:spacing w:before="0" w:after="0"/>
    </w:pPr>
  </w:style>
  <w:style w:type="paragraph" w:customStyle="1" w:styleId="TOFTitle">
    <w:name w:val="TOFTitle"/>
    <w:basedOn w:val="TOCTitle"/>
    <w:rsid w:val="00773B2A"/>
  </w:style>
  <w:style w:type="paragraph" w:styleId="TableofFigures">
    <w:name w:val="table of figures"/>
    <w:basedOn w:val="Normal"/>
    <w:next w:val="Normal"/>
    <w:semiHidden/>
    <w:rsid w:val="00773B2A"/>
    <w:pPr>
      <w:tabs>
        <w:tab w:val="right" w:leader="dot" w:pos="9072"/>
      </w:tabs>
      <w:ind w:left="970" w:hanging="403"/>
    </w:pPr>
    <w:rPr>
      <w:rFonts w:ascii="Times New Roman" w:hAnsi="Times New Roman"/>
      <w:b/>
    </w:rPr>
  </w:style>
  <w:style w:type="paragraph" w:styleId="ListNumber">
    <w:name w:val="List Number"/>
    <w:basedOn w:val="List"/>
    <w:rsid w:val="00773B2A"/>
    <w:pPr>
      <w:numPr>
        <w:numId w:val="13"/>
      </w:numPr>
      <w:tabs>
        <w:tab w:val="clear" w:pos="340"/>
      </w:tabs>
    </w:pPr>
  </w:style>
  <w:style w:type="character" w:customStyle="1" w:styleId="WingdingSymbols">
    <w:name w:val="Wingding Symbols"/>
    <w:rsid w:val="00773B2A"/>
    <w:rPr>
      <w:rFonts w:ascii="Wingdings" w:hAnsi="Wingdings"/>
    </w:rPr>
  </w:style>
  <w:style w:type="character" w:customStyle="1" w:styleId="HotSpot">
    <w:name w:val="HotSpot"/>
    <w:rsid w:val="00773B2A"/>
    <w:rPr>
      <w:color w:val="0033CC"/>
      <w:u w:val="none"/>
    </w:rPr>
  </w:style>
  <w:style w:type="paragraph" w:customStyle="1" w:styleId="BodyTextRight">
    <w:name w:val="Body Text Right"/>
    <w:basedOn w:val="BodyText"/>
    <w:rsid w:val="00773B2A"/>
    <w:pPr>
      <w:spacing w:before="0" w:after="0"/>
      <w:jc w:val="right"/>
    </w:pPr>
  </w:style>
  <w:style w:type="paragraph" w:styleId="Index3">
    <w:name w:val="index 3"/>
    <w:basedOn w:val="ListNumber2"/>
    <w:next w:val="Normal"/>
    <w:semiHidden/>
    <w:rsid w:val="00773B2A"/>
    <w:pPr>
      <w:numPr>
        <w:numId w:val="0"/>
      </w:numPr>
      <w:tabs>
        <w:tab w:val="right" w:leader="dot" w:pos="4176"/>
      </w:tabs>
    </w:pPr>
  </w:style>
  <w:style w:type="paragraph" w:styleId="ListNumber2">
    <w:name w:val="List Number 2"/>
    <w:basedOn w:val="List2"/>
    <w:rsid w:val="00773B2A"/>
    <w:pPr>
      <w:numPr>
        <w:numId w:val="8"/>
      </w:numPr>
      <w:tabs>
        <w:tab w:val="clear" w:pos="1060"/>
      </w:tabs>
    </w:pPr>
  </w:style>
  <w:style w:type="paragraph" w:customStyle="1" w:styleId="MarginNote">
    <w:name w:val="Margin Note"/>
    <w:basedOn w:val="BodyText"/>
    <w:rsid w:val="00773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B2A"/>
    <w:rPr>
      <w:sz w:val="32"/>
    </w:rPr>
  </w:style>
  <w:style w:type="paragraph" w:customStyle="1" w:styleId="HeadingProcedure">
    <w:name w:val="Heading Procedure"/>
    <w:basedOn w:val="HeadingBase"/>
    <w:next w:val="Normal"/>
    <w:rsid w:val="00773B2A"/>
    <w:pPr>
      <w:tabs>
        <w:tab w:val="left" w:pos="0"/>
      </w:tabs>
      <w:spacing w:before="120" w:after="60"/>
    </w:pPr>
    <w:rPr>
      <w:i/>
      <w:color w:val="918585"/>
      <w:sz w:val="22"/>
    </w:rPr>
  </w:style>
  <w:style w:type="paragraph" w:customStyle="1" w:styleId="TableBodyText">
    <w:name w:val="Table Body Text"/>
    <w:basedOn w:val="BodyText"/>
    <w:rsid w:val="00773B2A"/>
    <w:pPr>
      <w:spacing w:before="60" w:after="60"/>
    </w:pPr>
  </w:style>
  <w:style w:type="paragraph" w:styleId="ListContinue">
    <w:name w:val="List Continue"/>
    <w:basedOn w:val="List"/>
    <w:rsid w:val="00773B2A"/>
    <w:pPr>
      <w:ind w:firstLine="0"/>
    </w:pPr>
  </w:style>
  <w:style w:type="paragraph" w:customStyle="1" w:styleId="ListNote">
    <w:name w:val="List Note"/>
    <w:basedOn w:val="List"/>
    <w:rsid w:val="00773B2A"/>
    <w:pPr>
      <w:pBdr>
        <w:top w:val="single" w:sz="6" w:space="2" w:color="918585"/>
        <w:bottom w:val="single" w:sz="6" w:space="2" w:color="918585"/>
      </w:pBdr>
      <w:tabs>
        <w:tab w:val="left" w:pos="1021"/>
      </w:tabs>
      <w:ind w:firstLine="0"/>
    </w:pPr>
  </w:style>
  <w:style w:type="paragraph" w:customStyle="1" w:styleId="Warning">
    <w:name w:val="Warning"/>
    <w:basedOn w:val="BodyText"/>
    <w:rsid w:val="00773B2A"/>
    <w:pPr>
      <w:shd w:val="clear" w:color="auto" w:fill="D9D9D9"/>
      <w:tabs>
        <w:tab w:val="left" w:pos="992"/>
      </w:tabs>
      <w:ind w:left="119" w:right="119"/>
    </w:pPr>
    <w:rPr>
      <w:sz w:val="20"/>
    </w:rPr>
  </w:style>
  <w:style w:type="paragraph" w:customStyle="1" w:styleId="MarginIcons">
    <w:name w:val="Margin Icons"/>
    <w:basedOn w:val="BodyText"/>
    <w:rsid w:val="00773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B2A"/>
    <w:rPr>
      <w:rFonts w:ascii="Courier New" w:hAnsi="Courier New"/>
    </w:rPr>
  </w:style>
  <w:style w:type="paragraph" w:customStyle="1" w:styleId="NoteBullet">
    <w:name w:val="Note Bullet"/>
    <w:basedOn w:val="Note"/>
    <w:rsid w:val="00773B2A"/>
    <w:pPr>
      <w:tabs>
        <w:tab w:val="clear" w:pos="680"/>
      </w:tabs>
      <w:spacing w:before="60" w:after="60"/>
    </w:pPr>
  </w:style>
  <w:style w:type="paragraph" w:customStyle="1" w:styleId="SubHeading2">
    <w:name w:val="SubHeading2"/>
    <w:basedOn w:val="HeadingBase"/>
    <w:rsid w:val="00773B2A"/>
    <w:pPr>
      <w:spacing w:before="240" w:after="60"/>
    </w:pPr>
    <w:rPr>
      <w:sz w:val="20"/>
    </w:rPr>
  </w:style>
  <w:style w:type="paragraph" w:customStyle="1" w:styleId="SubHeading1">
    <w:name w:val="SubHeading1"/>
    <w:basedOn w:val="HeadingBase"/>
    <w:rsid w:val="00773B2A"/>
    <w:pPr>
      <w:spacing w:before="240" w:after="60"/>
    </w:pPr>
    <w:rPr>
      <w:color w:val="918585"/>
      <w:sz w:val="22"/>
    </w:rPr>
  </w:style>
  <w:style w:type="paragraph" w:customStyle="1" w:styleId="SideHeading">
    <w:name w:val="Side Heading"/>
    <w:basedOn w:val="HeadingBase"/>
    <w:rsid w:val="00773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B2A"/>
    <w:pPr>
      <w:numPr>
        <w:numId w:val="9"/>
      </w:numPr>
    </w:pPr>
  </w:style>
  <w:style w:type="paragraph" w:styleId="PlainText">
    <w:name w:val="Plain Text"/>
    <w:basedOn w:val="Normal"/>
    <w:link w:val="PlainTextChar"/>
    <w:rsid w:val="00773B2A"/>
    <w:rPr>
      <w:sz w:val="20"/>
    </w:rPr>
  </w:style>
  <w:style w:type="character" w:customStyle="1" w:styleId="PlainTextChar">
    <w:name w:val="Plain Text Char"/>
    <w:basedOn w:val="DefaultParagraphFont"/>
    <w:link w:val="PlainText"/>
    <w:rsid w:val="00773B2A"/>
    <w:rPr>
      <w:rFonts w:ascii="Courier New" w:eastAsia="Times New Roman" w:hAnsi="Courier New" w:cs="Times New Roman"/>
      <w:sz w:val="20"/>
      <w:szCs w:val="20"/>
      <w:lang w:eastAsia="en-US"/>
    </w:rPr>
  </w:style>
  <w:style w:type="character" w:customStyle="1" w:styleId="MenuOption">
    <w:name w:val="Menu Option"/>
    <w:basedOn w:val="DefaultParagraphFont"/>
    <w:rsid w:val="00773B2A"/>
    <w:rPr>
      <w:b/>
      <w:smallCaps/>
    </w:rPr>
  </w:style>
  <w:style w:type="paragraph" w:customStyle="1" w:styleId="TableListNumber">
    <w:name w:val="Table List Number"/>
    <w:basedOn w:val="ListNumber"/>
    <w:rsid w:val="00773B2A"/>
    <w:pPr>
      <w:numPr>
        <w:numId w:val="0"/>
      </w:numPr>
    </w:pPr>
  </w:style>
  <w:style w:type="paragraph" w:styleId="TOC4">
    <w:name w:val="toc 4"/>
    <w:basedOn w:val="TOCBase"/>
    <w:next w:val="Normal"/>
    <w:semiHidden/>
    <w:rsid w:val="00773B2A"/>
    <w:pPr>
      <w:tabs>
        <w:tab w:val="right" w:leader="dot" w:pos="9071"/>
      </w:tabs>
      <w:ind w:left="1701"/>
    </w:pPr>
  </w:style>
  <w:style w:type="paragraph" w:customStyle="1" w:styleId="ListAlpha">
    <w:name w:val="List Alpha"/>
    <w:basedOn w:val="List"/>
    <w:rsid w:val="00773B2A"/>
    <w:pPr>
      <w:numPr>
        <w:numId w:val="7"/>
      </w:numPr>
    </w:pPr>
  </w:style>
  <w:style w:type="paragraph" w:customStyle="1" w:styleId="ListAlpha2">
    <w:name w:val="List Alpha 2"/>
    <w:basedOn w:val="List2"/>
    <w:rsid w:val="00773B2A"/>
    <w:pPr>
      <w:numPr>
        <w:numId w:val="6"/>
      </w:numPr>
    </w:pPr>
  </w:style>
  <w:style w:type="paragraph" w:styleId="List2">
    <w:name w:val="List 2"/>
    <w:basedOn w:val="BodyText"/>
    <w:rsid w:val="00773B2A"/>
    <w:pPr>
      <w:tabs>
        <w:tab w:val="left" w:pos="680"/>
      </w:tabs>
      <w:spacing w:before="60" w:after="60"/>
      <w:ind w:left="680" w:hanging="340"/>
    </w:pPr>
  </w:style>
  <w:style w:type="paragraph" w:styleId="List3">
    <w:name w:val="List 3"/>
    <w:basedOn w:val="BodyText"/>
    <w:rsid w:val="00773B2A"/>
    <w:pPr>
      <w:tabs>
        <w:tab w:val="left" w:pos="1021"/>
      </w:tabs>
      <w:spacing w:before="60" w:after="60"/>
      <w:ind w:left="1020" w:hanging="340"/>
    </w:pPr>
  </w:style>
  <w:style w:type="paragraph" w:styleId="List4">
    <w:name w:val="List 4"/>
    <w:basedOn w:val="BodyText"/>
    <w:rsid w:val="00773B2A"/>
    <w:pPr>
      <w:tabs>
        <w:tab w:val="left" w:pos="1361"/>
      </w:tabs>
      <w:spacing w:before="60" w:after="60"/>
      <w:ind w:left="1361" w:hanging="340"/>
    </w:pPr>
  </w:style>
  <w:style w:type="paragraph" w:styleId="List5">
    <w:name w:val="List 5"/>
    <w:basedOn w:val="BodyText"/>
    <w:rsid w:val="00773B2A"/>
    <w:pPr>
      <w:tabs>
        <w:tab w:val="left" w:pos="1701"/>
      </w:tabs>
      <w:spacing w:before="60" w:after="60"/>
      <w:ind w:left="1701" w:hanging="340"/>
    </w:pPr>
  </w:style>
  <w:style w:type="paragraph" w:styleId="ListBullet3">
    <w:name w:val="List Bullet 3"/>
    <w:basedOn w:val="List3"/>
    <w:rsid w:val="00773B2A"/>
    <w:pPr>
      <w:numPr>
        <w:numId w:val="12"/>
      </w:numPr>
      <w:tabs>
        <w:tab w:val="clear" w:pos="1021"/>
      </w:tabs>
      <w:ind w:left="1037" w:hanging="357"/>
    </w:pPr>
  </w:style>
  <w:style w:type="paragraph" w:styleId="ListBullet4">
    <w:name w:val="List Bullet 4"/>
    <w:basedOn w:val="List4"/>
    <w:rsid w:val="00773B2A"/>
    <w:pPr>
      <w:numPr>
        <w:numId w:val="1"/>
      </w:numPr>
      <w:tabs>
        <w:tab w:val="clear" w:pos="1361"/>
      </w:tabs>
    </w:pPr>
  </w:style>
  <w:style w:type="paragraph" w:styleId="ListBullet5">
    <w:name w:val="List Bullet 5"/>
    <w:basedOn w:val="List5"/>
    <w:rsid w:val="00773B2A"/>
    <w:pPr>
      <w:numPr>
        <w:numId w:val="2"/>
      </w:numPr>
    </w:pPr>
  </w:style>
  <w:style w:type="paragraph" w:styleId="ListContinue2">
    <w:name w:val="List Continue 2"/>
    <w:basedOn w:val="List2"/>
    <w:rsid w:val="00773B2A"/>
    <w:pPr>
      <w:ind w:firstLine="0"/>
    </w:pPr>
  </w:style>
  <w:style w:type="paragraph" w:styleId="ListContinue3">
    <w:name w:val="List Continue 3"/>
    <w:basedOn w:val="List3"/>
    <w:rsid w:val="00773B2A"/>
    <w:pPr>
      <w:ind w:left="1021" w:firstLine="0"/>
    </w:pPr>
  </w:style>
  <w:style w:type="paragraph" w:styleId="ListContinue4">
    <w:name w:val="List Continue 4"/>
    <w:basedOn w:val="List4"/>
    <w:rsid w:val="00773B2A"/>
    <w:pPr>
      <w:ind w:firstLine="0"/>
    </w:pPr>
  </w:style>
  <w:style w:type="paragraph" w:styleId="ListContinue5">
    <w:name w:val="List Continue 5"/>
    <w:basedOn w:val="List5"/>
    <w:rsid w:val="00773B2A"/>
    <w:pPr>
      <w:ind w:firstLine="0"/>
    </w:pPr>
  </w:style>
  <w:style w:type="paragraph" w:styleId="ListNumber3">
    <w:name w:val="List Number 3"/>
    <w:basedOn w:val="List3"/>
    <w:rsid w:val="00773B2A"/>
    <w:pPr>
      <w:numPr>
        <w:numId w:val="3"/>
      </w:numPr>
    </w:pPr>
  </w:style>
  <w:style w:type="paragraph" w:styleId="ListNumber4">
    <w:name w:val="List Number 4"/>
    <w:basedOn w:val="List4"/>
    <w:rsid w:val="00773B2A"/>
    <w:pPr>
      <w:numPr>
        <w:numId w:val="4"/>
      </w:numPr>
    </w:pPr>
  </w:style>
  <w:style w:type="paragraph" w:styleId="ListNumber5">
    <w:name w:val="List Number 5"/>
    <w:basedOn w:val="List5"/>
    <w:rsid w:val="00773B2A"/>
    <w:pPr>
      <w:numPr>
        <w:numId w:val="5"/>
      </w:numPr>
    </w:pPr>
  </w:style>
  <w:style w:type="paragraph" w:styleId="BlockText">
    <w:name w:val="Block Text"/>
    <w:basedOn w:val="Normal"/>
    <w:rsid w:val="00773B2A"/>
    <w:pPr>
      <w:spacing w:after="120"/>
      <w:ind w:left="1440" w:right="1440"/>
    </w:pPr>
  </w:style>
  <w:style w:type="character" w:customStyle="1" w:styleId="Subscript">
    <w:name w:val="Subscript"/>
    <w:basedOn w:val="DefaultParagraphFont"/>
    <w:rsid w:val="00773B2A"/>
    <w:rPr>
      <w:sz w:val="16"/>
      <w:vertAlign w:val="subscript"/>
    </w:rPr>
  </w:style>
  <w:style w:type="character" w:customStyle="1" w:styleId="Superscript">
    <w:name w:val="Superscript"/>
    <w:basedOn w:val="DefaultParagraphFont"/>
    <w:rsid w:val="00773B2A"/>
    <w:rPr>
      <w:sz w:val="16"/>
      <w:vertAlign w:val="superscript"/>
    </w:rPr>
  </w:style>
  <w:style w:type="character" w:customStyle="1" w:styleId="Symbols">
    <w:name w:val="Symbols"/>
    <w:basedOn w:val="DefaultParagraphFont"/>
    <w:rsid w:val="00773B2A"/>
    <w:rPr>
      <w:rFonts w:ascii="Symbol" w:hAnsi="Symbol"/>
    </w:rPr>
  </w:style>
  <w:style w:type="character" w:customStyle="1" w:styleId="MenuOptions">
    <w:name w:val="Menu Options"/>
    <w:basedOn w:val="DefaultParagraphFont"/>
    <w:rsid w:val="00773B2A"/>
    <w:rPr>
      <w:rFonts w:ascii="Arial Narrow" w:hAnsi="Arial Narrow"/>
      <w:smallCaps/>
    </w:rPr>
  </w:style>
  <w:style w:type="character" w:customStyle="1" w:styleId="Buttons">
    <w:name w:val="Buttons"/>
    <w:basedOn w:val="DefaultParagraphFont"/>
    <w:rsid w:val="00773B2A"/>
    <w:rPr>
      <w:b/>
    </w:rPr>
  </w:style>
  <w:style w:type="character" w:customStyle="1" w:styleId="Underlined">
    <w:name w:val="Underlined"/>
    <w:basedOn w:val="DefaultParagraphFont"/>
    <w:rsid w:val="00773B2A"/>
    <w:rPr>
      <w:u w:val="single"/>
    </w:rPr>
  </w:style>
  <w:style w:type="paragraph" w:customStyle="1" w:styleId="TableBodyTextRight">
    <w:name w:val="Table Body Text Right"/>
    <w:basedOn w:val="TableBodyText"/>
    <w:rsid w:val="00773B2A"/>
    <w:pPr>
      <w:widowControl w:val="0"/>
      <w:autoSpaceDE w:val="0"/>
      <w:autoSpaceDN w:val="0"/>
      <w:adjustRightInd w:val="0"/>
      <w:jc w:val="right"/>
    </w:pPr>
    <w:rPr>
      <w:rFonts w:cs="Arial"/>
      <w:szCs w:val="18"/>
    </w:rPr>
  </w:style>
  <w:style w:type="paragraph" w:customStyle="1" w:styleId="CopyrightText">
    <w:name w:val="Copyright Text"/>
    <w:basedOn w:val="BodyText"/>
    <w:rsid w:val="00773B2A"/>
    <w:rPr>
      <w:sz w:val="18"/>
    </w:rPr>
  </w:style>
  <w:style w:type="paragraph" w:customStyle="1" w:styleId="BodySmallRight">
    <w:name w:val="Body Small Right"/>
    <w:basedOn w:val="BodyTextRight"/>
    <w:rsid w:val="00773B2A"/>
    <w:rPr>
      <w:sz w:val="18"/>
      <w:szCs w:val="18"/>
    </w:rPr>
  </w:style>
  <w:style w:type="paragraph" w:customStyle="1" w:styleId="MarginEdition">
    <w:name w:val="Margin Edition"/>
    <w:basedOn w:val="MarginNote"/>
    <w:rsid w:val="00773B2A"/>
    <w:pPr>
      <w:spacing w:before="0" w:after="0"/>
    </w:pPr>
    <w:rPr>
      <w:rFonts w:ascii="Times New Roman" w:hAnsi="Times New Roman"/>
      <w:color w:val="999999"/>
    </w:rPr>
  </w:style>
  <w:style w:type="paragraph" w:customStyle="1" w:styleId="Spacer">
    <w:name w:val="Spacer"/>
    <w:basedOn w:val="Normal"/>
    <w:rsid w:val="00773B2A"/>
    <w:rPr>
      <w:sz w:val="2"/>
      <w:szCs w:val="2"/>
    </w:rPr>
  </w:style>
  <w:style w:type="character" w:customStyle="1" w:styleId="Small">
    <w:name w:val="Small"/>
    <w:basedOn w:val="DefaultParagraphFont"/>
    <w:rsid w:val="00773B2A"/>
    <w:rPr>
      <w:sz w:val="16"/>
    </w:rPr>
  </w:style>
  <w:style w:type="paragraph" w:customStyle="1" w:styleId="WideTable">
    <w:name w:val="Wide Table"/>
    <w:basedOn w:val="Normal"/>
    <w:rsid w:val="00773B2A"/>
    <w:pPr>
      <w:ind w:left="-1418"/>
    </w:pPr>
    <w:rPr>
      <w:sz w:val="2"/>
      <w:szCs w:val="2"/>
    </w:rPr>
  </w:style>
  <w:style w:type="character" w:styleId="PageNumber">
    <w:name w:val="page number"/>
    <w:basedOn w:val="DefaultParagraphFont"/>
    <w:rsid w:val="00773B2A"/>
  </w:style>
  <w:style w:type="paragraph" w:styleId="Quote">
    <w:name w:val="Quote"/>
    <w:basedOn w:val="Heading1"/>
    <w:link w:val="QuoteChar"/>
    <w:qFormat/>
    <w:rsid w:val="00773B2A"/>
    <w:rPr>
      <w:b w:val="0"/>
      <w:sz w:val="72"/>
      <w:szCs w:val="72"/>
      <w:lang w:val="en-NZ"/>
    </w:rPr>
  </w:style>
  <w:style w:type="character" w:customStyle="1" w:styleId="QuoteChar">
    <w:name w:val="Quote Char"/>
    <w:basedOn w:val="DefaultParagraphFont"/>
    <w:link w:val="Quote"/>
    <w:rsid w:val="00773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B2A"/>
    <w:pPr>
      <w:pageBreakBefore/>
    </w:pPr>
  </w:style>
  <w:style w:type="paragraph" w:customStyle="1" w:styleId="Border">
    <w:name w:val="Border"/>
    <w:basedOn w:val="Normal"/>
    <w:qFormat/>
    <w:rsid w:val="00773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B2A"/>
    <w:rPr>
      <w:b/>
      <w:bCs/>
      <w:i/>
      <w:iCs/>
      <w:color w:val="auto"/>
    </w:rPr>
  </w:style>
  <w:style w:type="paragraph" w:styleId="IntenseQuote">
    <w:name w:val="Intense Quote"/>
    <w:basedOn w:val="Normal"/>
    <w:next w:val="Normal"/>
    <w:link w:val="IntenseQuoteChar"/>
    <w:uiPriority w:val="30"/>
    <w:qFormat/>
    <w:rsid w:val="00773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B2A"/>
    <w:rPr>
      <w:smallCaps/>
      <w:color w:val="auto"/>
      <w:u w:val="single"/>
    </w:rPr>
  </w:style>
  <w:style w:type="character" w:styleId="IntenseReference">
    <w:name w:val="Intense Reference"/>
    <w:basedOn w:val="DefaultParagraphFont"/>
    <w:uiPriority w:val="32"/>
    <w:qFormat/>
    <w:rsid w:val="00773B2A"/>
    <w:rPr>
      <w:b/>
      <w:bCs/>
      <w:smallCaps/>
      <w:color w:val="auto"/>
      <w:spacing w:val="5"/>
      <w:u w:val="single"/>
    </w:rPr>
  </w:style>
  <w:style w:type="paragraph" w:customStyle="1" w:styleId="2ColumnHeading">
    <w:name w:val="2Column Heading"/>
    <w:basedOn w:val="BodyText"/>
    <w:qFormat/>
    <w:rsid w:val="00773B2A"/>
    <w:pPr>
      <w:spacing w:after="60"/>
      <w:ind w:left="-2268"/>
    </w:pPr>
    <w:rPr>
      <w:b/>
    </w:rPr>
  </w:style>
  <w:style w:type="paragraph" w:customStyle="1" w:styleId="Heading1TOC">
    <w:name w:val="Heading1 TOC"/>
    <w:basedOn w:val="Normal"/>
    <w:qFormat/>
    <w:rsid w:val="00773B2A"/>
    <w:pPr>
      <w:spacing w:before="240" w:after="120"/>
    </w:pPr>
    <w:rPr>
      <w:rFonts w:ascii="Times New Roman" w:hAnsi="Times New Roman"/>
      <w:b/>
      <w:sz w:val="32"/>
    </w:rPr>
  </w:style>
  <w:style w:type="paragraph" w:customStyle="1" w:styleId="Heading2TOC">
    <w:name w:val="Heading2 TOC"/>
    <w:basedOn w:val="Normal"/>
    <w:qFormat/>
    <w:rsid w:val="00773B2A"/>
    <w:pPr>
      <w:spacing w:before="240" w:after="60"/>
    </w:pPr>
    <w:rPr>
      <w:rFonts w:ascii="Times New Roman" w:hAnsi="Times New Roman"/>
      <w:b/>
      <w:sz w:val="28"/>
    </w:rPr>
  </w:style>
  <w:style w:type="character" w:customStyle="1" w:styleId="Underline">
    <w:name w:val="Underline"/>
    <w:basedOn w:val="DefaultParagraphFont"/>
    <w:qFormat/>
    <w:rsid w:val="00773B2A"/>
    <w:rPr>
      <w:u w:val="single"/>
    </w:rPr>
  </w:style>
  <w:style w:type="character" w:customStyle="1" w:styleId="BoldandItalics">
    <w:name w:val="Bold and Italics"/>
    <w:qFormat/>
    <w:rsid w:val="00773B2A"/>
    <w:rPr>
      <w:b/>
      <w:i/>
      <w:u w:val="none"/>
    </w:rPr>
  </w:style>
  <w:style w:type="paragraph" w:styleId="BalloonText">
    <w:name w:val="Balloon Text"/>
    <w:basedOn w:val="Normal"/>
    <w:link w:val="BalloonTextChar"/>
    <w:rsid w:val="00773B2A"/>
    <w:rPr>
      <w:rFonts w:ascii="Tahoma" w:hAnsi="Tahoma" w:cs="Tahoma"/>
      <w:sz w:val="16"/>
      <w:szCs w:val="16"/>
    </w:rPr>
  </w:style>
  <w:style w:type="character" w:customStyle="1" w:styleId="BalloonTextChar">
    <w:name w:val="Balloon Text Char"/>
    <w:basedOn w:val="DefaultParagraphFont"/>
    <w:link w:val="BalloonText"/>
    <w:rsid w:val="00773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B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B2A"/>
    <w:rPr>
      <w:b/>
      <w:color w:val="660033"/>
      <w:spacing w:val="0"/>
    </w:rPr>
  </w:style>
  <w:style w:type="paragraph" w:customStyle="1" w:styleId="Nameditemlist">
    <w:name w:val="Named item list"/>
    <w:basedOn w:val="BodyText"/>
    <w:qFormat/>
    <w:rsid w:val="00773B2A"/>
    <w:pPr>
      <w:tabs>
        <w:tab w:val="left" w:pos="2835"/>
      </w:tabs>
      <w:ind w:left="2835" w:hanging="2835"/>
    </w:pPr>
  </w:style>
  <w:style w:type="paragraph" w:customStyle="1" w:styleId="BodyTextnopadding">
    <w:name w:val="Body Text no padding"/>
    <w:basedOn w:val="BodyText"/>
    <w:qFormat/>
    <w:rsid w:val="00773B2A"/>
    <w:pPr>
      <w:spacing w:before="0" w:after="0"/>
    </w:pPr>
  </w:style>
  <w:style w:type="paragraph" w:customStyle="1" w:styleId="BodyTextBold">
    <w:name w:val="Body Text Bold"/>
    <w:basedOn w:val="BodyText"/>
    <w:qFormat/>
    <w:rsid w:val="00773B2A"/>
    <w:rPr>
      <w:b/>
    </w:rPr>
  </w:style>
  <w:style w:type="character" w:styleId="Hyperlink">
    <w:name w:val="Hyperlink"/>
    <w:basedOn w:val="DefaultParagraphFont"/>
    <w:uiPriority w:val="99"/>
    <w:unhideWhenUsed/>
    <w:rsid w:val="00554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4349</Characters>
  <Application>Microsoft Office Word</Application>
  <DocSecurity>0</DocSecurity>
  <Lines>131</Lines>
  <Paragraphs>71</Paragraphs>
  <ScaleCrop>false</ScaleCrop>
  <Company>Author-it Software Corporation Ltd.</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POLGEN023 Apply legislation and judicial processes in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