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4C7C" w:rsidP="00344C7C">
      <w:pPr>
        <w:pStyle w:val="Title"/>
      </w:pPr>
      <w:r>
        <w:fldChar w:fldCharType="begin"/>
      </w:r>
      <w:r>
        <w:instrText xml:space="preserve"> TITLE   \* MERGEFORMAT </w:instrText>
      </w:r>
      <w:r>
        <w:fldChar w:fldCharType="separate"/>
      </w:r>
      <w:r>
        <w:t>POLFOR057 Examine forensic scene</w:t>
      </w:r>
      <w:r>
        <w:fldChar w:fldCharType="end"/>
      </w:r>
    </w:p>
    <w:p w:rsidR="00344C7C" w:rsidP="00344C7C">
      <w:pPr>
        <w:pStyle w:val="Version"/>
        <w:sectPr w:rsidSect="00DF6D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D8F" w:rsidP="00DF6D8F">
      <w:pPr>
        <w:pStyle w:val="SuperHeading"/>
      </w:pPr>
      <w:r w:rsidRPr="00DF6D8F">
        <w:t>POLFOR057 Examine forensic scene</w:t>
      </w:r>
    </w:p>
    <w:p w:rsidR="00000000" w:rsidRPr="00DF6D8F" w:rsidP="00DF6D8F">
      <w:pPr>
        <w:pStyle w:val="Heading1"/>
      </w:pPr>
      <w:bookmarkStart w:id="1" w:name="O_1283908"/>
      <w:bookmarkEnd w:id="1"/>
      <w:r w:rsidRPr="00DF6D8F">
        <w:t>Modification History</w:t>
      </w:r>
    </w:p>
    <w:tbl>
      <w:tblPr>
        <w:tblW w:w="0" w:type="auto"/>
        <w:tblLayout w:type="fixed"/>
        <w:tblCellMar>
          <w:left w:w="62" w:type="dxa"/>
          <w:right w:w="62" w:type="dxa"/>
        </w:tblCellMar>
        <w:tblLook w:val="0000"/>
      </w:tblPr>
      <w:tblGrid>
        <w:gridCol w:w="1126"/>
        <w:gridCol w:w="7937"/>
      </w:tblGrid>
      <w:tr w:rsidTr="00344C7C">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8F">
            <w:pPr>
              <w:pStyle w:val="TableHeading"/>
              <w:rPr>
                <w:lang w:val="en-NZ"/>
              </w:rPr>
            </w:pPr>
            <w:r w:rsidRPr="00DF6D8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8F">
            <w:pPr>
              <w:pStyle w:val="TableHeading"/>
              <w:rPr>
                <w:lang w:val="en-NZ"/>
              </w:rPr>
            </w:pPr>
            <w:r w:rsidRPr="00DF6D8F">
              <w:t>Comments</w:t>
            </w:r>
          </w:p>
        </w:tc>
      </w:tr>
      <w:tr w:rsidTr="00344C7C">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6D8F">
            <w:pPr>
              <w:pStyle w:val="BodyText"/>
              <w:rPr>
                <w:lang w:val="en-NZ"/>
              </w:rPr>
            </w:pPr>
            <w:r w:rsidRPr="00DF6D8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6D8F" w:rsidP="00DF6D8F">
            <w:pPr>
              <w:pStyle w:val="BodyText"/>
            </w:pPr>
            <w:r w:rsidRPr="00DF6D8F">
              <w:t>This unit was released in POL Police Training Package release 8.0</w:t>
            </w:r>
          </w:p>
        </w:tc>
      </w:tr>
    </w:tbl>
    <w:p w:rsidR="00000000" w:rsidRPr="00DF6D8F" w:rsidP="00DF6D8F">
      <w:pPr>
        <w:pStyle w:val="BodyText"/>
      </w:pPr>
    </w:p>
    <w:p w:rsidR="00000000" w:rsidRPr="00DF6D8F" w:rsidP="00DF6D8F">
      <w:pPr>
        <w:pStyle w:val="AllowPageBreak"/>
      </w:pPr>
    </w:p>
    <w:p w:rsidR="00000000" w:rsidRPr="00DF6D8F" w:rsidP="00DF6D8F">
      <w:pPr>
        <w:pStyle w:val="Heading1"/>
      </w:pPr>
      <w:bookmarkStart w:id="2" w:name="O_1283909"/>
      <w:bookmarkEnd w:id="2"/>
      <w:r w:rsidRPr="00DF6D8F">
        <w:t>Application</w:t>
      </w:r>
    </w:p>
    <w:p w:rsidR="00000000" w:rsidRPr="00DF6D8F" w:rsidP="00344C7C">
      <w:pPr>
        <w:pStyle w:val="BodyText"/>
      </w:pPr>
      <w:r w:rsidRPr="00DF6D8F">
        <w:t>This unit describes the skills required to assess, control, and manage forensic scenes, including preliminary asses</w:t>
      </w:r>
      <w:r w:rsidRPr="00DF6D8F">
        <w:t>sment, triage, and review. It applies to police personnel and forensic staff involved in forensic investigation. The skills and knowledge described in this unit must be applied within the legislative, regulatory, and policy environment in which they are co</w:t>
      </w:r>
      <w:r w:rsidRPr="00DF6D8F">
        <w:t>nducted. Jurisdictional policies and procedures must be consulted and adhered to, particularly those related to workplace health and safety. Candidates undertaking this role would work autonomously while retaining the responsibility to report to senior sta</w:t>
      </w:r>
      <w:r w:rsidRPr="00DF6D8F">
        <w:t>ff. They would demonstrate adaptability across a broad range of contexts while performing a variety of tasks.</w:t>
      </w:r>
    </w:p>
    <w:p w:rsidR="00000000" w:rsidRPr="00DF6D8F" w:rsidP="00344C7C">
      <w:pPr>
        <w:pStyle w:val="BodyText"/>
      </w:pPr>
      <w:r w:rsidRPr="00DF6D8F">
        <w:t>No licensing, legislative, or certification requirements apply to unit at the time of publication.</w:t>
      </w:r>
    </w:p>
    <w:p w:rsidR="00000000" w:rsidRPr="00DF6D8F" w:rsidP="00DF6D8F">
      <w:pPr>
        <w:pStyle w:val="Heading1"/>
      </w:pPr>
      <w:bookmarkStart w:id="3" w:name="O_1283910"/>
      <w:bookmarkEnd w:id="3"/>
      <w:r w:rsidRPr="00DF6D8F">
        <w:t>Pre-requisite Unit</w:t>
      </w:r>
    </w:p>
    <w:p w:rsidR="00000000" w:rsidRPr="00DF6D8F" w:rsidP="00344C7C">
      <w:pPr>
        <w:pStyle w:val="BodyText"/>
      </w:pPr>
      <w:r w:rsidRPr="00DF6D8F">
        <w:t>Not appli</w:t>
      </w:r>
      <w:r w:rsidRPr="00DF6D8F">
        <w:t>cable</w:t>
      </w:r>
    </w:p>
    <w:p w:rsidR="00000000" w:rsidRPr="00DF6D8F" w:rsidP="00DF6D8F">
      <w:pPr>
        <w:pStyle w:val="Heading1"/>
      </w:pPr>
      <w:bookmarkStart w:id="4" w:name="O_1283911"/>
      <w:bookmarkEnd w:id="4"/>
      <w:r w:rsidRPr="00DF6D8F">
        <w:t>Competency Field</w:t>
      </w:r>
    </w:p>
    <w:p w:rsidR="00000000" w:rsidRPr="00DF6D8F" w:rsidP="00344C7C">
      <w:pPr>
        <w:pStyle w:val="BodyText"/>
      </w:pPr>
      <w:r w:rsidRPr="00DF6D8F">
        <w:t>Not applicable</w:t>
      </w:r>
    </w:p>
    <w:p w:rsidR="00000000" w:rsidRPr="00DF6D8F" w:rsidP="00DF6D8F">
      <w:pPr>
        <w:pStyle w:val="Heading1"/>
      </w:pPr>
      <w:bookmarkStart w:id="5" w:name="O_1283912"/>
      <w:bookmarkEnd w:id="5"/>
      <w:r w:rsidRPr="00DF6D8F">
        <w:t>Unit Sector</w:t>
      </w:r>
    </w:p>
    <w:p w:rsidR="00000000" w:rsidRPr="00DF6D8F" w:rsidP="00344C7C">
      <w:pPr>
        <w:pStyle w:val="BodyText"/>
      </w:pPr>
      <w:r w:rsidRPr="00DF6D8F">
        <w:t>Not applicable</w:t>
      </w:r>
    </w:p>
    <w:p w:rsidR="00000000" w:rsidRPr="00DF6D8F" w:rsidP="00DF6D8F">
      <w:pPr>
        <w:pStyle w:val="Heading1"/>
      </w:pPr>
      <w:bookmarkStart w:id="6" w:name="O_1283913"/>
      <w:bookmarkEnd w:id="6"/>
      <w:r w:rsidRPr="00DF6D8F">
        <w:t>Elements and Performance Criteria</w:t>
      </w:r>
    </w:p>
    <w:tbl>
      <w:tblPr>
        <w:tblW w:w="9214" w:type="dxa"/>
        <w:tblInd w:w="340" w:type="dxa"/>
        <w:tblLayout w:type="fixed"/>
        <w:tblCellMar>
          <w:left w:w="62" w:type="dxa"/>
          <w:right w:w="62" w:type="dxa"/>
        </w:tblCellMar>
        <w:tblLook w:val="0000"/>
      </w:tblPr>
      <w:tblGrid>
        <w:gridCol w:w="2216"/>
        <w:gridCol w:w="6998"/>
      </w:tblGrid>
      <w:tr w:rsidTr="00DF6D8F">
        <w:tblPrEx>
          <w:tblW w:w="9214" w:type="dxa"/>
          <w:tblInd w:w="340" w:type="dxa"/>
          <w:tblLayout w:type="fixed"/>
          <w:tblCellMar>
            <w:left w:w="62" w:type="dxa"/>
            <w:right w:w="62" w:type="dxa"/>
          </w:tblCellMar>
          <w:tblLook w:val="0000"/>
        </w:tblPrEx>
        <w:trPr>
          <w:trHeight w:val="214"/>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D8F">
            <w:pPr>
              <w:pStyle w:val="TableHeading"/>
              <w:rPr>
                <w:lang w:val="en-NZ"/>
              </w:rPr>
            </w:pPr>
            <w:r w:rsidRPr="00DF6D8F">
              <w:t xml:space="preserve">ELEMENTS </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D8F">
            <w:pPr>
              <w:pStyle w:val="TableHeading"/>
              <w:rPr>
                <w:lang w:val="en-NZ"/>
              </w:rPr>
            </w:pPr>
            <w:r w:rsidRPr="00DF6D8F">
              <w:t>PERFORMANCE CRITERIA</w:t>
            </w:r>
          </w:p>
        </w:tc>
      </w:tr>
      <w:tr w:rsidTr="00DF6D8F">
        <w:tblPrEx>
          <w:tblW w:w="9214" w:type="dxa"/>
          <w:tblInd w:w="340" w:type="dxa"/>
          <w:tblLayout w:type="fixed"/>
          <w:tblCellMar>
            <w:left w:w="62" w:type="dxa"/>
            <w:right w:w="62" w:type="dxa"/>
          </w:tblCellMar>
          <w:tblLook w:val="0000"/>
        </w:tblPrEx>
        <w:trPr>
          <w:trHeight w:val="22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D8F">
            <w:pPr>
              <w:pStyle w:val="BodyText"/>
              <w:rPr>
                <w:lang w:val="en-NZ"/>
              </w:rPr>
            </w:pPr>
            <w:r w:rsidRPr="00DF6D8F">
              <w:t xml:space="preserve">Elements describe </w:t>
            </w:r>
            <w:r w:rsidRPr="00DF6D8F">
              <w:t xml:space="preserve">the essential outcomes of the unit </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D8F">
            <w:pPr>
              <w:pStyle w:val="BodyText"/>
              <w:rPr>
                <w:lang w:val="en-NZ"/>
              </w:rPr>
            </w:pPr>
            <w:r w:rsidRPr="00DF6D8F">
              <w:t xml:space="preserve">Performance criteria describe the performance needed to demonstrate </w:t>
            </w:r>
            <w:r w:rsidRPr="00DF6D8F">
              <w:t xml:space="preserve">achievement of the element. </w:t>
            </w:r>
          </w:p>
        </w:tc>
      </w:tr>
      <w:tr w:rsidTr="00DF6D8F">
        <w:tblPrEx>
          <w:tblW w:w="9214" w:type="dxa"/>
          <w:tblInd w:w="340"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D8F">
            <w:pPr>
              <w:pStyle w:val="List"/>
              <w:rPr>
                <w:lang w:val="en-NZ"/>
              </w:rPr>
            </w:pPr>
            <w:r w:rsidRPr="00DF6D8F">
              <w:t>1.</w:t>
            </w:r>
            <w:r w:rsidRPr="00DF6D8F">
              <w:tab/>
              <w:t>Assess scene</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D8F" w:rsidP="00DF6D8F">
            <w:pPr>
              <w:pStyle w:val="List"/>
            </w:pPr>
            <w:r w:rsidRPr="00DF6D8F">
              <w:t>1.1</w:t>
            </w:r>
            <w:r w:rsidRPr="00DF6D8F">
              <w:tab/>
              <w:t>Conduct initial assessment of scene to gather information.</w:t>
            </w:r>
          </w:p>
          <w:p w:rsidR="00000000" w:rsidRPr="00DF6D8F" w:rsidP="00DF6D8F">
            <w:pPr>
              <w:pStyle w:val="List"/>
            </w:pPr>
            <w:r w:rsidRPr="00DF6D8F">
              <w:t>1.2</w:t>
            </w:r>
            <w:r w:rsidRPr="00DF6D8F">
              <w:tab/>
              <w:t xml:space="preserve">Identify items and </w:t>
            </w:r>
            <w:r w:rsidRPr="00DF6D8F">
              <w:t>areas of interest to inform examination of scene and evidence.</w:t>
            </w:r>
          </w:p>
          <w:p w:rsidR="00000000" w:rsidRPr="00DF6D8F" w:rsidP="00DF6D8F">
            <w:pPr>
              <w:pStyle w:val="List"/>
            </w:pPr>
            <w:r w:rsidRPr="00DF6D8F">
              <w:t>1.3</w:t>
            </w:r>
            <w:r w:rsidRPr="00DF6D8F">
              <w:tab/>
              <w:t>Assess information to determine priority and sequence of examinations.</w:t>
            </w:r>
          </w:p>
          <w:p w:rsidR="00000000" w:rsidRPr="00DF6D8F" w:rsidP="00DF6D8F">
            <w:pPr>
              <w:pStyle w:val="List"/>
            </w:pPr>
            <w:r w:rsidRPr="00DF6D8F">
              <w:t>1.4</w:t>
            </w:r>
            <w:r w:rsidRPr="00DF6D8F">
              <w:tab/>
              <w:t>Assess resource requirements to facilitate forensic examinations.</w:t>
            </w:r>
          </w:p>
          <w:p w:rsidR="00000000" w:rsidRPr="00DF6D8F" w:rsidP="00DF6D8F">
            <w:pPr>
              <w:pStyle w:val="List"/>
            </w:pPr>
            <w:r w:rsidRPr="00DF6D8F">
              <w:t>1.5</w:t>
            </w:r>
            <w:r w:rsidRPr="00DF6D8F">
              <w:tab/>
              <w:t>Identify sequence of events prior to arrival</w:t>
            </w:r>
            <w:r w:rsidRPr="00DF6D8F">
              <w:t xml:space="preserve"> to record potential contamination or movement of evidence.</w:t>
            </w:r>
          </w:p>
          <w:p w:rsidR="00000000" w:rsidRPr="00DF6D8F" w:rsidP="00DF6D8F">
            <w:pPr>
              <w:pStyle w:val="List"/>
            </w:pPr>
            <w:r w:rsidRPr="00DF6D8F">
              <w:t>1.6</w:t>
            </w:r>
            <w:r w:rsidRPr="00DF6D8F">
              <w:tab/>
              <w:t>Identify secondary or alternate areas for examinations.</w:t>
            </w:r>
          </w:p>
          <w:p w:rsidR="00000000" w:rsidRPr="00DF6D8F" w:rsidP="00DF6D8F">
            <w:pPr>
              <w:pStyle w:val="List"/>
            </w:pPr>
            <w:r w:rsidRPr="00DF6D8F">
              <w:t>1.7</w:t>
            </w:r>
            <w:r w:rsidRPr="00DF6D8F">
              <w:tab/>
              <w:t>Identify requirement for specialist assistance for scene examination.</w:t>
            </w:r>
          </w:p>
          <w:p w:rsidR="00000000" w:rsidP="00DF6D8F">
            <w:pPr>
              <w:pStyle w:val="List"/>
              <w:rPr>
                <w:lang w:val="en-NZ"/>
              </w:rPr>
            </w:pPr>
            <w:r w:rsidRPr="00DF6D8F">
              <w:t>1.8</w:t>
            </w:r>
            <w:r w:rsidRPr="00DF6D8F">
              <w:tab/>
              <w:t>Identify whether evidence is suitable for recording or col</w:t>
            </w:r>
            <w:r w:rsidRPr="00DF6D8F">
              <w:t>lection.</w:t>
            </w:r>
          </w:p>
        </w:tc>
      </w:tr>
      <w:tr w:rsidTr="00DF6D8F">
        <w:tblPrEx>
          <w:tblW w:w="9214" w:type="dxa"/>
          <w:tblInd w:w="340"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D8F">
            <w:pPr>
              <w:pStyle w:val="List"/>
              <w:rPr>
                <w:lang w:val="en-NZ"/>
              </w:rPr>
            </w:pPr>
            <w:r w:rsidRPr="00DF6D8F">
              <w:t>2.</w:t>
            </w:r>
            <w:r w:rsidRPr="00DF6D8F">
              <w:tab/>
              <w:t>Control scene</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D8F" w:rsidP="00DF6D8F">
            <w:pPr>
              <w:pStyle w:val="List"/>
            </w:pPr>
            <w:r w:rsidRPr="00DF6D8F">
              <w:t>2.1</w:t>
            </w:r>
            <w:r w:rsidRPr="00DF6D8F">
              <w:tab/>
              <w:t>Identify scene boundaries to maintain integrity.</w:t>
            </w:r>
          </w:p>
          <w:p w:rsidR="00000000" w:rsidRPr="00DF6D8F" w:rsidP="00DF6D8F">
            <w:pPr>
              <w:pStyle w:val="List"/>
            </w:pPr>
            <w:r w:rsidRPr="00DF6D8F">
              <w:t>2.2</w:t>
            </w:r>
            <w:r w:rsidRPr="00DF6D8F">
              <w:tab/>
              <w:t>Establish scene entry and exit paths to control movement of persons.</w:t>
            </w:r>
          </w:p>
          <w:p w:rsidR="00000000" w:rsidRPr="00DF6D8F" w:rsidP="00DF6D8F">
            <w:pPr>
              <w:pStyle w:val="List"/>
            </w:pPr>
            <w:r w:rsidRPr="00DF6D8F">
              <w:t>2.3</w:t>
            </w:r>
            <w:r w:rsidRPr="00DF6D8F">
              <w:tab/>
              <w:t>Implement control measures to minimise evidence contamination or loss.</w:t>
            </w:r>
          </w:p>
          <w:p w:rsidR="00000000" w:rsidP="00DF6D8F">
            <w:pPr>
              <w:pStyle w:val="List"/>
              <w:rPr>
                <w:lang w:val="en-NZ"/>
              </w:rPr>
            </w:pPr>
            <w:r w:rsidRPr="00DF6D8F">
              <w:t>2.4</w:t>
            </w:r>
            <w:r w:rsidRPr="00DF6D8F">
              <w:tab/>
              <w:t>Communicate control meas</w:t>
            </w:r>
            <w:r w:rsidRPr="00DF6D8F">
              <w:t>ures to stakeholders to ensure compliance.</w:t>
            </w:r>
          </w:p>
        </w:tc>
      </w:tr>
      <w:tr w:rsidTr="00DF6D8F">
        <w:tblPrEx>
          <w:tblW w:w="9214" w:type="dxa"/>
          <w:tblInd w:w="340" w:type="dxa"/>
          <w:tblLayout w:type="fixed"/>
          <w:tblCellMar>
            <w:left w:w="62" w:type="dxa"/>
            <w:right w:w="62" w:type="dxa"/>
          </w:tblCellMar>
          <w:tblLook w:val="0000"/>
        </w:tblPrEx>
        <w:trPr>
          <w:trHeight w:val="618"/>
        </w:trPr>
        <w:tc>
          <w:tcPr>
            <w:tcW w:w="22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6D8F">
            <w:pPr>
              <w:pStyle w:val="List"/>
              <w:rPr>
                <w:lang w:val="en-NZ"/>
              </w:rPr>
            </w:pPr>
            <w:r w:rsidRPr="00DF6D8F">
              <w:t>3.</w:t>
            </w:r>
            <w:r w:rsidRPr="00DF6D8F">
              <w:tab/>
              <w:t>Manage scene</w:t>
            </w:r>
          </w:p>
        </w:tc>
        <w:tc>
          <w:tcPr>
            <w:tcW w:w="69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6D8F" w:rsidP="00DF6D8F">
            <w:pPr>
              <w:pStyle w:val="List"/>
            </w:pPr>
            <w:r w:rsidRPr="00DF6D8F">
              <w:t>3.1</w:t>
            </w:r>
            <w:r w:rsidRPr="00DF6D8F">
              <w:tab/>
              <w:t>Apply scientific methods to inform decision making.</w:t>
            </w:r>
          </w:p>
          <w:p w:rsidR="00000000" w:rsidRPr="00DF6D8F" w:rsidP="00DF6D8F">
            <w:pPr>
              <w:pStyle w:val="List"/>
            </w:pPr>
            <w:r w:rsidRPr="00DF6D8F">
              <w:t>3.2</w:t>
            </w:r>
            <w:r w:rsidRPr="00DF6D8F">
              <w:tab/>
              <w:t>Conduct examinations according to priority and sequencing requirements.</w:t>
            </w:r>
          </w:p>
          <w:p w:rsidR="00000000" w:rsidRPr="00DF6D8F" w:rsidP="00DF6D8F">
            <w:pPr>
              <w:pStyle w:val="List"/>
            </w:pPr>
            <w:r w:rsidRPr="00DF6D8F">
              <w:t>3.3</w:t>
            </w:r>
            <w:r w:rsidRPr="00DF6D8F">
              <w:tab/>
              <w:t>Identify hazards to examinations to control risks.</w:t>
            </w:r>
          </w:p>
          <w:p w:rsidR="00000000" w:rsidRPr="00DF6D8F" w:rsidP="00DF6D8F">
            <w:pPr>
              <w:pStyle w:val="List"/>
            </w:pPr>
            <w:r w:rsidRPr="00DF6D8F">
              <w:t>3.4</w:t>
            </w:r>
            <w:r w:rsidRPr="00DF6D8F">
              <w:tab/>
              <w:t>Revie</w:t>
            </w:r>
            <w:r w:rsidRPr="00DF6D8F">
              <w:t>w examinations to identify if further actions are required.</w:t>
            </w:r>
          </w:p>
          <w:p w:rsidR="00000000" w:rsidRPr="00DF6D8F" w:rsidP="00DF6D8F">
            <w:pPr>
              <w:pStyle w:val="List"/>
            </w:pPr>
            <w:r w:rsidRPr="00DF6D8F">
              <w:t>3.5</w:t>
            </w:r>
            <w:r w:rsidRPr="00DF6D8F">
              <w:tab/>
              <w:t>Record examination details on information management systems.</w:t>
            </w:r>
          </w:p>
          <w:p w:rsidR="00000000" w:rsidRPr="00DF6D8F" w:rsidP="00DF6D8F">
            <w:pPr>
              <w:pStyle w:val="List"/>
            </w:pPr>
            <w:r w:rsidRPr="00DF6D8F">
              <w:t>3.6</w:t>
            </w:r>
            <w:r w:rsidRPr="00DF6D8F">
              <w:tab/>
              <w:t>Communicate with stakeholders to release or handover scene.</w:t>
            </w:r>
          </w:p>
        </w:tc>
      </w:tr>
    </w:tbl>
    <w:p w:rsidR="00000000" w:rsidRPr="00DF6D8F" w:rsidP="00DF6D8F">
      <w:pPr>
        <w:pStyle w:val="BodyText"/>
      </w:pPr>
    </w:p>
    <w:p w:rsidR="00000000" w:rsidRPr="00DF6D8F" w:rsidP="00DF6D8F">
      <w:pPr>
        <w:pStyle w:val="AllowPageBreak"/>
      </w:pPr>
    </w:p>
    <w:p w:rsidR="00000000" w:rsidRPr="00DF6D8F" w:rsidP="00DF6D8F">
      <w:pPr>
        <w:pStyle w:val="Heading1"/>
      </w:pPr>
      <w:bookmarkStart w:id="7" w:name="O_1283914"/>
      <w:bookmarkEnd w:id="7"/>
      <w:r w:rsidRPr="00DF6D8F">
        <w:t>Foundation Skills</w:t>
      </w:r>
    </w:p>
    <w:p w:rsidR="00000000" w:rsidRPr="00DF6D8F" w:rsidP="00344C7C">
      <w:pPr>
        <w:pStyle w:val="BodyText"/>
      </w:pPr>
      <w:r w:rsidRPr="00DF6D8F">
        <w:t>This section describes those language, literacy, numeracy and employment skills that are essential to performance. Foundation skills essential to performance in this unit, but not explicit in the performance criteria are listed in the table below.</w:t>
      </w:r>
    </w:p>
    <w:p w:rsidR="00000000" w:rsidRPr="00DF6D8F" w:rsidP="00344C7C">
      <w:pPr>
        <w:pStyle w:val="BodyText"/>
      </w:pPr>
      <w:r w:rsidRPr="00DF6D8F">
        <w:t>The abil</w:t>
      </w:r>
      <w:r w:rsidRPr="00DF6D8F">
        <w:t>ity to interpret messages and text, record observations and evidence, communicate with purpose to different communities and audiences, plan and schedule tasks according to estimated timeframes, continuously seek to learn through on-the-job observations, so</w:t>
      </w:r>
      <w:r w:rsidRPr="00DF6D8F">
        <w:t>lve problems, work with others in a team, plan and organise activities and self-manage behaviour are core foundation skills relevant to the policing context.</w:t>
      </w:r>
    </w:p>
    <w:tbl>
      <w:tblPr>
        <w:tblW w:w="0" w:type="auto"/>
        <w:tblLayout w:type="fixed"/>
        <w:tblCellMar>
          <w:left w:w="62" w:type="dxa"/>
          <w:right w:w="62" w:type="dxa"/>
        </w:tblCellMar>
        <w:tblLook w:val="0000"/>
      </w:tblPr>
      <w:tblGrid>
        <w:gridCol w:w="2294"/>
        <w:gridCol w:w="6653"/>
      </w:tblGrid>
      <w:tr w:rsidTr="00DF6D8F">
        <w:tblPrEx>
          <w:tblW w:w="0" w:type="auto"/>
          <w:tblLayout w:type="fixed"/>
          <w:tblCellMar>
            <w:left w:w="62" w:type="dxa"/>
            <w:right w:w="62" w:type="dxa"/>
          </w:tblCellMar>
          <w:tblLook w:val="0000"/>
        </w:tblPrEx>
        <w:trPr>
          <w:trHeight w:val="501"/>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F6D8F" w:rsidP="00DF6D8F">
            <w:pPr>
              <w:pStyle w:val="BodyText"/>
            </w:pPr>
            <w:r w:rsidRPr="00DF6D8F">
              <w:rPr>
                <w:rStyle w:val="SpecialBold"/>
              </w:rPr>
              <w:t>Skill</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F6D8F">
            <w:pPr>
              <w:pStyle w:val="BodyText"/>
              <w:rPr>
                <w:lang w:val="en-NZ"/>
              </w:rPr>
            </w:pPr>
            <w:r w:rsidRPr="00DF6D8F">
              <w:rPr>
                <w:rStyle w:val="SpecialBold"/>
              </w:rPr>
              <w:t>Description</w:t>
            </w:r>
          </w:p>
        </w:tc>
      </w:tr>
      <w:tr w:rsidTr="00DF6D8F">
        <w:tblPrEx>
          <w:tblW w:w="0" w:type="auto"/>
          <w:tblLayout w:type="fixed"/>
          <w:tblCellMar>
            <w:left w:w="62" w:type="dxa"/>
            <w:right w:w="62" w:type="dxa"/>
          </w:tblCellMar>
          <w:tblLook w:val="0000"/>
        </w:tblPrEx>
        <w:trPr>
          <w:trHeight w:val="810"/>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F6D8F">
            <w:pPr>
              <w:pStyle w:val="BodyText"/>
              <w:rPr>
                <w:lang w:val="en-NZ"/>
              </w:rPr>
            </w:pPr>
            <w:r w:rsidRPr="00DF6D8F">
              <w:rPr>
                <w:rStyle w:val="SpecialBold"/>
              </w:rPr>
              <w:t>Reading</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F6D8F" w:rsidP="00DF6D8F">
            <w:pPr>
              <w:pStyle w:val="BodyText"/>
            </w:pPr>
            <w:r w:rsidRPr="00DF6D8F">
              <w:t xml:space="preserve">Read and comply with jurisdictional policies and procedures related to </w:t>
            </w:r>
            <w:r w:rsidRPr="00DF6D8F">
              <w:t>forensic examination and scene management.</w:t>
            </w:r>
          </w:p>
          <w:p w:rsidR="00000000" w:rsidP="00DF6D8F">
            <w:pPr>
              <w:pStyle w:val="BodyText"/>
              <w:rPr>
                <w:lang w:val="en-NZ"/>
              </w:rPr>
            </w:pPr>
            <w:r w:rsidRPr="00DF6D8F">
              <w:t>Read, analyse and evaluate information to inform forensic examination and scene management plans.</w:t>
            </w:r>
          </w:p>
        </w:tc>
      </w:tr>
      <w:tr w:rsidTr="00DF6D8F">
        <w:tblPrEx>
          <w:tblW w:w="0" w:type="auto"/>
          <w:tblLayout w:type="fixed"/>
          <w:tblCellMar>
            <w:left w:w="62" w:type="dxa"/>
            <w:right w:w="62" w:type="dxa"/>
          </w:tblCellMar>
          <w:tblLook w:val="0000"/>
        </w:tblPrEx>
        <w:trPr>
          <w:trHeight w:val="820"/>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F6D8F">
            <w:pPr>
              <w:pStyle w:val="BodyText"/>
              <w:rPr>
                <w:lang w:val="en-NZ"/>
              </w:rPr>
            </w:pPr>
            <w:r w:rsidRPr="00DF6D8F">
              <w:rPr>
                <w:rStyle w:val="SpecialBold"/>
              </w:rPr>
              <w:t>Writing</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F6D8F" w:rsidP="00DF6D8F">
            <w:pPr>
              <w:pStyle w:val="BodyText"/>
            </w:pPr>
            <w:r w:rsidRPr="00DF6D8F">
              <w:t>Prepare written forensic examination plans to process scene and define responsibilities of stakeholders.</w:t>
            </w:r>
          </w:p>
          <w:p w:rsidR="00000000" w:rsidP="00DF6D8F">
            <w:pPr>
              <w:pStyle w:val="BodyText"/>
              <w:rPr>
                <w:lang w:val="en-NZ"/>
              </w:rPr>
            </w:pPr>
            <w:r w:rsidRPr="00DF6D8F">
              <w:t>Record information on jurisdictional information management systems.</w:t>
            </w:r>
          </w:p>
        </w:tc>
      </w:tr>
      <w:tr w:rsidTr="00DF6D8F">
        <w:tblPrEx>
          <w:tblW w:w="0" w:type="auto"/>
          <w:tblLayout w:type="fixed"/>
          <w:tblCellMar>
            <w:left w:w="62" w:type="dxa"/>
            <w:right w:w="62" w:type="dxa"/>
          </w:tblCellMar>
          <w:tblLook w:val="0000"/>
        </w:tblPrEx>
        <w:trPr>
          <w:trHeight w:val="1354"/>
        </w:trPr>
        <w:tc>
          <w:tcPr>
            <w:tcW w:w="22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F6D8F">
            <w:pPr>
              <w:pStyle w:val="BodyText"/>
              <w:rPr>
                <w:lang w:val="en-NZ"/>
              </w:rPr>
            </w:pPr>
            <w:r w:rsidRPr="00DF6D8F">
              <w:rPr>
                <w:rStyle w:val="SpecialBold"/>
              </w:rPr>
              <w:t>Oral communication</w:t>
            </w:r>
          </w:p>
        </w:tc>
        <w:tc>
          <w:tcPr>
            <w:tcW w:w="66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F6D8F" w:rsidP="00DF6D8F">
            <w:pPr>
              <w:pStyle w:val="BodyText"/>
            </w:pPr>
            <w:r w:rsidRPr="00DF6D8F">
              <w:t>Use clear and concise language to control incident/scene, boundaries and parameters.</w:t>
            </w:r>
          </w:p>
          <w:p w:rsidR="00000000" w:rsidRPr="00DF6D8F" w:rsidP="00DF6D8F">
            <w:pPr>
              <w:pStyle w:val="BodyText"/>
            </w:pPr>
            <w:r w:rsidRPr="00DF6D8F">
              <w:t>Communicate information requirements to stakeholder to facilitate release scene.</w:t>
            </w:r>
          </w:p>
          <w:p w:rsidR="00000000" w:rsidRPr="00DF6D8F" w:rsidP="00DF6D8F">
            <w:pPr>
              <w:pStyle w:val="BodyText"/>
            </w:pPr>
            <w:r w:rsidRPr="00DF6D8F">
              <w:t>A</w:t>
            </w:r>
            <w:r w:rsidRPr="00DF6D8F">
              <w:t>dapt oral language to communicate with stakeholders according to the purpose of interaction.</w:t>
            </w:r>
          </w:p>
        </w:tc>
      </w:tr>
    </w:tbl>
    <w:p w:rsidR="00000000" w:rsidRPr="00DF6D8F" w:rsidP="00DF6D8F">
      <w:pPr>
        <w:pStyle w:val="BodyText"/>
      </w:pPr>
    </w:p>
    <w:p w:rsidR="00000000" w:rsidRPr="00DF6D8F" w:rsidP="00DF6D8F">
      <w:pPr>
        <w:pStyle w:val="AllowPageBreak"/>
      </w:pPr>
    </w:p>
    <w:p w:rsidR="00000000" w:rsidRPr="00DF6D8F" w:rsidP="00DF6D8F">
      <w:pPr>
        <w:pStyle w:val="Heading1"/>
      </w:pPr>
      <w:bookmarkStart w:id="8" w:name="O_1283915"/>
      <w:bookmarkEnd w:id="8"/>
      <w:r w:rsidRPr="00DF6D8F">
        <w:t>Range of Conditions</w:t>
      </w:r>
    </w:p>
    <w:p w:rsidR="00000000" w:rsidRPr="00DF6D8F" w:rsidP="00344C7C">
      <w:pPr>
        <w:pStyle w:val="BodyText"/>
      </w:pPr>
      <w:r w:rsidRPr="00DF6D8F">
        <w:t>Not applicable</w:t>
      </w:r>
    </w:p>
    <w:p w:rsidR="00000000" w:rsidRPr="00DF6D8F" w:rsidP="00DF6D8F">
      <w:pPr>
        <w:pStyle w:val="Heading1"/>
      </w:pPr>
      <w:bookmarkStart w:id="9" w:name="O_1283916"/>
      <w:bookmarkEnd w:id="9"/>
      <w:r w:rsidRPr="00DF6D8F">
        <w:t>Unit Mapping Information</w:t>
      </w:r>
    </w:p>
    <w:p w:rsidR="00000000" w:rsidRPr="00DF6D8F" w:rsidP="00344C7C">
      <w:pPr>
        <w:pStyle w:val="BodyText"/>
      </w:pPr>
      <w:r w:rsidRPr="00DF6D8F">
        <w:t xml:space="preserve">This unit replaces but is not equivalent to </w:t>
      </w:r>
      <w:r w:rsidRPr="00DF6D8F">
        <w:rPr>
          <w:rStyle w:val="Emphasis"/>
        </w:rPr>
        <w:t>POLFOR027 Assess and control incident/crime scene.</w:t>
      </w:r>
    </w:p>
    <w:p w:rsidR="00000000" w:rsidRPr="00DF6D8F" w:rsidP="00DF6D8F">
      <w:pPr>
        <w:pStyle w:val="Heading1"/>
      </w:pPr>
      <w:bookmarkStart w:id="10" w:name="O_1283923"/>
      <w:bookmarkEnd w:id="10"/>
      <w:r w:rsidRPr="00DF6D8F">
        <w:t>Links</w:t>
      </w:r>
    </w:p>
    <w:p w:rsidR="00000000" w:rsidRPr="00DF6D8F" w:rsidP="00344C7C">
      <w:pPr>
        <w:pStyle w:val="BodyText"/>
      </w:pPr>
      <w:r w:rsidRPr="00DF6D8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E0C75">
        <w:rPr>
          <w:rStyle w:val="Hyperlink"/>
        </w:rPr>
        <w:t>https://vetnet.gov.au/Pages/TrainingDocs.aspx?q=98c3984e-2cf1-48a8-8ed1-85e4b92e7351</w:t>
      </w:r>
      <w:r>
        <w:fldChar w:fldCharType="end"/>
      </w:r>
    </w:p>
    <w:p w:rsidR="00000000" w:rsidRPr="00DF6D8F" w:rsidP="00DF6D8F"/>
    <w:sectPr w:rsidSect="00DF6D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8F" w:rsidRPr="00344C7C" w:rsidP="00344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7C" w:rsidP="00DF6D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4C7C" w:rsidP="00DF6D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44C7C" w:rsidP="00DF6D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6D8F" w:rsidRPr="00344C7C" w:rsidP="00344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C7C" w:rsidRPr="002D2AF8" w:rsidP="00DF6D8F">
    <w:pPr>
      <w:pStyle w:val="Header"/>
      <w:framePr w:wrap="around"/>
    </w:pPr>
    <w:r>
      <w:fldChar w:fldCharType="begin"/>
    </w:r>
    <w:r>
      <w:instrText xml:space="preserve"> TITLE   \* MERGEFORMAT </w:instrText>
    </w:r>
    <w:r>
      <w:fldChar w:fldCharType="separate"/>
    </w:r>
    <w:r>
      <w:t>POLFOR057 Examine forensic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44C7C" w:rsidP="00DF6D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D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D8F"/>
    <w:pPr>
      <w:spacing w:before="360" w:after="60"/>
      <w:outlineLvl w:val="0"/>
    </w:pPr>
    <w:rPr>
      <w:sz w:val="32"/>
    </w:rPr>
  </w:style>
  <w:style w:type="paragraph" w:styleId="Heading2">
    <w:name w:val="heading 2"/>
    <w:basedOn w:val="HeadingBase"/>
    <w:next w:val="BodyText"/>
    <w:link w:val="Heading2Char"/>
    <w:qFormat/>
    <w:rsid w:val="00DF6D8F"/>
    <w:pPr>
      <w:keepLines/>
      <w:spacing w:before="240" w:after="120"/>
      <w:outlineLvl w:val="1"/>
    </w:pPr>
    <w:rPr>
      <w:sz w:val="28"/>
      <w:szCs w:val="40"/>
    </w:rPr>
  </w:style>
  <w:style w:type="paragraph" w:styleId="Heading3">
    <w:name w:val="heading 3"/>
    <w:basedOn w:val="HeadingBase"/>
    <w:next w:val="BodyText"/>
    <w:link w:val="Heading3Char"/>
    <w:qFormat/>
    <w:rsid w:val="00DF6D8F"/>
    <w:pPr>
      <w:spacing w:before="180" w:after="120"/>
      <w:outlineLvl w:val="2"/>
    </w:pPr>
    <w:rPr>
      <w:spacing w:val="-10"/>
      <w:kern w:val="32"/>
    </w:rPr>
  </w:style>
  <w:style w:type="paragraph" w:styleId="Heading4">
    <w:name w:val="heading 4"/>
    <w:basedOn w:val="HeadingBase"/>
    <w:next w:val="BodyText"/>
    <w:link w:val="Heading4Char"/>
    <w:qFormat/>
    <w:rsid w:val="00DF6D8F"/>
    <w:pPr>
      <w:spacing w:before="160" w:after="120"/>
      <w:outlineLvl w:val="3"/>
    </w:pPr>
    <w:rPr>
      <w:sz w:val="22"/>
    </w:rPr>
  </w:style>
  <w:style w:type="paragraph" w:styleId="Heading5">
    <w:name w:val="heading 5"/>
    <w:basedOn w:val="HeadingBase"/>
    <w:next w:val="Normal"/>
    <w:link w:val="Heading5Char"/>
    <w:qFormat/>
    <w:rsid w:val="00DF6D8F"/>
    <w:pPr>
      <w:spacing w:before="80"/>
      <w:outlineLvl w:val="4"/>
    </w:pPr>
    <w:rPr>
      <w:color w:val="918585"/>
      <w:sz w:val="20"/>
    </w:rPr>
  </w:style>
  <w:style w:type="paragraph" w:styleId="Heading6">
    <w:name w:val="heading 6"/>
    <w:basedOn w:val="HeadingBase"/>
    <w:next w:val="Normal"/>
    <w:link w:val="Heading6Char"/>
    <w:qFormat/>
    <w:rsid w:val="00DF6D8F"/>
    <w:pPr>
      <w:spacing w:before="60"/>
      <w:outlineLvl w:val="5"/>
    </w:pPr>
    <w:rPr>
      <w:color w:val="918585"/>
      <w:sz w:val="20"/>
    </w:rPr>
  </w:style>
  <w:style w:type="paragraph" w:styleId="Heading7">
    <w:name w:val="heading 7"/>
    <w:basedOn w:val="Normal"/>
    <w:next w:val="Normal"/>
    <w:link w:val="Heading7Char"/>
    <w:qFormat/>
    <w:rsid w:val="00DF6D8F"/>
    <w:pPr>
      <w:ind w:left="720"/>
      <w:outlineLvl w:val="6"/>
    </w:pPr>
    <w:rPr>
      <w:i/>
    </w:rPr>
  </w:style>
  <w:style w:type="paragraph" w:styleId="Heading8">
    <w:name w:val="heading 8"/>
    <w:basedOn w:val="Normal"/>
    <w:next w:val="Normal"/>
    <w:link w:val="Heading8Char"/>
    <w:qFormat/>
    <w:rsid w:val="00DF6D8F"/>
    <w:pPr>
      <w:ind w:left="720"/>
      <w:outlineLvl w:val="7"/>
    </w:pPr>
    <w:rPr>
      <w:i/>
    </w:rPr>
  </w:style>
  <w:style w:type="paragraph" w:styleId="Heading9">
    <w:name w:val="heading 9"/>
    <w:basedOn w:val="Normal"/>
    <w:next w:val="Normal"/>
    <w:link w:val="Heading9Char"/>
    <w:qFormat/>
    <w:rsid w:val="00DF6D8F"/>
    <w:pPr>
      <w:ind w:left="720"/>
      <w:outlineLvl w:val="8"/>
    </w:pPr>
    <w:rPr>
      <w:i/>
    </w:rPr>
  </w:style>
  <w:style w:type="character" w:default="1" w:styleId="DefaultParagraphFont">
    <w:name w:val="Default Paragraph Font"/>
    <w:uiPriority w:val="1"/>
    <w:unhideWhenUsed/>
    <w:rsid w:val="00DF6D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D8F"/>
  </w:style>
  <w:style w:type="character" w:customStyle="1" w:styleId="Heading1Char">
    <w:name w:val="Heading 1 Char"/>
    <w:basedOn w:val="DefaultParagraphFont"/>
    <w:link w:val="Heading1"/>
    <w:rsid w:val="00DF6D8F"/>
    <w:rPr>
      <w:rFonts w:ascii="Times New Roman" w:eastAsia="Times New Roman" w:hAnsi="Times New Roman" w:cs="Times New Roman"/>
      <w:b/>
      <w:sz w:val="32"/>
      <w:szCs w:val="20"/>
      <w:lang w:eastAsia="en-US"/>
    </w:rPr>
  </w:style>
  <w:style w:type="paragraph" w:styleId="BodyText">
    <w:name w:val="Body Text"/>
    <w:basedOn w:val="Normal"/>
    <w:link w:val="BodyTextChar"/>
    <w:rsid w:val="00DF6D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6D8F"/>
    <w:rPr>
      <w:rFonts w:ascii="Times New Roman" w:eastAsia="Times New Roman" w:hAnsi="Times New Roman" w:cs="Times New Roman"/>
      <w:sz w:val="24"/>
      <w:lang w:eastAsia="en-US"/>
    </w:rPr>
  </w:style>
  <w:style w:type="paragraph" w:styleId="List">
    <w:name w:val="List"/>
    <w:basedOn w:val="BodyText"/>
    <w:next w:val="BodyText"/>
    <w:rsid w:val="00DF6D8F"/>
    <w:pPr>
      <w:tabs>
        <w:tab w:val="left" w:pos="340"/>
      </w:tabs>
      <w:spacing w:before="60" w:after="60"/>
      <w:ind w:left="340" w:hanging="340"/>
    </w:pPr>
  </w:style>
  <w:style w:type="character" w:customStyle="1" w:styleId="SpecialBold">
    <w:name w:val="Special Bold"/>
    <w:basedOn w:val="DefaultParagraphFont"/>
    <w:rsid w:val="00DF6D8F"/>
    <w:rPr>
      <w:b/>
      <w:spacing w:val="0"/>
    </w:rPr>
  </w:style>
  <w:style w:type="character" w:styleId="Emphasis">
    <w:name w:val="Emphasis"/>
    <w:basedOn w:val="DefaultParagraphFont"/>
    <w:qFormat/>
    <w:rsid w:val="00DF6D8F"/>
    <w:rPr>
      <w:i/>
    </w:rPr>
  </w:style>
  <w:style w:type="paragraph" w:customStyle="1" w:styleId="SuperHeading">
    <w:name w:val="SuperHeading"/>
    <w:basedOn w:val="Normal"/>
    <w:rsid w:val="00DF6D8F"/>
    <w:pPr>
      <w:spacing w:before="240" w:after="120"/>
      <w:outlineLvl w:val="0"/>
    </w:pPr>
    <w:rPr>
      <w:rFonts w:ascii="Times New Roman" w:hAnsi="Times New Roman"/>
      <w:b/>
      <w:sz w:val="32"/>
    </w:rPr>
  </w:style>
  <w:style w:type="paragraph" w:customStyle="1" w:styleId="TableHeading">
    <w:name w:val="Table Heading"/>
    <w:basedOn w:val="HeadingBase"/>
    <w:rsid w:val="00DF6D8F"/>
    <w:pPr>
      <w:keepLines/>
      <w:pBdr>
        <w:bottom w:val="single" w:sz="6" w:space="1" w:color="918585"/>
      </w:pBdr>
      <w:spacing w:before="240"/>
    </w:pPr>
  </w:style>
  <w:style w:type="paragraph" w:customStyle="1" w:styleId="AllowPageBreak">
    <w:name w:val="AllowPageBreak"/>
    <w:rsid w:val="00DF6D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D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D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D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D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D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D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D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D8F"/>
    <w:rPr>
      <w:rFonts w:ascii="Courier New" w:eastAsia="Times New Roman" w:hAnsi="Courier New" w:cs="Times New Roman"/>
      <w:i/>
      <w:szCs w:val="20"/>
      <w:lang w:eastAsia="en-US"/>
    </w:rPr>
  </w:style>
  <w:style w:type="paragraph" w:customStyle="1" w:styleId="HeadingBase">
    <w:name w:val="Heading Base"/>
    <w:rsid w:val="00DF6D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D8F"/>
    <w:pPr>
      <w:tabs>
        <w:tab w:val="right" w:leader="dot" w:pos="9072"/>
      </w:tabs>
      <w:ind w:left="567"/>
    </w:pPr>
    <w:rPr>
      <w:szCs w:val="22"/>
    </w:rPr>
  </w:style>
  <w:style w:type="paragraph" w:customStyle="1" w:styleId="TOCBase">
    <w:name w:val="TOC Base"/>
    <w:rsid w:val="00DF6D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D8F"/>
    <w:pPr>
      <w:tabs>
        <w:tab w:val="right" w:leader="dot" w:pos="9072"/>
      </w:tabs>
      <w:spacing w:before="40" w:after="40"/>
      <w:ind w:left="284"/>
    </w:pPr>
    <w:rPr>
      <w:rFonts w:ascii="Times New Roman" w:hAnsi="Times New Roman"/>
    </w:rPr>
  </w:style>
  <w:style w:type="paragraph" w:styleId="TOC1">
    <w:name w:val="toc 1"/>
    <w:basedOn w:val="TOCBase"/>
    <w:next w:val="Normal"/>
    <w:rsid w:val="00DF6D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6D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D8F"/>
    <w:rPr>
      <w:rFonts w:ascii="Times New Roman" w:eastAsia="Times New Roman" w:hAnsi="Times New Roman" w:cs="Times New Roman"/>
      <w:sz w:val="16"/>
      <w:lang w:eastAsia="en-US"/>
    </w:rPr>
  </w:style>
  <w:style w:type="paragraph" w:styleId="Title">
    <w:name w:val="Title"/>
    <w:basedOn w:val="HeadingBase"/>
    <w:link w:val="TitleChar"/>
    <w:qFormat/>
    <w:rsid w:val="00DF6D8F"/>
    <w:pPr>
      <w:spacing w:before="5040"/>
      <w:jc w:val="center"/>
    </w:pPr>
    <w:rPr>
      <w:sz w:val="48"/>
      <w:szCs w:val="72"/>
      <w:lang w:val="en-US"/>
    </w:rPr>
  </w:style>
  <w:style w:type="character" w:customStyle="1" w:styleId="TitleChar">
    <w:name w:val="Title Char"/>
    <w:basedOn w:val="DefaultParagraphFont"/>
    <w:link w:val="Title"/>
    <w:rsid w:val="00DF6D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D8F"/>
    <w:pPr>
      <w:tabs>
        <w:tab w:val="left" w:pos="3600"/>
        <w:tab w:val="left" w:pos="3958"/>
      </w:tabs>
    </w:pPr>
  </w:style>
  <w:style w:type="paragraph" w:styleId="ListBullet">
    <w:name w:val="List Bullet"/>
    <w:basedOn w:val="List"/>
    <w:rsid w:val="00DF6D8F"/>
    <w:pPr>
      <w:numPr>
        <w:numId w:val="10"/>
      </w:numPr>
      <w:tabs>
        <w:tab w:val="clear" w:pos="340"/>
      </w:tabs>
      <w:spacing w:before="40" w:after="40"/>
    </w:pPr>
  </w:style>
  <w:style w:type="paragraph" w:customStyle="1" w:styleId="Note">
    <w:name w:val="Note"/>
    <w:basedOn w:val="BodyText"/>
    <w:rsid w:val="00DF6D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D8F"/>
    <w:pPr>
      <w:framePr w:wrap="auto" w:hAnchor="text" w:y="6049"/>
    </w:pPr>
    <w:rPr>
      <w:color w:val="000000"/>
      <w:sz w:val="40"/>
    </w:rPr>
  </w:style>
  <w:style w:type="paragraph" w:customStyle="1" w:styleId="TOCTitle">
    <w:name w:val="TOCTitle"/>
    <w:basedOn w:val="Heading1"/>
    <w:rsid w:val="00DF6D8F"/>
    <w:pPr>
      <w:spacing w:after="240"/>
      <w:jc w:val="center"/>
      <w:outlineLvl w:val="9"/>
    </w:pPr>
    <w:rPr>
      <w:caps/>
    </w:rPr>
  </w:style>
  <w:style w:type="paragraph" w:customStyle="1" w:styleId="Version">
    <w:name w:val="Version"/>
    <w:rsid w:val="00DF6D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6D8F"/>
    <w:pPr>
      <w:numPr>
        <w:numId w:val="11"/>
      </w:numPr>
      <w:tabs>
        <w:tab w:val="clear" w:pos="680"/>
      </w:tabs>
    </w:pPr>
  </w:style>
  <w:style w:type="paragraph" w:styleId="Index1">
    <w:name w:val="index 1"/>
    <w:basedOn w:val="Normal"/>
    <w:next w:val="Normal"/>
    <w:semiHidden/>
    <w:rsid w:val="00DF6D8F"/>
    <w:pPr>
      <w:keepNext w:val="0"/>
      <w:tabs>
        <w:tab w:val="right" w:pos="4176"/>
      </w:tabs>
      <w:ind w:left="198" w:hanging="198"/>
    </w:pPr>
    <w:rPr>
      <w:rFonts w:ascii="Garamond" w:hAnsi="Garamond"/>
    </w:rPr>
  </w:style>
  <w:style w:type="paragraph" w:styleId="IndexHeading">
    <w:name w:val="index heading"/>
    <w:basedOn w:val="Normal"/>
    <w:next w:val="Index1"/>
    <w:semiHidden/>
    <w:rsid w:val="00DF6D8F"/>
    <w:pPr>
      <w:spacing w:before="120" w:after="120"/>
    </w:pPr>
    <w:rPr>
      <w:rFonts w:ascii="Arial" w:hAnsi="Arial"/>
      <w:b/>
      <w:color w:val="918585"/>
      <w:sz w:val="24"/>
    </w:rPr>
  </w:style>
  <w:style w:type="paragraph" w:styleId="Header">
    <w:name w:val="header"/>
    <w:basedOn w:val="Normal"/>
    <w:link w:val="HeaderChar"/>
    <w:rsid w:val="00DF6D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D8F"/>
    <w:rPr>
      <w:rFonts w:ascii="Times New Roman" w:eastAsia="Times New Roman" w:hAnsi="Times New Roman" w:cs="Times New Roman"/>
      <w:sz w:val="16"/>
      <w:szCs w:val="20"/>
      <w:lang w:val="en-GB" w:eastAsia="en-US"/>
    </w:rPr>
  </w:style>
  <w:style w:type="paragraph" w:customStyle="1" w:styleId="Chapter">
    <w:name w:val="Chapter"/>
    <w:basedOn w:val="Normal"/>
    <w:rsid w:val="00DF6D8F"/>
    <w:pPr>
      <w:spacing w:before="240"/>
    </w:pPr>
    <w:rPr>
      <w:rFonts w:ascii="Times New Roman" w:hAnsi="Times New Roman"/>
      <w:smallCaps/>
      <w:spacing w:val="80"/>
      <w:sz w:val="28"/>
    </w:rPr>
  </w:style>
  <w:style w:type="paragraph" w:customStyle="1" w:styleId="InChapter">
    <w:name w:val="InChapter"/>
    <w:basedOn w:val="Heading3"/>
    <w:rsid w:val="00DF6D8F"/>
    <w:pPr>
      <w:spacing w:after="240"/>
      <w:outlineLvl w:val="9"/>
    </w:pPr>
    <w:rPr>
      <w:noProof/>
    </w:rPr>
  </w:style>
  <w:style w:type="paragraph" w:styleId="Index2">
    <w:name w:val="index 2"/>
    <w:basedOn w:val="Normal"/>
    <w:next w:val="Normal"/>
    <w:semiHidden/>
    <w:rsid w:val="00DF6D8F"/>
    <w:pPr>
      <w:tabs>
        <w:tab w:val="right" w:pos="4176"/>
      </w:tabs>
      <w:ind w:left="568" w:hanging="284"/>
    </w:pPr>
    <w:rPr>
      <w:rFonts w:ascii="Garamond" w:hAnsi="Garamond"/>
    </w:rPr>
  </w:style>
  <w:style w:type="paragraph" w:customStyle="1" w:styleId="Byline">
    <w:name w:val="Byline"/>
    <w:rsid w:val="00DF6D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D8F"/>
    <w:pPr>
      <w:tabs>
        <w:tab w:val="clear" w:pos="3600"/>
        <w:tab w:val="clear" w:pos="3958"/>
      </w:tabs>
      <w:jc w:val="right"/>
    </w:pPr>
  </w:style>
  <w:style w:type="paragraph" w:styleId="Caption">
    <w:name w:val="caption"/>
    <w:basedOn w:val="BodyText"/>
    <w:next w:val="Normal"/>
    <w:qFormat/>
    <w:rsid w:val="00DF6D8F"/>
    <w:pPr>
      <w:framePr w:w="2268" w:hSpace="181" w:vSpace="181" w:wrap="around" w:vAnchor="text" w:hAnchor="page" w:x="1135" w:y="285" w:anchorLock="1"/>
    </w:pPr>
    <w:rPr>
      <w:i/>
    </w:rPr>
  </w:style>
  <w:style w:type="paragraph" w:customStyle="1" w:styleId="MiniTOCTitle">
    <w:name w:val="MiniTOCTitle"/>
    <w:basedOn w:val="Heading4"/>
    <w:rsid w:val="00DF6D8F"/>
    <w:pPr>
      <w:spacing w:before="240"/>
      <w:outlineLvl w:val="9"/>
    </w:pPr>
    <w:rPr>
      <w:noProof/>
      <w:sz w:val="24"/>
    </w:rPr>
  </w:style>
  <w:style w:type="paragraph" w:customStyle="1" w:styleId="MiniTOCItem">
    <w:name w:val="MiniTOCItem"/>
    <w:basedOn w:val="ListBullet"/>
    <w:rsid w:val="00DF6D8F"/>
    <w:pPr>
      <w:numPr>
        <w:numId w:val="0"/>
      </w:numPr>
      <w:tabs>
        <w:tab w:val="right" w:leader="dot" w:pos="6521"/>
      </w:tabs>
      <w:spacing w:before="0" w:after="0"/>
    </w:pPr>
  </w:style>
  <w:style w:type="paragraph" w:customStyle="1" w:styleId="TOFTitle">
    <w:name w:val="TOFTitle"/>
    <w:basedOn w:val="TOCTitle"/>
    <w:rsid w:val="00DF6D8F"/>
  </w:style>
  <w:style w:type="paragraph" w:styleId="TableofFigures">
    <w:name w:val="table of figures"/>
    <w:basedOn w:val="Normal"/>
    <w:next w:val="Normal"/>
    <w:semiHidden/>
    <w:rsid w:val="00DF6D8F"/>
    <w:pPr>
      <w:tabs>
        <w:tab w:val="right" w:leader="dot" w:pos="9072"/>
      </w:tabs>
      <w:ind w:left="970" w:hanging="403"/>
    </w:pPr>
    <w:rPr>
      <w:rFonts w:ascii="Times New Roman" w:hAnsi="Times New Roman"/>
      <w:b/>
    </w:rPr>
  </w:style>
  <w:style w:type="paragraph" w:styleId="ListNumber">
    <w:name w:val="List Number"/>
    <w:basedOn w:val="List"/>
    <w:rsid w:val="00DF6D8F"/>
    <w:pPr>
      <w:numPr>
        <w:numId w:val="13"/>
      </w:numPr>
      <w:tabs>
        <w:tab w:val="clear" w:pos="340"/>
      </w:tabs>
    </w:pPr>
  </w:style>
  <w:style w:type="character" w:customStyle="1" w:styleId="WingdingSymbols">
    <w:name w:val="Wingding Symbols"/>
    <w:rsid w:val="00DF6D8F"/>
    <w:rPr>
      <w:rFonts w:ascii="Wingdings" w:hAnsi="Wingdings"/>
    </w:rPr>
  </w:style>
  <w:style w:type="character" w:customStyle="1" w:styleId="HotSpot">
    <w:name w:val="HotSpot"/>
    <w:rsid w:val="00DF6D8F"/>
    <w:rPr>
      <w:color w:val="0033CC"/>
      <w:u w:val="none"/>
    </w:rPr>
  </w:style>
  <w:style w:type="paragraph" w:customStyle="1" w:styleId="BodyTextRight">
    <w:name w:val="Body Text Right"/>
    <w:basedOn w:val="BodyText"/>
    <w:rsid w:val="00DF6D8F"/>
    <w:pPr>
      <w:spacing w:before="0" w:after="0"/>
      <w:jc w:val="right"/>
    </w:pPr>
  </w:style>
  <w:style w:type="paragraph" w:styleId="Index3">
    <w:name w:val="index 3"/>
    <w:basedOn w:val="ListNumber2"/>
    <w:next w:val="Normal"/>
    <w:semiHidden/>
    <w:rsid w:val="00DF6D8F"/>
    <w:pPr>
      <w:numPr>
        <w:numId w:val="0"/>
      </w:numPr>
      <w:tabs>
        <w:tab w:val="right" w:leader="dot" w:pos="4176"/>
      </w:tabs>
    </w:pPr>
  </w:style>
  <w:style w:type="paragraph" w:styleId="ListNumber2">
    <w:name w:val="List Number 2"/>
    <w:basedOn w:val="List2"/>
    <w:rsid w:val="00DF6D8F"/>
    <w:pPr>
      <w:numPr>
        <w:numId w:val="8"/>
      </w:numPr>
      <w:tabs>
        <w:tab w:val="clear" w:pos="1060"/>
      </w:tabs>
    </w:pPr>
  </w:style>
  <w:style w:type="paragraph" w:customStyle="1" w:styleId="MarginNote">
    <w:name w:val="Margin Note"/>
    <w:basedOn w:val="BodyText"/>
    <w:rsid w:val="00DF6D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D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D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D8F"/>
    <w:rPr>
      <w:sz w:val="32"/>
    </w:rPr>
  </w:style>
  <w:style w:type="paragraph" w:customStyle="1" w:styleId="HeadingProcedure">
    <w:name w:val="Heading Procedure"/>
    <w:basedOn w:val="HeadingBase"/>
    <w:next w:val="Normal"/>
    <w:rsid w:val="00DF6D8F"/>
    <w:pPr>
      <w:tabs>
        <w:tab w:val="left" w:pos="0"/>
      </w:tabs>
      <w:spacing w:before="120" w:after="60"/>
    </w:pPr>
    <w:rPr>
      <w:i/>
      <w:color w:val="918585"/>
      <w:sz w:val="22"/>
    </w:rPr>
  </w:style>
  <w:style w:type="paragraph" w:customStyle="1" w:styleId="TableBodyText">
    <w:name w:val="Table Body Text"/>
    <w:basedOn w:val="BodyText"/>
    <w:rsid w:val="00DF6D8F"/>
    <w:pPr>
      <w:spacing w:before="60" w:after="60"/>
    </w:pPr>
  </w:style>
  <w:style w:type="paragraph" w:styleId="ListContinue">
    <w:name w:val="List Continue"/>
    <w:basedOn w:val="List"/>
    <w:rsid w:val="00DF6D8F"/>
    <w:pPr>
      <w:ind w:firstLine="0"/>
    </w:pPr>
  </w:style>
  <w:style w:type="paragraph" w:customStyle="1" w:styleId="ListNote">
    <w:name w:val="List Note"/>
    <w:basedOn w:val="List"/>
    <w:rsid w:val="00DF6D8F"/>
    <w:pPr>
      <w:pBdr>
        <w:top w:val="single" w:sz="6" w:space="2" w:color="918585"/>
        <w:bottom w:val="single" w:sz="6" w:space="2" w:color="918585"/>
      </w:pBdr>
      <w:tabs>
        <w:tab w:val="left" w:pos="1021"/>
      </w:tabs>
      <w:ind w:firstLine="0"/>
    </w:pPr>
  </w:style>
  <w:style w:type="paragraph" w:customStyle="1" w:styleId="Warning">
    <w:name w:val="Warning"/>
    <w:basedOn w:val="BodyText"/>
    <w:rsid w:val="00DF6D8F"/>
    <w:pPr>
      <w:shd w:val="clear" w:color="auto" w:fill="D9D9D9"/>
      <w:tabs>
        <w:tab w:val="left" w:pos="992"/>
      </w:tabs>
      <w:ind w:left="119" w:right="119"/>
    </w:pPr>
    <w:rPr>
      <w:sz w:val="20"/>
    </w:rPr>
  </w:style>
  <w:style w:type="paragraph" w:customStyle="1" w:styleId="MarginIcons">
    <w:name w:val="Margin Icons"/>
    <w:basedOn w:val="BodyText"/>
    <w:rsid w:val="00DF6D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D8F"/>
    <w:rPr>
      <w:rFonts w:ascii="Courier New" w:hAnsi="Courier New"/>
    </w:rPr>
  </w:style>
  <w:style w:type="paragraph" w:customStyle="1" w:styleId="NoteBullet">
    <w:name w:val="Note Bullet"/>
    <w:basedOn w:val="Note"/>
    <w:rsid w:val="00DF6D8F"/>
    <w:pPr>
      <w:tabs>
        <w:tab w:val="clear" w:pos="680"/>
      </w:tabs>
      <w:spacing w:before="60" w:after="60"/>
    </w:pPr>
  </w:style>
  <w:style w:type="paragraph" w:customStyle="1" w:styleId="SubHeading2">
    <w:name w:val="SubHeading2"/>
    <w:basedOn w:val="HeadingBase"/>
    <w:rsid w:val="00DF6D8F"/>
    <w:pPr>
      <w:spacing w:before="240" w:after="60"/>
    </w:pPr>
    <w:rPr>
      <w:sz w:val="20"/>
    </w:rPr>
  </w:style>
  <w:style w:type="paragraph" w:customStyle="1" w:styleId="SubHeading1">
    <w:name w:val="SubHeading1"/>
    <w:basedOn w:val="HeadingBase"/>
    <w:rsid w:val="00DF6D8F"/>
    <w:pPr>
      <w:spacing w:before="240" w:after="60"/>
    </w:pPr>
    <w:rPr>
      <w:color w:val="918585"/>
      <w:sz w:val="22"/>
    </w:rPr>
  </w:style>
  <w:style w:type="paragraph" w:customStyle="1" w:styleId="SideHeading">
    <w:name w:val="Side Heading"/>
    <w:basedOn w:val="HeadingBase"/>
    <w:rsid w:val="00DF6D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D8F"/>
    <w:pPr>
      <w:numPr>
        <w:numId w:val="9"/>
      </w:numPr>
    </w:pPr>
  </w:style>
  <w:style w:type="paragraph" w:styleId="PlainText">
    <w:name w:val="Plain Text"/>
    <w:basedOn w:val="Normal"/>
    <w:link w:val="PlainTextChar"/>
    <w:rsid w:val="00DF6D8F"/>
    <w:rPr>
      <w:sz w:val="20"/>
    </w:rPr>
  </w:style>
  <w:style w:type="character" w:customStyle="1" w:styleId="PlainTextChar">
    <w:name w:val="Plain Text Char"/>
    <w:basedOn w:val="DefaultParagraphFont"/>
    <w:link w:val="PlainText"/>
    <w:rsid w:val="00DF6D8F"/>
    <w:rPr>
      <w:rFonts w:ascii="Courier New" w:eastAsia="Times New Roman" w:hAnsi="Courier New" w:cs="Times New Roman"/>
      <w:sz w:val="20"/>
      <w:szCs w:val="20"/>
      <w:lang w:eastAsia="en-US"/>
    </w:rPr>
  </w:style>
  <w:style w:type="character" w:customStyle="1" w:styleId="MenuOption">
    <w:name w:val="Menu Option"/>
    <w:basedOn w:val="DefaultParagraphFont"/>
    <w:rsid w:val="00DF6D8F"/>
    <w:rPr>
      <w:b/>
      <w:smallCaps/>
    </w:rPr>
  </w:style>
  <w:style w:type="paragraph" w:customStyle="1" w:styleId="TableListNumber">
    <w:name w:val="Table List Number"/>
    <w:basedOn w:val="ListNumber"/>
    <w:rsid w:val="00DF6D8F"/>
    <w:pPr>
      <w:numPr>
        <w:numId w:val="0"/>
      </w:numPr>
    </w:pPr>
  </w:style>
  <w:style w:type="paragraph" w:styleId="TOC4">
    <w:name w:val="toc 4"/>
    <w:basedOn w:val="TOCBase"/>
    <w:next w:val="Normal"/>
    <w:semiHidden/>
    <w:rsid w:val="00DF6D8F"/>
    <w:pPr>
      <w:tabs>
        <w:tab w:val="right" w:leader="dot" w:pos="9071"/>
      </w:tabs>
      <w:ind w:left="1701"/>
    </w:pPr>
  </w:style>
  <w:style w:type="paragraph" w:customStyle="1" w:styleId="ListAlpha">
    <w:name w:val="List Alpha"/>
    <w:basedOn w:val="List"/>
    <w:rsid w:val="00DF6D8F"/>
    <w:pPr>
      <w:numPr>
        <w:numId w:val="7"/>
      </w:numPr>
    </w:pPr>
  </w:style>
  <w:style w:type="paragraph" w:customStyle="1" w:styleId="ListAlpha2">
    <w:name w:val="List Alpha 2"/>
    <w:basedOn w:val="List2"/>
    <w:rsid w:val="00DF6D8F"/>
    <w:pPr>
      <w:numPr>
        <w:numId w:val="6"/>
      </w:numPr>
    </w:pPr>
  </w:style>
  <w:style w:type="paragraph" w:styleId="List2">
    <w:name w:val="List 2"/>
    <w:basedOn w:val="BodyText"/>
    <w:rsid w:val="00DF6D8F"/>
    <w:pPr>
      <w:tabs>
        <w:tab w:val="left" w:pos="680"/>
      </w:tabs>
      <w:spacing w:before="60" w:after="60"/>
      <w:ind w:left="680" w:hanging="340"/>
    </w:pPr>
  </w:style>
  <w:style w:type="paragraph" w:styleId="List3">
    <w:name w:val="List 3"/>
    <w:basedOn w:val="BodyText"/>
    <w:rsid w:val="00DF6D8F"/>
    <w:pPr>
      <w:tabs>
        <w:tab w:val="left" w:pos="1021"/>
      </w:tabs>
      <w:spacing w:before="60" w:after="60"/>
      <w:ind w:left="1020" w:hanging="340"/>
    </w:pPr>
  </w:style>
  <w:style w:type="paragraph" w:styleId="List4">
    <w:name w:val="List 4"/>
    <w:basedOn w:val="BodyText"/>
    <w:rsid w:val="00DF6D8F"/>
    <w:pPr>
      <w:tabs>
        <w:tab w:val="left" w:pos="1361"/>
      </w:tabs>
      <w:spacing w:before="60" w:after="60"/>
      <w:ind w:left="1361" w:hanging="340"/>
    </w:pPr>
  </w:style>
  <w:style w:type="paragraph" w:styleId="List5">
    <w:name w:val="List 5"/>
    <w:basedOn w:val="BodyText"/>
    <w:rsid w:val="00DF6D8F"/>
    <w:pPr>
      <w:tabs>
        <w:tab w:val="left" w:pos="1701"/>
      </w:tabs>
      <w:spacing w:before="60" w:after="60"/>
      <w:ind w:left="1701" w:hanging="340"/>
    </w:pPr>
  </w:style>
  <w:style w:type="paragraph" w:styleId="ListBullet3">
    <w:name w:val="List Bullet 3"/>
    <w:basedOn w:val="List3"/>
    <w:rsid w:val="00DF6D8F"/>
    <w:pPr>
      <w:numPr>
        <w:numId w:val="12"/>
      </w:numPr>
      <w:tabs>
        <w:tab w:val="clear" w:pos="1021"/>
      </w:tabs>
      <w:ind w:left="1037" w:hanging="357"/>
    </w:pPr>
  </w:style>
  <w:style w:type="paragraph" w:styleId="ListBullet4">
    <w:name w:val="List Bullet 4"/>
    <w:basedOn w:val="List4"/>
    <w:rsid w:val="00DF6D8F"/>
    <w:pPr>
      <w:numPr>
        <w:numId w:val="1"/>
      </w:numPr>
      <w:tabs>
        <w:tab w:val="clear" w:pos="1361"/>
      </w:tabs>
    </w:pPr>
  </w:style>
  <w:style w:type="paragraph" w:styleId="ListBullet5">
    <w:name w:val="List Bullet 5"/>
    <w:basedOn w:val="List5"/>
    <w:rsid w:val="00DF6D8F"/>
    <w:pPr>
      <w:numPr>
        <w:numId w:val="2"/>
      </w:numPr>
    </w:pPr>
  </w:style>
  <w:style w:type="paragraph" w:styleId="ListContinue2">
    <w:name w:val="List Continue 2"/>
    <w:basedOn w:val="List2"/>
    <w:rsid w:val="00DF6D8F"/>
    <w:pPr>
      <w:ind w:firstLine="0"/>
    </w:pPr>
  </w:style>
  <w:style w:type="paragraph" w:styleId="ListContinue3">
    <w:name w:val="List Continue 3"/>
    <w:basedOn w:val="List3"/>
    <w:rsid w:val="00DF6D8F"/>
    <w:pPr>
      <w:ind w:left="1021" w:firstLine="0"/>
    </w:pPr>
  </w:style>
  <w:style w:type="paragraph" w:styleId="ListContinue4">
    <w:name w:val="List Continue 4"/>
    <w:basedOn w:val="List4"/>
    <w:rsid w:val="00DF6D8F"/>
    <w:pPr>
      <w:ind w:firstLine="0"/>
    </w:pPr>
  </w:style>
  <w:style w:type="paragraph" w:styleId="ListContinue5">
    <w:name w:val="List Continue 5"/>
    <w:basedOn w:val="List5"/>
    <w:rsid w:val="00DF6D8F"/>
    <w:pPr>
      <w:ind w:firstLine="0"/>
    </w:pPr>
  </w:style>
  <w:style w:type="paragraph" w:styleId="ListNumber3">
    <w:name w:val="List Number 3"/>
    <w:basedOn w:val="List3"/>
    <w:rsid w:val="00DF6D8F"/>
    <w:pPr>
      <w:numPr>
        <w:numId w:val="3"/>
      </w:numPr>
    </w:pPr>
  </w:style>
  <w:style w:type="paragraph" w:styleId="ListNumber4">
    <w:name w:val="List Number 4"/>
    <w:basedOn w:val="List4"/>
    <w:rsid w:val="00DF6D8F"/>
    <w:pPr>
      <w:numPr>
        <w:numId w:val="4"/>
      </w:numPr>
    </w:pPr>
  </w:style>
  <w:style w:type="paragraph" w:styleId="ListNumber5">
    <w:name w:val="List Number 5"/>
    <w:basedOn w:val="List5"/>
    <w:rsid w:val="00DF6D8F"/>
    <w:pPr>
      <w:numPr>
        <w:numId w:val="5"/>
      </w:numPr>
    </w:pPr>
  </w:style>
  <w:style w:type="paragraph" w:styleId="BlockText">
    <w:name w:val="Block Text"/>
    <w:basedOn w:val="Normal"/>
    <w:rsid w:val="00DF6D8F"/>
    <w:pPr>
      <w:spacing w:after="120"/>
      <w:ind w:left="1440" w:right="1440"/>
    </w:pPr>
  </w:style>
  <w:style w:type="character" w:customStyle="1" w:styleId="Subscript">
    <w:name w:val="Subscript"/>
    <w:basedOn w:val="DefaultParagraphFont"/>
    <w:rsid w:val="00DF6D8F"/>
    <w:rPr>
      <w:sz w:val="16"/>
      <w:vertAlign w:val="subscript"/>
    </w:rPr>
  </w:style>
  <w:style w:type="character" w:customStyle="1" w:styleId="Superscript">
    <w:name w:val="Superscript"/>
    <w:basedOn w:val="DefaultParagraphFont"/>
    <w:rsid w:val="00DF6D8F"/>
    <w:rPr>
      <w:sz w:val="16"/>
      <w:vertAlign w:val="superscript"/>
    </w:rPr>
  </w:style>
  <w:style w:type="character" w:customStyle="1" w:styleId="Symbols">
    <w:name w:val="Symbols"/>
    <w:basedOn w:val="DefaultParagraphFont"/>
    <w:rsid w:val="00DF6D8F"/>
    <w:rPr>
      <w:rFonts w:ascii="Symbol" w:hAnsi="Symbol"/>
    </w:rPr>
  </w:style>
  <w:style w:type="character" w:customStyle="1" w:styleId="MenuOptions">
    <w:name w:val="Menu Options"/>
    <w:basedOn w:val="DefaultParagraphFont"/>
    <w:rsid w:val="00DF6D8F"/>
    <w:rPr>
      <w:rFonts w:ascii="Arial Narrow" w:hAnsi="Arial Narrow"/>
      <w:smallCaps/>
    </w:rPr>
  </w:style>
  <w:style w:type="character" w:customStyle="1" w:styleId="Buttons">
    <w:name w:val="Buttons"/>
    <w:basedOn w:val="DefaultParagraphFont"/>
    <w:rsid w:val="00DF6D8F"/>
    <w:rPr>
      <w:b/>
    </w:rPr>
  </w:style>
  <w:style w:type="character" w:customStyle="1" w:styleId="Underlined">
    <w:name w:val="Underlined"/>
    <w:basedOn w:val="DefaultParagraphFont"/>
    <w:rsid w:val="00DF6D8F"/>
    <w:rPr>
      <w:u w:val="single"/>
    </w:rPr>
  </w:style>
  <w:style w:type="paragraph" w:customStyle="1" w:styleId="TableBodyTextRight">
    <w:name w:val="Table Body Text Right"/>
    <w:basedOn w:val="TableBodyText"/>
    <w:rsid w:val="00DF6D8F"/>
    <w:pPr>
      <w:widowControl w:val="0"/>
      <w:autoSpaceDE w:val="0"/>
      <w:autoSpaceDN w:val="0"/>
      <w:adjustRightInd w:val="0"/>
      <w:jc w:val="right"/>
    </w:pPr>
    <w:rPr>
      <w:rFonts w:cs="Arial"/>
      <w:szCs w:val="18"/>
    </w:rPr>
  </w:style>
  <w:style w:type="paragraph" w:customStyle="1" w:styleId="CopyrightText">
    <w:name w:val="Copyright Text"/>
    <w:basedOn w:val="BodyText"/>
    <w:rsid w:val="00DF6D8F"/>
    <w:rPr>
      <w:sz w:val="18"/>
    </w:rPr>
  </w:style>
  <w:style w:type="paragraph" w:customStyle="1" w:styleId="BodySmallRight">
    <w:name w:val="Body Small Right"/>
    <w:basedOn w:val="BodyTextRight"/>
    <w:rsid w:val="00DF6D8F"/>
    <w:rPr>
      <w:sz w:val="18"/>
      <w:szCs w:val="18"/>
    </w:rPr>
  </w:style>
  <w:style w:type="paragraph" w:customStyle="1" w:styleId="MarginEdition">
    <w:name w:val="Margin Edition"/>
    <w:basedOn w:val="MarginNote"/>
    <w:rsid w:val="00DF6D8F"/>
    <w:pPr>
      <w:spacing w:before="0" w:after="0"/>
    </w:pPr>
    <w:rPr>
      <w:rFonts w:ascii="Times New Roman" w:hAnsi="Times New Roman"/>
      <w:color w:val="999999"/>
    </w:rPr>
  </w:style>
  <w:style w:type="paragraph" w:customStyle="1" w:styleId="Spacer">
    <w:name w:val="Spacer"/>
    <w:basedOn w:val="Normal"/>
    <w:rsid w:val="00DF6D8F"/>
    <w:rPr>
      <w:sz w:val="2"/>
      <w:szCs w:val="2"/>
    </w:rPr>
  </w:style>
  <w:style w:type="character" w:customStyle="1" w:styleId="Small">
    <w:name w:val="Small"/>
    <w:basedOn w:val="DefaultParagraphFont"/>
    <w:rsid w:val="00DF6D8F"/>
    <w:rPr>
      <w:sz w:val="16"/>
    </w:rPr>
  </w:style>
  <w:style w:type="paragraph" w:customStyle="1" w:styleId="WideTable">
    <w:name w:val="Wide Table"/>
    <w:basedOn w:val="Normal"/>
    <w:rsid w:val="00DF6D8F"/>
    <w:pPr>
      <w:ind w:left="-1418"/>
    </w:pPr>
    <w:rPr>
      <w:sz w:val="2"/>
      <w:szCs w:val="2"/>
    </w:rPr>
  </w:style>
  <w:style w:type="character" w:styleId="PageNumber">
    <w:name w:val="page number"/>
    <w:basedOn w:val="DefaultParagraphFont"/>
    <w:rsid w:val="00DF6D8F"/>
  </w:style>
  <w:style w:type="paragraph" w:styleId="Quote">
    <w:name w:val="Quote"/>
    <w:basedOn w:val="Heading1"/>
    <w:link w:val="QuoteChar"/>
    <w:qFormat/>
    <w:rsid w:val="00DF6D8F"/>
    <w:rPr>
      <w:b w:val="0"/>
      <w:sz w:val="72"/>
      <w:szCs w:val="72"/>
      <w:lang w:val="en-NZ"/>
    </w:rPr>
  </w:style>
  <w:style w:type="character" w:customStyle="1" w:styleId="QuoteChar">
    <w:name w:val="Quote Char"/>
    <w:basedOn w:val="DefaultParagraphFont"/>
    <w:link w:val="Quote"/>
    <w:rsid w:val="00DF6D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D8F"/>
    <w:pPr>
      <w:pageBreakBefore/>
    </w:pPr>
  </w:style>
  <w:style w:type="paragraph" w:customStyle="1" w:styleId="Border">
    <w:name w:val="Border"/>
    <w:basedOn w:val="Normal"/>
    <w:qFormat/>
    <w:rsid w:val="00DF6D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D8F"/>
    <w:rPr>
      <w:b/>
      <w:bCs/>
      <w:i/>
      <w:iCs/>
      <w:color w:val="auto"/>
    </w:rPr>
  </w:style>
  <w:style w:type="paragraph" w:styleId="IntenseQuote">
    <w:name w:val="Intense Quote"/>
    <w:basedOn w:val="Normal"/>
    <w:next w:val="Normal"/>
    <w:link w:val="IntenseQuoteChar"/>
    <w:uiPriority w:val="30"/>
    <w:qFormat/>
    <w:rsid w:val="00DF6D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D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D8F"/>
    <w:rPr>
      <w:smallCaps/>
      <w:color w:val="auto"/>
      <w:u w:val="single"/>
    </w:rPr>
  </w:style>
  <w:style w:type="character" w:styleId="IntenseReference">
    <w:name w:val="Intense Reference"/>
    <w:basedOn w:val="DefaultParagraphFont"/>
    <w:uiPriority w:val="32"/>
    <w:qFormat/>
    <w:rsid w:val="00DF6D8F"/>
    <w:rPr>
      <w:b/>
      <w:bCs/>
      <w:smallCaps/>
      <w:color w:val="auto"/>
      <w:spacing w:val="5"/>
      <w:u w:val="single"/>
    </w:rPr>
  </w:style>
  <w:style w:type="paragraph" w:customStyle="1" w:styleId="2ColumnHeading">
    <w:name w:val="2Column Heading"/>
    <w:basedOn w:val="BodyText"/>
    <w:qFormat/>
    <w:rsid w:val="00DF6D8F"/>
    <w:pPr>
      <w:spacing w:after="60"/>
      <w:ind w:left="-2268"/>
    </w:pPr>
    <w:rPr>
      <w:b/>
    </w:rPr>
  </w:style>
  <w:style w:type="paragraph" w:customStyle="1" w:styleId="Heading1TOC">
    <w:name w:val="Heading1 TOC"/>
    <w:basedOn w:val="Normal"/>
    <w:qFormat/>
    <w:rsid w:val="00DF6D8F"/>
    <w:pPr>
      <w:spacing w:before="240" w:after="120"/>
    </w:pPr>
    <w:rPr>
      <w:rFonts w:ascii="Times New Roman" w:hAnsi="Times New Roman"/>
      <w:b/>
      <w:sz w:val="32"/>
    </w:rPr>
  </w:style>
  <w:style w:type="paragraph" w:customStyle="1" w:styleId="Heading2TOC">
    <w:name w:val="Heading2 TOC"/>
    <w:basedOn w:val="Normal"/>
    <w:qFormat/>
    <w:rsid w:val="00DF6D8F"/>
    <w:pPr>
      <w:spacing w:before="240" w:after="60"/>
    </w:pPr>
    <w:rPr>
      <w:rFonts w:ascii="Times New Roman" w:hAnsi="Times New Roman"/>
      <w:b/>
      <w:sz w:val="28"/>
    </w:rPr>
  </w:style>
  <w:style w:type="character" w:customStyle="1" w:styleId="Underline">
    <w:name w:val="Underline"/>
    <w:basedOn w:val="DefaultParagraphFont"/>
    <w:qFormat/>
    <w:rsid w:val="00DF6D8F"/>
    <w:rPr>
      <w:u w:val="single"/>
    </w:rPr>
  </w:style>
  <w:style w:type="character" w:customStyle="1" w:styleId="BoldandItalics">
    <w:name w:val="Bold and Italics"/>
    <w:qFormat/>
    <w:rsid w:val="00DF6D8F"/>
    <w:rPr>
      <w:b/>
      <w:i/>
      <w:u w:val="none"/>
    </w:rPr>
  </w:style>
  <w:style w:type="paragraph" w:styleId="BalloonText">
    <w:name w:val="Balloon Text"/>
    <w:basedOn w:val="Normal"/>
    <w:link w:val="BalloonTextChar"/>
    <w:rsid w:val="00DF6D8F"/>
    <w:rPr>
      <w:rFonts w:ascii="Tahoma" w:hAnsi="Tahoma" w:cs="Tahoma"/>
      <w:sz w:val="16"/>
      <w:szCs w:val="16"/>
    </w:rPr>
  </w:style>
  <w:style w:type="character" w:customStyle="1" w:styleId="BalloonTextChar">
    <w:name w:val="Balloon Text Char"/>
    <w:basedOn w:val="DefaultParagraphFont"/>
    <w:link w:val="BalloonText"/>
    <w:rsid w:val="00DF6D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D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6D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D8F"/>
    <w:rPr>
      <w:b/>
      <w:color w:val="660033"/>
      <w:spacing w:val="0"/>
    </w:rPr>
  </w:style>
  <w:style w:type="paragraph" w:customStyle="1" w:styleId="Nameditemlist">
    <w:name w:val="Named item list"/>
    <w:basedOn w:val="BodyText"/>
    <w:qFormat/>
    <w:rsid w:val="00DF6D8F"/>
    <w:pPr>
      <w:tabs>
        <w:tab w:val="left" w:pos="2835"/>
      </w:tabs>
      <w:ind w:left="2835" w:hanging="2835"/>
    </w:pPr>
  </w:style>
  <w:style w:type="paragraph" w:customStyle="1" w:styleId="BodyTextnopadding">
    <w:name w:val="Body Text no padding"/>
    <w:basedOn w:val="BodyText"/>
    <w:qFormat/>
    <w:rsid w:val="00DF6D8F"/>
    <w:pPr>
      <w:spacing w:before="0" w:after="0"/>
    </w:pPr>
  </w:style>
  <w:style w:type="paragraph" w:customStyle="1" w:styleId="BodyTextBold">
    <w:name w:val="Body Text Bold"/>
    <w:basedOn w:val="BodyText"/>
    <w:qFormat/>
    <w:rsid w:val="00DF6D8F"/>
    <w:rPr>
      <w:b/>
    </w:rPr>
  </w:style>
  <w:style w:type="character" w:styleId="Hyperlink">
    <w:name w:val="Hyperlink"/>
    <w:basedOn w:val="DefaultParagraphFont"/>
    <w:uiPriority w:val="99"/>
    <w:unhideWhenUsed/>
    <w:rsid w:val="00344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3928</Characters>
  <Application>Microsoft Office Word</Application>
  <DocSecurity>0</DocSecurity>
  <Lines>119</Lines>
  <Paragraphs>76</Paragraphs>
  <ScaleCrop>false</ScaleCrop>
  <Company>Author-it Software Corporation Ltd.</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POLFOR057 Examine forensic scene</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