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03918" w:rsidP="00803918">
      <w:pPr>
        <w:pStyle w:val="Title"/>
      </w:pPr>
      <w:r>
        <w:fldChar w:fldCharType="begin"/>
      </w:r>
      <w:r>
        <w:instrText xml:space="preserve"> TITLE   \* MERGEFORMAT </w:instrText>
      </w:r>
      <w:r>
        <w:fldChar w:fldCharType="separate"/>
      </w:r>
      <w:r>
        <w:t>POLFOR054 Detect, record and collect forensic evidence</w:t>
      </w:r>
      <w:r>
        <w:fldChar w:fldCharType="end"/>
      </w:r>
    </w:p>
    <w:p w:rsidR="00803918" w:rsidP="00803918">
      <w:pPr>
        <w:pStyle w:val="Version"/>
        <w:sectPr w:rsidSect="005A0FC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A0FCF" w:rsidP="005A0FCF">
      <w:pPr>
        <w:pStyle w:val="SuperHeading"/>
      </w:pPr>
      <w:r w:rsidRPr="005A0FCF">
        <w:t>POLFOR054 Detect, record and collect forensic evidence</w:t>
      </w:r>
    </w:p>
    <w:p w:rsidR="00000000" w:rsidRPr="005A0FCF" w:rsidP="005A0FCF">
      <w:pPr>
        <w:pStyle w:val="Heading1"/>
      </w:pPr>
      <w:bookmarkStart w:id="1" w:name="O_1283965"/>
      <w:bookmarkEnd w:id="1"/>
      <w:r w:rsidRPr="005A0FCF">
        <w:t>Modification History</w:t>
      </w:r>
    </w:p>
    <w:tbl>
      <w:tblPr>
        <w:tblW w:w="0" w:type="auto"/>
        <w:tblLayout w:type="fixed"/>
        <w:tblCellMar>
          <w:left w:w="62" w:type="dxa"/>
          <w:right w:w="62" w:type="dxa"/>
        </w:tblCellMar>
        <w:tblLook w:val="0000"/>
      </w:tblPr>
      <w:tblGrid>
        <w:gridCol w:w="1126"/>
        <w:gridCol w:w="7937"/>
      </w:tblGrid>
      <w:tr w:rsidTr="00803918">
        <w:tblPrEx>
          <w:tblW w:w="0" w:type="auto"/>
          <w:tblLayout w:type="fixed"/>
          <w:tblCellMar>
            <w:left w:w="62" w:type="dxa"/>
            <w:right w:w="62" w:type="dxa"/>
          </w:tblCellMar>
          <w:tblLook w:val="0000"/>
        </w:tblPrEx>
        <w:tc>
          <w:tcPr>
            <w:tcW w:w="11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0FCF">
            <w:pPr>
              <w:pStyle w:val="TableHeading"/>
              <w:rPr>
                <w:lang w:val="en-NZ"/>
              </w:rPr>
            </w:pPr>
            <w:r w:rsidRPr="005A0FCF">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0FCF">
            <w:pPr>
              <w:pStyle w:val="TableHeading"/>
              <w:rPr>
                <w:lang w:val="en-NZ"/>
              </w:rPr>
            </w:pPr>
            <w:r w:rsidRPr="005A0FCF">
              <w:t>Comments</w:t>
            </w:r>
          </w:p>
        </w:tc>
      </w:tr>
      <w:tr w:rsidTr="00803918">
        <w:tblPrEx>
          <w:tblW w:w="0" w:type="auto"/>
          <w:tblLayout w:type="fixed"/>
          <w:tblCellMar>
            <w:left w:w="62" w:type="dxa"/>
            <w:right w:w="62" w:type="dxa"/>
          </w:tblCellMar>
          <w:tblLook w:val="0000"/>
        </w:tblPrEx>
        <w:tc>
          <w:tcPr>
            <w:tcW w:w="11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0FCF">
            <w:pPr>
              <w:pStyle w:val="BodyText"/>
              <w:rPr>
                <w:lang w:val="en-NZ"/>
              </w:rPr>
            </w:pPr>
            <w:r w:rsidRPr="005A0FCF">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0FCF" w:rsidP="005A0FCF">
            <w:pPr>
              <w:pStyle w:val="BodyText"/>
            </w:pPr>
            <w:r w:rsidRPr="005A0FCF">
              <w:t>This unit was released in POL Police Training Package release 8.0</w:t>
            </w:r>
          </w:p>
        </w:tc>
      </w:tr>
    </w:tbl>
    <w:p w:rsidR="00000000" w:rsidRPr="005A0FCF" w:rsidP="005A0FCF">
      <w:pPr>
        <w:pStyle w:val="BodyText"/>
      </w:pPr>
    </w:p>
    <w:p w:rsidR="00000000" w:rsidRPr="005A0FCF" w:rsidP="005A0FCF">
      <w:pPr>
        <w:pStyle w:val="AllowPageBreak"/>
      </w:pPr>
    </w:p>
    <w:p w:rsidR="00000000" w:rsidRPr="005A0FCF" w:rsidP="005A0FCF">
      <w:pPr>
        <w:pStyle w:val="Heading1"/>
      </w:pPr>
      <w:bookmarkStart w:id="2" w:name="O_1283966"/>
      <w:bookmarkEnd w:id="2"/>
      <w:r w:rsidRPr="005A0FCF">
        <w:t>Application</w:t>
      </w:r>
    </w:p>
    <w:p w:rsidR="00000000" w:rsidRPr="005A0FCF" w:rsidP="00803918">
      <w:pPr>
        <w:pStyle w:val="BodyText"/>
      </w:pPr>
      <w:r w:rsidRPr="005A0FCF">
        <w:t xml:space="preserve">This unit describes the skills required to detect, record and collect forensic evidence in order </w:t>
      </w:r>
      <w:r w:rsidRPr="005A0FCF">
        <w:t>to maximise the potential evidentiary value of exhibits. This may be applied in the field at incident/crime scenes or in a laboratory. It  applies to police personnel and forensic staff involved in forensic investigation. The skills and knowledge described</w:t>
      </w:r>
      <w:r w:rsidRPr="005A0FCF">
        <w:t xml:space="preserve"> in this unit must be applied within the legislative, regulatory, and policy environment in which they are conducted. Jurisdictional policies and procedures must be consulted and adhered to, particularly those related to workplace health and safety. canida</w:t>
      </w:r>
      <w:r w:rsidRPr="005A0FCF">
        <w:t xml:space="preserve">tes undertaking this role would work autonomously while retaining the responsibility to report to senior staff. They would demonstrate adaptability across a broad range of contexts while performing a variety of tasks.   </w:t>
      </w:r>
    </w:p>
    <w:p w:rsidR="00803918" w:rsidP="00803918">
      <w:pPr>
        <w:pStyle w:val="BodyText"/>
      </w:pPr>
      <w:r w:rsidRPr="005A0FCF">
        <w:t>No licensing, legislative, or certi</w:t>
      </w:r>
      <w:r w:rsidRPr="005A0FCF">
        <w:t>fication requirements apply to unit at the time of publication.</w:t>
      </w:r>
    </w:p>
    <w:p w:rsidR="00000000" w:rsidRPr="005A0FCF" w:rsidP="005A0FCF">
      <w:pPr>
        <w:pStyle w:val="Heading1"/>
      </w:pPr>
      <w:bookmarkStart w:id="3" w:name="O_1283967"/>
      <w:bookmarkEnd w:id="3"/>
      <w:r w:rsidRPr="005A0FCF">
        <w:t>Pre-requisite Unit</w:t>
      </w:r>
    </w:p>
    <w:p w:rsidR="00000000" w:rsidRPr="005A0FCF" w:rsidP="00803918">
      <w:pPr>
        <w:pStyle w:val="BodyText"/>
      </w:pPr>
      <w:r w:rsidRPr="005A0FCF">
        <w:t>Not applicable</w:t>
      </w:r>
    </w:p>
    <w:p w:rsidR="00000000" w:rsidRPr="005A0FCF" w:rsidP="005A0FCF">
      <w:pPr>
        <w:pStyle w:val="Heading1"/>
      </w:pPr>
      <w:bookmarkStart w:id="4" w:name="O_1283968"/>
      <w:bookmarkEnd w:id="4"/>
      <w:r w:rsidRPr="005A0FCF">
        <w:t>Competency Field</w:t>
      </w:r>
    </w:p>
    <w:p w:rsidR="00000000" w:rsidRPr="005A0FCF" w:rsidP="00803918">
      <w:pPr>
        <w:pStyle w:val="BodyText"/>
      </w:pPr>
      <w:r w:rsidRPr="005A0FCF">
        <w:t>Not applicable</w:t>
      </w:r>
    </w:p>
    <w:p w:rsidR="00000000" w:rsidRPr="005A0FCF" w:rsidP="005A0FCF">
      <w:pPr>
        <w:pStyle w:val="Heading1"/>
      </w:pPr>
      <w:bookmarkStart w:id="5" w:name="O_1283969"/>
      <w:bookmarkEnd w:id="5"/>
      <w:r w:rsidRPr="005A0FCF">
        <w:t>Unit Sector</w:t>
      </w:r>
    </w:p>
    <w:p w:rsidR="00000000" w:rsidRPr="005A0FCF" w:rsidP="00803918">
      <w:pPr>
        <w:pStyle w:val="BodyText"/>
      </w:pPr>
      <w:r w:rsidRPr="005A0FCF">
        <w:t>Not applicable</w:t>
      </w:r>
    </w:p>
    <w:p w:rsidR="00000000" w:rsidRPr="005A0FCF" w:rsidP="005A0FCF">
      <w:pPr>
        <w:pStyle w:val="Heading1"/>
      </w:pPr>
      <w:bookmarkStart w:id="6" w:name="O_1283970"/>
      <w:bookmarkEnd w:id="6"/>
      <w:r w:rsidRPr="005A0FCF">
        <w:t>Elements and Performance Criteria</w:t>
      </w:r>
    </w:p>
    <w:tbl>
      <w:tblPr>
        <w:tblW w:w="9214" w:type="dxa"/>
        <w:tblLayout w:type="fixed"/>
        <w:tblCellMar>
          <w:left w:w="62" w:type="dxa"/>
          <w:right w:w="62" w:type="dxa"/>
        </w:tblCellMar>
        <w:tblLook w:val="0000"/>
      </w:tblPr>
      <w:tblGrid>
        <w:gridCol w:w="2508"/>
        <w:gridCol w:w="6706"/>
      </w:tblGrid>
      <w:tr w:rsidTr="00803918">
        <w:tblPrEx>
          <w:tblW w:w="9214" w:type="dxa"/>
          <w:tblLayout w:type="fixed"/>
          <w:tblCellMar>
            <w:left w:w="62" w:type="dxa"/>
            <w:right w:w="62" w:type="dxa"/>
          </w:tblCellMar>
          <w:tblLook w:val="0000"/>
        </w:tblPrEx>
        <w:trPr>
          <w:trHeight w:val="214"/>
        </w:trPr>
        <w:tc>
          <w:tcPr>
            <w:tcW w:w="2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0FCF">
            <w:pPr>
              <w:pStyle w:val="TableHeading"/>
              <w:rPr>
                <w:lang w:val="en-NZ"/>
              </w:rPr>
            </w:pPr>
            <w:r w:rsidRPr="005A0FCF">
              <w:t>ELEMENTS</w:t>
            </w:r>
          </w:p>
        </w:tc>
        <w:tc>
          <w:tcPr>
            <w:tcW w:w="67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0FCF">
            <w:pPr>
              <w:pStyle w:val="TableHeading"/>
              <w:rPr>
                <w:lang w:val="en-NZ"/>
              </w:rPr>
            </w:pPr>
            <w:r w:rsidRPr="005A0FCF">
              <w:t>PERFORMANCE CRITERIA</w:t>
            </w:r>
          </w:p>
        </w:tc>
      </w:tr>
      <w:tr w:rsidTr="00803918">
        <w:tblPrEx>
          <w:tblW w:w="9214" w:type="dxa"/>
          <w:tblLayout w:type="fixed"/>
          <w:tblCellMar>
            <w:left w:w="62" w:type="dxa"/>
            <w:right w:w="62" w:type="dxa"/>
          </w:tblCellMar>
          <w:tblLook w:val="0000"/>
        </w:tblPrEx>
        <w:trPr>
          <w:trHeight w:val="228"/>
        </w:trPr>
        <w:tc>
          <w:tcPr>
            <w:tcW w:w="2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0FCF">
            <w:pPr>
              <w:pStyle w:val="BodyText"/>
              <w:rPr>
                <w:lang w:val="en-NZ"/>
              </w:rPr>
            </w:pPr>
            <w:r w:rsidRPr="005A0FCF">
              <w:t xml:space="preserve">Elements describe the essential outcomes of the unit </w:t>
            </w:r>
          </w:p>
        </w:tc>
        <w:tc>
          <w:tcPr>
            <w:tcW w:w="67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0FCF">
            <w:pPr>
              <w:pStyle w:val="BodyText"/>
              <w:rPr>
                <w:lang w:val="en-NZ"/>
              </w:rPr>
            </w:pPr>
            <w:r w:rsidRPr="005A0FCF">
              <w:t xml:space="preserve">Performance criteria describe the performance needed to demonstrate achievement of the element. </w:t>
            </w:r>
          </w:p>
        </w:tc>
      </w:tr>
      <w:tr w:rsidTr="00803918">
        <w:tblPrEx>
          <w:tblW w:w="9214" w:type="dxa"/>
          <w:tblLayout w:type="fixed"/>
          <w:tblCellMar>
            <w:left w:w="62" w:type="dxa"/>
            <w:right w:w="62" w:type="dxa"/>
          </w:tblCellMar>
          <w:tblLook w:val="0000"/>
        </w:tblPrEx>
        <w:trPr>
          <w:trHeight w:val="618"/>
        </w:trPr>
        <w:tc>
          <w:tcPr>
            <w:tcW w:w="2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0FCF" w:rsidP="005A0FCF">
            <w:pPr>
              <w:pStyle w:val="List"/>
            </w:pPr>
            <w:r w:rsidRPr="005A0FCF">
              <w:t>1.</w:t>
            </w:r>
            <w:r w:rsidRPr="005A0FCF">
              <w:tab/>
              <w:t>Detect and assess evidence</w:t>
            </w:r>
            <w:r w:rsidRPr="005A0FCF">
              <w:tab/>
            </w:r>
          </w:p>
          <w:p w:rsidR="00000000">
            <w:pPr>
              <w:pStyle w:val="List"/>
              <w:keepLines w:val="0"/>
              <w:ind w:left="360" w:hanging="360"/>
              <w:rPr>
                <w:rFonts w:ascii="Tahoma" w:hAnsi="Tahoma"/>
                <w:sz w:val="20"/>
                <w:lang w:val="en-NZ"/>
              </w:rPr>
            </w:pPr>
          </w:p>
        </w:tc>
        <w:tc>
          <w:tcPr>
            <w:tcW w:w="67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0FCF" w:rsidP="005A0FCF">
            <w:pPr>
              <w:pStyle w:val="List"/>
            </w:pPr>
            <w:r w:rsidRPr="005A0FCF">
              <w:t>1.1</w:t>
            </w:r>
            <w:r w:rsidRPr="005A0FCF">
              <w:tab/>
            </w:r>
            <w:r w:rsidRPr="005A0FCF">
              <w:t>Apply search methods to detect evidence.</w:t>
            </w:r>
          </w:p>
          <w:p w:rsidR="00000000" w:rsidRPr="005A0FCF" w:rsidP="005A0FCF">
            <w:pPr>
              <w:pStyle w:val="List"/>
            </w:pPr>
            <w:r w:rsidRPr="005A0FCF">
              <w:t>1.2</w:t>
            </w:r>
            <w:r w:rsidRPr="005A0FCF">
              <w:tab/>
              <w:t xml:space="preserve">Assess evidence to determine suitability for recording and collection. </w:t>
            </w:r>
          </w:p>
          <w:p w:rsidR="00000000" w:rsidRPr="005A0FCF" w:rsidP="005A0FCF">
            <w:pPr>
              <w:pStyle w:val="List"/>
            </w:pPr>
            <w:r w:rsidRPr="005A0FCF">
              <w:t>1.3</w:t>
            </w:r>
            <w:r w:rsidRPr="005A0FCF">
              <w:tab/>
              <w:t xml:space="preserve">Assess evidence to determine the potential for contamination or loss. </w:t>
            </w:r>
          </w:p>
          <w:p w:rsidR="00000000" w:rsidRPr="005A0FCF" w:rsidP="005A0FCF">
            <w:pPr>
              <w:pStyle w:val="List"/>
            </w:pPr>
            <w:r w:rsidRPr="005A0FCF">
              <w:t>1.4</w:t>
            </w:r>
            <w:r w:rsidRPr="005A0FCF">
              <w:tab/>
              <w:t xml:space="preserve">Use presumptive or confirmatory testing to inform recording </w:t>
            </w:r>
            <w:r w:rsidRPr="005A0FCF">
              <w:t xml:space="preserve">and collection. </w:t>
            </w:r>
          </w:p>
          <w:p w:rsidR="00000000" w:rsidRPr="005A0FCF" w:rsidP="005A0FCF">
            <w:pPr>
              <w:pStyle w:val="List"/>
            </w:pPr>
            <w:r w:rsidRPr="005A0FCF">
              <w:t>1.5</w:t>
            </w:r>
            <w:r w:rsidRPr="005A0FCF">
              <w:tab/>
              <w:t xml:space="preserve">Determine legislative authority for examination. </w:t>
            </w:r>
          </w:p>
          <w:p w:rsidR="00000000" w:rsidP="005A0FCF">
            <w:pPr>
              <w:pStyle w:val="List"/>
              <w:rPr>
                <w:lang w:val="en-NZ"/>
              </w:rPr>
            </w:pPr>
            <w:r w:rsidRPr="005A0FCF">
              <w:t>1.6</w:t>
            </w:r>
            <w:r w:rsidRPr="005A0FCF">
              <w:tab/>
              <w:t>Preserve evidence to minimise contamination or loss.</w:t>
            </w:r>
          </w:p>
        </w:tc>
      </w:tr>
      <w:tr w:rsidTr="00803918">
        <w:tblPrEx>
          <w:tblW w:w="9214" w:type="dxa"/>
          <w:tblLayout w:type="fixed"/>
          <w:tblCellMar>
            <w:left w:w="62" w:type="dxa"/>
            <w:right w:w="62" w:type="dxa"/>
          </w:tblCellMar>
          <w:tblLook w:val="0000"/>
        </w:tblPrEx>
        <w:trPr>
          <w:trHeight w:val="618"/>
        </w:trPr>
        <w:tc>
          <w:tcPr>
            <w:tcW w:w="2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0FCF">
            <w:pPr>
              <w:pStyle w:val="List"/>
              <w:rPr>
                <w:lang w:val="en-NZ"/>
              </w:rPr>
            </w:pPr>
            <w:r w:rsidRPr="005A0FCF">
              <w:t>2.</w:t>
            </w:r>
            <w:r w:rsidRPr="005A0FCF">
              <w:tab/>
              <w:t>Record evidence</w:t>
            </w:r>
          </w:p>
        </w:tc>
        <w:tc>
          <w:tcPr>
            <w:tcW w:w="67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0FCF" w:rsidP="005A0FCF">
            <w:pPr>
              <w:pStyle w:val="List"/>
            </w:pPr>
            <w:r w:rsidRPr="005A0FCF">
              <w:t>2.1</w:t>
            </w:r>
            <w:r w:rsidRPr="005A0FCF">
              <w:tab/>
              <w:t xml:space="preserve">Assess evidence to determine recording requirements. </w:t>
            </w:r>
          </w:p>
          <w:p w:rsidR="00000000" w:rsidRPr="005A0FCF" w:rsidP="005A0FCF">
            <w:pPr>
              <w:pStyle w:val="List"/>
            </w:pPr>
            <w:r w:rsidRPr="005A0FCF">
              <w:t>2.2</w:t>
            </w:r>
            <w:r w:rsidRPr="005A0FCF">
              <w:tab/>
              <w:t xml:space="preserve">Create notes to document evidence details. </w:t>
            </w:r>
          </w:p>
          <w:p w:rsidR="00000000" w:rsidRPr="005A0FCF" w:rsidP="005A0FCF">
            <w:pPr>
              <w:pStyle w:val="List"/>
            </w:pPr>
            <w:r w:rsidRPr="005A0FCF">
              <w:t>2.</w:t>
            </w:r>
            <w:r w:rsidRPr="005A0FCF">
              <w:t>3</w:t>
            </w:r>
            <w:r w:rsidRPr="005A0FCF">
              <w:tab/>
              <w:t xml:space="preserve">Sketch evidence to visually represent evidence details. </w:t>
            </w:r>
          </w:p>
          <w:p w:rsidR="00000000" w:rsidRPr="005A0FCF" w:rsidP="005A0FCF">
            <w:pPr>
              <w:pStyle w:val="List"/>
            </w:pPr>
            <w:r w:rsidRPr="005A0FCF">
              <w:t>2.4</w:t>
            </w:r>
            <w:r w:rsidRPr="005A0FCF">
              <w:tab/>
              <w:t xml:space="preserve">Digitally record evidence to capture evidence details. </w:t>
            </w:r>
          </w:p>
          <w:p w:rsidR="00000000" w:rsidRPr="005A0FCF" w:rsidP="005A0FCF">
            <w:pPr>
              <w:pStyle w:val="List"/>
            </w:pPr>
            <w:r w:rsidRPr="005A0FCF">
              <w:t>2.5</w:t>
            </w:r>
            <w:r w:rsidRPr="005A0FCF">
              <w:tab/>
              <w:t xml:space="preserve">Apply enhancement techniques to assist in recording evidence. </w:t>
            </w:r>
          </w:p>
          <w:p w:rsidR="00000000" w:rsidRPr="005A0FCF" w:rsidP="005A0FCF">
            <w:pPr>
              <w:pStyle w:val="List"/>
            </w:pPr>
            <w:r w:rsidRPr="005A0FCF">
              <w:t>2.6</w:t>
            </w:r>
            <w:r w:rsidRPr="005A0FCF">
              <w:tab/>
              <w:t xml:space="preserve">Use markers and scales to indicate location and size of evidence. </w:t>
            </w:r>
          </w:p>
          <w:p w:rsidR="00000000" w:rsidP="005A0FCF">
            <w:pPr>
              <w:pStyle w:val="List"/>
              <w:rPr>
                <w:lang w:val="en-NZ"/>
              </w:rPr>
            </w:pPr>
            <w:r w:rsidRPr="005A0FCF">
              <w:t>2.7</w:t>
            </w:r>
            <w:r w:rsidRPr="005A0FCF">
              <w:tab/>
              <w:t>Review recordings to ensure conformity with quality and recording requirements.</w:t>
            </w:r>
          </w:p>
        </w:tc>
      </w:tr>
      <w:tr w:rsidTr="00803918">
        <w:tblPrEx>
          <w:tblW w:w="9214" w:type="dxa"/>
          <w:tblLayout w:type="fixed"/>
          <w:tblCellMar>
            <w:left w:w="62" w:type="dxa"/>
            <w:right w:w="62" w:type="dxa"/>
          </w:tblCellMar>
          <w:tblLook w:val="0000"/>
        </w:tblPrEx>
        <w:trPr>
          <w:trHeight w:val="618"/>
        </w:trPr>
        <w:tc>
          <w:tcPr>
            <w:tcW w:w="2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0FCF">
            <w:pPr>
              <w:pStyle w:val="List"/>
              <w:rPr>
                <w:lang w:val="en-NZ"/>
              </w:rPr>
            </w:pPr>
            <w:r w:rsidRPr="005A0FCF">
              <w:t>3.</w:t>
            </w:r>
            <w:r w:rsidRPr="005A0FCF">
              <w:tab/>
              <w:t>Collect evidence</w:t>
            </w:r>
          </w:p>
        </w:tc>
        <w:tc>
          <w:tcPr>
            <w:tcW w:w="67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0FCF" w:rsidP="005A0FCF">
            <w:pPr>
              <w:pStyle w:val="List"/>
            </w:pPr>
            <w:r w:rsidRPr="005A0FCF">
              <w:t>3.1</w:t>
            </w:r>
            <w:r w:rsidRPr="005A0FCF">
              <w:tab/>
              <w:t xml:space="preserve"> Use swabs to collect evidence. </w:t>
            </w:r>
          </w:p>
          <w:p w:rsidR="00000000" w:rsidRPr="005A0FCF" w:rsidP="005A0FCF">
            <w:pPr>
              <w:pStyle w:val="List"/>
            </w:pPr>
            <w:r w:rsidRPr="005A0FCF">
              <w:t>3.2</w:t>
            </w:r>
            <w:r w:rsidRPr="005A0FCF">
              <w:tab/>
              <w:t xml:space="preserve"> Apply lifting techniques to collect evidence. </w:t>
            </w:r>
          </w:p>
          <w:p w:rsidR="00000000" w:rsidRPr="005A0FCF" w:rsidP="005A0FCF">
            <w:pPr>
              <w:pStyle w:val="List"/>
            </w:pPr>
            <w:r w:rsidRPr="005A0FCF">
              <w:t>3.3</w:t>
            </w:r>
            <w:r w:rsidRPr="005A0FCF">
              <w:tab/>
              <w:t xml:space="preserve">Apply casting techniques to collect evidence. </w:t>
            </w:r>
          </w:p>
          <w:p w:rsidR="00000000" w:rsidRPr="005A0FCF" w:rsidP="005A0FCF">
            <w:pPr>
              <w:pStyle w:val="List"/>
            </w:pPr>
            <w:r w:rsidRPr="005A0FCF">
              <w:t>3.4</w:t>
            </w:r>
            <w:r w:rsidRPr="005A0FCF">
              <w:tab/>
              <w:t>Collec</w:t>
            </w:r>
            <w:r w:rsidRPr="005A0FCF">
              <w:t xml:space="preserve">t evidence using handpicking techniques. </w:t>
            </w:r>
          </w:p>
          <w:p w:rsidR="00000000" w:rsidP="005A0FCF">
            <w:pPr>
              <w:pStyle w:val="List"/>
              <w:rPr>
                <w:lang w:val="en-NZ"/>
              </w:rPr>
            </w:pPr>
            <w:r w:rsidRPr="005A0FCF">
              <w:t>3.5</w:t>
            </w:r>
            <w:r w:rsidRPr="005A0FCF">
              <w:tab/>
              <w:t>Collect reference samples to allow for comparison.</w:t>
            </w:r>
          </w:p>
        </w:tc>
      </w:tr>
      <w:tr w:rsidTr="00803918">
        <w:tblPrEx>
          <w:tblW w:w="9214" w:type="dxa"/>
          <w:tblLayout w:type="fixed"/>
          <w:tblCellMar>
            <w:left w:w="62" w:type="dxa"/>
            <w:right w:w="62" w:type="dxa"/>
          </w:tblCellMar>
          <w:tblLook w:val="0000"/>
        </w:tblPrEx>
        <w:trPr>
          <w:trHeight w:val="618"/>
        </w:trPr>
        <w:tc>
          <w:tcPr>
            <w:tcW w:w="2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0FCF">
            <w:pPr>
              <w:pStyle w:val="List"/>
              <w:rPr>
                <w:lang w:val="en-NZ"/>
              </w:rPr>
            </w:pPr>
            <w:r w:rsidRPr="005A0FCF">
              <w:t>4.</w:t>
            </w:r>
            <w:r w:rsidRPr="005A0FCF">
              <w:tab/>
              <w:t>Package evidence</w:t>
            </w:r>
          </w:p>
        </w:tc>
        <w:tc>
          <w:tcPr>
            <w:tcW w:w="67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0FCF" w:rsidP="005A0FCF">
            <w:pPr>
              <w:pStyle w:val="List"/>
            </w:pPr>
            <w:r w:rsidRPr="005A0FCF">
              <w:t>4.1</w:t>
            </w:r>
            <w:r w:rsidRPr="005A0FCF">
              <w:tab/>
              <w:t xml:space="preserve">Assess evidence to identify packaging requirements. </w:t>
            </w:r>
          </w:p>
          <w:p w:rsidR="00000000" w:rsidRPr="005A0FCF" w:rsidP="005A0FCF">
            <w:pPr>
              <w:pStyle w:val="List"/>
            </w:pPr>
            <w:r w:rsidRPr="005A0FCF">
              <w:t>4.2</w:t>
            </w:r>
            <w:r w:rsidRPr="005A0FCF">
              <w:tab/>
              <w:t xml:space="preserve">Package evidence to minimise contamination, loss and risk. </w:t>
            </w:r>
          </w:p>
          <w:p w:rsidR="00000000" w:rsidRPr="005A0FCF" w:rsidP="005A0FCF">
            <w:pPr>
              <w:pStyle w:val="List"/>
            </w:pPr>
            <w:r w:rsidRPr="005A0FCF">
              <w:t>4.3</w:t>
            </w:r>
            <w:r w:rsidRPr="005A0FCF">
              <w:tab/>
            </w:r>
            <w:r w:rsidRPr="005A0FCF">
              <w:t xml:space="preserve">Label packaging to maintain continuity. </w:t>
            </w:r>
          </w:p>
          <w:p w:rsidR="00000000" w:rsidRPr="005A0FCF" w:rsidP="005A0FCF">
            <w:pPr>
              <w:pStyle w:val="List"/>
            </w:pPr>
            <w:r w:rsidRPr="005A0FCF">
              <w:t>4.4</w:t>
            </w:r>
            <w:r w:rsidRPr="005A0FCF">
              <w:tab/>
              <w:t xml:space="preserve">Seal packaging to maintain integrity. </w:t>
            </w:r>
          </w:p>
          <w:p w:rsidR="00000000" w:rsidRPr="005A0FCF" w:rsidP="005A0FCF">
            <w:pPr>
              <w:pStyle w:val="List"/>
            </w:pPr>
            <w:r w:rsidRPr="005A0FCF">
              <w:t>4.5</w:t>
            </w:r>
            <w:r w:rsidRPr="005A0FCF">
              <w:tab/>
              <w:t xml:space="preserve">Store packaged evidence to maintain continuity and integrity. </w:t>
            </w:r>
          </w:p>
          <w:p w:rsidR="00000000" w:rsidRPr="005A0FCF" w:rsidP="005A0FCF">
            <w:pPr>
              <w:pStyle w:val="List"/>
            </w:pPr>
            <w:r w:rsidRPr="005A0FCF">
              <w:t>4.6</w:t>
            </w:r>
            <w:r w:rsidRPr="005A0FCF">
              <w:tab/>
              <w:t xml:space="preserve">Document evidence details and movements to record continuity. </w:t>
            </w:r>
          </w:p>
        </w:tc>
      </w:tr>
    </w:tbl>
    <w:p w:rsidR="00000000" w:rsidRPr="005A0FCF" w:rsidP="005A0FCF">
      <w:pPr>
        <w:pStyle w:val="List"/>
      </w:pPr>
    </w:p>
    <w:p w:rsidR="00000000" w:rsidRPr="005A0FCF" w:rsidP="005A0FCF">
      <w:pPr>
        <w:pStyle w:val="AllowPageBreak"/>
      </w:pPr>
    </w:p>
    <w:p w:rsidR="00000000" w:rsidRPr="005A0FCF" w:rsidP="005A0FCF">
      <w:pPr>
        <w:pStyle w:val="Heading1"/>
      </w:pPr>
      <w:bookmarkStart w:id="7" w:name="O_1283971"/>
      <w:bookmarkEnd w:id="7"/>
      <w:r w:rsidRPr="005A0FCF">
        <w:t>Foundation Skills</w:t>
      </w:r>
    </w:p>
    <w:p w:rsidR="00000000" w:rsidRPr="005A0FCF" w:rsidP="00803918">
      <w:pPr>
        <w:pStyle w:val="BodyText"/>
      </w:pPr>
      <w:r w:rsidRPr="005A0FCF">
        <w:t>This section describes those language, literacy, numeracy and employment skills that are essential to performance. Foundation skills essential to performance in this unit, but not explicit in the performance criteria are listed in the table below.</w:t>
      </w:r>
    </w:p>
    <w:p w:rsidR="00000000" w:rsidRPr="005A0FCF" w:rsidP="00803918">
      <w:pPr>
        <w:pStyle w:val="BodyText"/>
      </w:pPr>
      <w:r w:rsidRPr="005A0FCF">
        <w:t>The ability to interpret messages and text, record observations and evidence, communicate with purpose to different communities and audiences, plan and schedule tasks according to estimated timeframes, continuously seek to learn through on-the-job observat</w:t>
      </w:r>
      <w:r w:rsidRPr="005A0FCF">
        <w:t>ions, solve problems, work with others in a team, plan and organise activities and self-manage behaviour are core foundation skills relevant to the policing context.</w:t>
      </w:r>
    </w:p>
    <w:tbl>
      <w:tblPr>
        <w:tblW w:w="0" w:type="auto"/>
        <w:tblLayout w:type="fixed"/>
        <w:tblCellMar>
          <w:left w:w="62" w:type="dxa"/>
          <w:right w:w="62" w:type="dxa"/>
        </w:tblCellMar>
        <w:tblLook w:val="0000"/>
      </w:tblPr>
      <w:tblGrid>
        <w:gridCol w:w="2291"/>
        <w:gridCol w:w="6656"/>
      </w:tblGrid>
      <w:tr w:rsidTr="005A0FCF">
        <w:tblPrEx>
          <w:tblW w:w="0" w:type="auto"/>
          <w:tblLayout w:type="fixed"/>
          <w:tblCellMar>
            <w:left w:w="62" w:type="dxa"/>
            <w:right w:w="62" w:type="dxa"/>
          </w:tblCellMar>
          <w:tblLook w:val="0000"/>
        </w:tblPrEx>
        <w:trPr>
          <w:trHeight w:val="501"/>
        </w:trPr>
        <w:tc>
          <w:tcPr>
            <w:tcW w:w="2291"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RPr="005A0FCF" w:rsidP="005A0FCF">
            <w:pPr>
              <w:pStyle w:val="BodyText"/>
            </w:pPr>
            <w:r w:rsidRPr="005A0FCF">
              <w:rPr>
                <w:rStyle w:val="SpecialBold"/>
              </w:rPr>
              <w:t>Skill</w:t>
            </w:r>
          </w:p>
        </w:tc>
        <w:tc>
          <w:tcPr>
            <w:tcW w:w="6656"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P="005A0FCF">
            <w:pPr>
              <w:pStyle w:val="BodyText"/>
              <w:rPr>
                <w:lang w:val="en-NZ"/>
              </w:rPr>
            </w:pPr>
            <w:r w:rsidRPr="005A0FCF">
              <w:rPr>
                <w:rStyle w:val="SpecialBold"/>
              </w:rPr>
              <w:t>Description</w:t>
            </w:r>
          </w:p>
        </w:tc>
      </w:tr>
      <w:tr w:rsidTr="005A0FCF">
        <w:tblPrEx>
          <w:tblW w:w="0" w:type="auto"/>
          <w:tblLayout w:type="fixed"/>
          <w:tblCellMar>
            <w:left w:w="62" w:type="dxa"/>
            <w:right w:w="62" w:type="dxa"/>
          </w:tblCellMar>
          <w:tblLook w:val="0000"/>
        </w:tblPrEx>
        <w:trPr>
          <w:trHeight w:val="820"/>
        </w:trPr>
        <w:tc>
          <w:tcPr>
            <w:tcW w:w="2291"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P="005A0FCF">
            <w:pPr>
              <w:pStyle w:val="BodyText"/>
              <w:rPr>
                <w:lang w:val="en-NZ"/>
              </w:rPr>
            </w:pPr>
            <w:r w:rsidRPr="005A0FCF">
              <w:rPr>
                <w:rStyle w:val="SpecialBold"/>
              </w:rPr>
              <w:t>Learning</w:t>
            </w:r>
          </w:p>
        </w:tc>
        <w:tc>
          <w:tcPr>
            <w:tcW w:w="6656"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P="005A0FCF">
            <w:pPr>
              <w:pStyle w:val="BodyText"/>
              <w:rPr>
                <w:lang w:val="en-NZ"/>
              </w:rPr>
            </w:pPr>
            <w:r w:rsidRPr="005A0FCF">
              <w:t>Read and apply laws, policies and procedures pertaining to pro</w:t>
            </w:r>
            <w:r w:rsidRPr="005A0FCF">
              <w:t>viding for, processing and escorting persons in care or custody.</w:t>
            </w:r>
          </w:p>
        </w:tc>
      </w:tr>
      <w:tr w:rsidTr="005A0FCF">
        <w:tblPrEx>
          <w:tblW w:w="0" w:type="auto"/>
          <w:tblLayout w:type="fixed"/>
          <w:tblCellMar>
            <w:left w:w="62" w:type="dxa"/>
            <w:right w:w="62" w:type="dxa"/>
          </w:tblCellMar>
          <w:tblLook w:val="0000"/>
        </w:tblPrEx>
        <w:trPr>
          <w:trHeight w:val="820"/>
        </w:trPr>
        <w:tc>
          <w:tcPr>
            <w:tcW w:w="2291"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P="005A0FCF">
            <w:pPr>
              <w:pStyle w:val="BodyText"/>
              <w:rPr>
                <w:lang w:val="en-NZ"/>
              </w:rPr>
            </w:pPr>
            <w:r w:rsidRPr="005A0FCF">
              <w:rPr>
                <w:rStyle w:val="SpecialBold"/>
              </w:rPr>
              <w:t>Reading</w:t>
            </w:r>
          </w:p>
        </w:tc>
        <w:tc>
          <w:tcPr>
            <w:tcW w:w="6656"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RPr="005A0FCF" w:rsidP="005A0FCF">
            <w:pPr>
              <w:pStyle w:val="BodyText"/>
            </w:pPr>
            <w:r w:rsidRPr="005A0FCF">
              <w:t>Read and comply with jurisdictional policies and procedures related to forensic examination, WHS, quality systems, exhibit handling and intimate samples and authorisations.</w:t>
            </w:r>
          </w:p>
          <w:p w:rsidR="00000000" w:rsidP="005A0FCF">
            <w:pPr>
              <w:pStyle w:val="BodyText"/>
              <w:rPr>
                <w:lang w:val="en-NZ"/>
              </w:rPr>
            </w:pPr>
            <w:r w:rsidRPr="005A0FCF">
              <w:t xml:space="preserve">Read and </w:t>
            </w:r>
            <w:r w:rsidRPr="005A0FCF">
              <w:t>assess forensic written evidence to identify potential contamination or loss.</w:t>
            </w:r>
          </w:p>
        </w:tc>
      </w:tr>
      <w:tr w:rsidTr="005A0FCF">
        <w:tblPrEx>
          <w:tblW w:w="0" w:type="auto"/>
          <w:tblLayout w:type="fixed"/>
          <w:tblCellMar>
            <w:left w:w="62" w:type="dxa"/>
            <w:right w:w="62" w:type="dxa"/>
          </w:tblCellMar>
          <w:tblLook w:val="0000"/>
        </w:tblPrEx>
        <w:trPr>
          <w:trHeight w:val="820"/>
        </w:trPr>
        <w:tc>
          <w:tcPr>
            <w:tcW w:w="2291"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P="005A0FCF">
            <w:pPr>
              <w:pStyle w:val="BodyText"/>
              <w:rPr>
                <w:lang w:val="en-NZ"/>
              </w:rPr>
            </w:pPr>
            <w:r w:rsidRPr="005A0FCF">
              <w:rPr>
                <w:rStyle w:val="SpecialBold"/>
              </w:rPr>
              <w:t>Writing</w:t>
            </w:r>
          </w:p>
        </w:tc>
        <w:tc>
          <w:tcPr>
            <w:tcW w:w="6656"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RPr="005A0FCF" w:rsidP="005A0FCF">
            <w:pPr>
              <w:pStyle w:val="BodyText"/>
            </w:pPr>
            <w:r w:rsidRPr="005A0FCF">
              <w:t>Label, record and package evidence in accordance with evidence type.</w:t>
            </w:r>
          </w:p>
          <w:p w:rsidR="00000000" w:rsidRPr="005A0FCF" w:rsidP="005A0FCF">
            <w:pPr>
              <w:pStyle w:val="BodyText"/>
            </w:pPr>
            <w:r w:rsidRPr="005A0FCF">
              <w:t>Record data of forensic evidence using jurisdictional information management systems.</w:t>
            </w:r>
          </w:p>
        </w:tc>
      </w:tr>
    </w:tbl>
    <w:p w:rsidR="00000000" w:rsidRPr="005A0FCF" w:rsidP="005A0FCF">
      <w:pPr>
        <w:pStyle w:val="BodyText"/>
      </w:pPr>
    </w:p>
    <w:p w:rsidR="00000000" w:rsidRPr="005A0FCF" w:rsidP="005A0FCF">
      <w:pPr>
        <w:pStyle w:val="AllowPageBreak"/>
      </w:pPr>
    </w:p>
    <w:p w:rsidR="00000000" w:rsidRPr="005A0FCF" w:rsidP="005A0FCF">
      <w:pPr>
        <w:pStyle w:val="Heading1"/>
      </w:pPr>
      <w:bookmarkStart w:id="8" w:name="O_1283972"/>
      <w:bookmarkEnd w:id="8"/>
      <w:r w:rsidRPr="005A0FCF">
        <w:t>Range of Conditions</w:t>
      </w:r>
    </w:p>
    <w:p w:rsidR="00000000" w:rsidRPr="005A0FCF" w:rsidP="00803918">
      <w:pPr>
        <w:pStyle w:val="BodyText"/>
      </w:pPr>
      <w:r w:rsidRPr="005A0FCF">
        <w:t>Not applicable</w:t>
      </w:r>
    </w:p>
    <w:p w:rsidR="00000000" w:rsidRPr="005A0FCF" w:rsidP="005A0FCF">
      <w:pPr>
        <w:pStyle w:val="Heading1"/>
      </w:pPr>
      <w:bookmarkStart w:id="9" w:name="O_1283973"/>
      <w:bookmarkEnd w:id="9"/>
      <w:r w:rsidRPr="005A0FCF">
        <w:t>Unit Mapping Information</w:t>
      </w:r>
    </w:p>
    <w:p w:rsidR="00000000" w:rsidRPr="005A0FCF" w:rsidP="00803918">
      <w:pPr>
        <w:pStyle w:val="BodyText"/>
      </w:pPr>
      <w:r w:rsidRPr="005A0FCF">
        <w:t xml:space="preserve">This is unit replaces but is not equivalent to </w:t>
      </w:r>
      <w:r w:rsidRPr="005A0FCF">
        <w:rPr>
          <w:rStyle w:val="Emphasis"/>
        </w:rPr>
        <w:t>POLFOR024 Detect, record and collect forensic evidence</w:t>
      </w:r>
      <w:r w:rsidRPr="005A0FCF">
        <w:t>.</w:t>
      </w:r>
    </w:p>
    <w:p w:rsidR="00000000" w:rsidRPr="005A0FCF" w:rsidP="005A0FCF">
      <w:pPr>
        <w:pStyle w:val="Heading1"/>
      </w:pPr>
      <w:bookmarkStart w:id="10" w:name="O_1283980"/>
      <w:bookmarkEnd w:id="10"/>
      <w:r w:rsidRPr="005A0FCF">
        <w:t>Links</w:t>
      </w:r>
    </w:p>
    <w:p w:rsidR="00000000" w:rsidRPr="005A0FCF" w:rsidP="00803918">
      <w:pPr>
        <w:pStyle w:val="BodyText"/>
      </w:pPr>
      <w:r w:rsidRPr="005A0FCF">
        <w:t>Companion Volume implementation guides a</w:t>
      </w:r>
      <w:r w:rsidRPr="005A0FCF">
        <w:t xml:space="preserve">re found in VETNet - </w:t>
      </w:r>
      <w:r>
        <w:fldChar w:fldCharType="begin"/>
      </w:r>
      <w:r>
        <w:instrText xml:space="preserve"> HYPERLINK "https://vetnet.gov.au/Pages/TrainingDocs.aspx?q=98c3984e-2cf1-48a8-8ed1-85e4b92e7351" </w:instrText>
      </w:r>
      <w:r>
        <w:fldChar w:fldCharType="separate"/>
      </w:r>
      <w:r w:rsidRPr="0002309B">
        <w:rPr>
          <w:rStyle w:val="Hyperlink"/>
        </w:rPr>
        <w:t>https://vetnet.gov.au/Pages/TrainingDocs.aspx?q=98c3984e-2cf1-48a8-8ed1-85e4b92e7351</w:t>
      </w:r>
      <w:r>
        <w:fldChar w:fldCharType="end"/>
      </w:r>
    </w:p>
    <w:p w:rsidR="00000000" w:rsidRPr="005A0FCF" w:rsidP="005A0FCF"/>
    <w:sectPr w:rsidSect="005A0FC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FC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FCF" w:rsidRPr="00803918" w:rsidP="0080391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FC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3918" w:rsidP="005A0FC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03918" w:rsidP="005A0FCF">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803918" w:rsidP="005A0FC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FC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391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A0FCF" w:rsidRPr="00803918" w:rsidP="0080391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FC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3918" w:rsidRPr="002D2AF8" w:rsidP="005A0FCF">
    <w:pPr>
      <w:pStyle w:val="Header"/>
      <w:framePr w:wrap="around"/>
    </w:pPr>
    <w:r>
      <w:fldChar w:fldCharType="begin"/>
    </w:r>
    <w:r>
      <w:instrText xml:space="preserve"> TITLE   \* MERGEFORMAT </w:instrText>
    </w:r>
    <w:r>
      <w:fldChar w:fldCharType="separate"/>
    </w:r>
    <w:r>
      <w:t>POLFOR054 Detect, record and collect forensic evidence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February 2024</w:t>
    </w:r>
    <w:r>
      <w:fldChar w:fldCharType="end"/>
    </w:r>
  </w:p>
  <w:p w:rsidR="00803918" w:rsidP="005A0FC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0FC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A0FCF"/>
    <w:pPr>
      <w:spacing w:before="360" w:after="60"/>
      <w:outlineLvl w:val="0"/>
    </w:pPr>
    <w:rPr>
      <w:sz w:val="32"/>
    </w:rPr>
  </w:style>
  <w:style w:type="paragraph" w:styleId="Heading2">
    <w:name w:val="heading 2"/>
    <w:basedOn w:val="HeadingBase"/>
    <w:next w:val="BodyText"/>
    <w:link w:val="Heading2Char"/>
    <w:qFormat/>
    <w:rsid w:val="005A0FCF"/>
    <w:pPr>
      <w:keepLines/>
      <w:spacing w:before="240" w:after="120"/>
      <w:outlineLvl w:val="1"/>
    </w:pPr>
    <w:rPr>
      <w:sz w:val="28"/>
      <w:szCs w:val="40"/>
    </w:rPr>
  </w:style>
  <w:style w:type="paragraph" w:styleId="Heading3">
    <w:name w:val="heading 3"/>
    <w:basedOn w:val="HeadingBase"/>
    <w:next w:val="BodyText"/>
    <w:link w:val="Heading3Char"/>
    <w:qFormat/>
    <w:rsid w:val="005A0FCF"/>
    <w:pPr>
      <w:spacing w:before="180" w:after="120"/>
      <w:outlineLvl w:val="2"/>
    </w:pPr>
    <w:rPr>
      <w:spacing w:val="-10"/>
      <w:kern w:val="32"/>
    </w:rPr>
  </w:style>
  <w:style w:type="paragraph" w:styleId="Heading4">
    <w:name w:val="heading 4"/>
    <w:basedOn w:val="HeadingBase"/>
    <w:next w:val="BodyText"/>
    <w:link w:val="Heading4Char"/>
    <w:qFormat/>
    <w:rsid w:val="005A0FCF"/>
    <w:pPr>
      <w:spacing w:before="160" w:after="120"/>
      <w:outlineLvl w:val="3"/>
    </w:pPr>
    <w:rPr>
      <w:sz w:val="22"/>
    </w:rPr>
  </w:style>
  <w:style w:type="paragraph" w:styleId="Heading5">
    <w:name w:val="heading 5"/>
    <w:basedOn w:val="HeadingBase"/>
    <w:next w:val="Normal"/>
    <w:link w:val="Heading5Char"/>
    <w:qFormat/>
    <w:rsid w:val="005A0FCF"/>
    <w:pPr>
      <w:spacing w:before="80"/>
      <w:outlineLvl w:val="4"/>
    </w:pPr>
    <w:rPr>
      <w:color w:val="918585"/>
      <w:sz w:val="20"/>
    </w:rPr>
  </w:style>
  <w:style w:type="paragraph" w:styleId="Heading6">
    <w:name w:val="heading 6"/>
    <w:basedOn w:val="HeadingBase"/>
    <w:next w:val="Normal"/>
    <w:link w:val="Heading6Char"/>
    <w:qFormat/>
    <w:rsid w:val="005A0FCF"/>
    <w:pPr>
      <w:spacing w:before="60"/>
      <w:outlineLvl w:val="5"/>
    </w:pPr>
    <w:rPr>
      <w:color w:val="918585"/>
      <w:sz w:val="20"/>
    </w:rPr>
  </w:style>
  <w:style w:type="paragraph" w:styleId="Heading7">
    <w:name w:val="heading 7"/>
    <w:basedOn w:val="Normal"/>
    <w:next w:val="Normal"/>
    <w:link w:val="Heading7Char"/>
    <w:qFormat/>
    <w:rsid w:val="005A0FCF"/>
    <w:pPr>
      <w:ind w:left="720"/>
      <w:outlineLvl w:val="6"/>
    </w:pPr>
    <w:rPr>
      <w:i/>
    </w:rPr>
  </w:style>
  <w:style w:type="paragraph" w:styleId="Heading8">
    <w:name w:val="heading 8"/>
    <w:basedOn w:val="Normal"/>
    <w:next w:val="Normal"/>
    <w:link w:val="Heading8Char"/>
    <w:qFormat/>
    <w:rsid w:val="005A0FCF"/>
    <w:pPr>
      <w:ind w:left="720"/>
      <w:outlineLvl w:val="7"/>
    </w:pPr>
    <w:rPr>
      <w:i/>
    </w:rPr>
  </w:style>
  <w:style w:type="paragraph" w:styleId="Heading9">
    <w:name w:val="heading 9"/>
    <w:basedOn w:val="Normal"/>
    <w:next w:val="Normal"/>
    <w:link w:val="Heading9Char"/>
    <w:qFormat/>
    <w:rsid w:val="005A0FCF"/>
    <w:pPr>
      <w:ind w:left="720"/>
      <w:outlineLvl w:val="8"/>
    </w:pPr>
    <w:rPr>
      <w:i/>
    </w:rPr>
  </w:style>
  <w:style w:type="character" w:default="1" w:styleId="DefaultParagraphFont">
    <w:name w:val="Default Paragraph Font"/>
    <w:uiPriority w:val="1"/>
    <w:unhideWhenUsed/>
    <w:rsid w:val="005A0FC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A0FCF"/>
  </w:style>
  <w:style w:type="character" w:customStyle="1" w:styleId="Heading1Char">
    <w:name w:val="Heading 1 Char"/>
    <w:basedOn w:val="DefaultParagraphFont"/>
    <w:link w:val="Heading1"/>
    <w:rsid w:val="005A0FCF"/>
    <w:rPr>
      <w:rFonts w:ascii="Times New Roman" w:eastAsia="Times New Roman" w:hAnsi="Times New Roman" w:cs="Times New Roman"/>
      <w:b/>
      <w:sz w:val="32"/>
      <w:szCs w:val="20"/>
      <w:lang w:eastAsia="en-US"/>
    </w:rPr>
  </w:style>
  <w:style w:type="paragraph" w:styleId="BodyText">
    <w:name w:val="Body Text"/>
    <w:basedOn w:val="Normal"/>
    <w:link w:val="BodyTextChar"/>
    <w:rsid w:val="005A0FC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A0FCF"/>
    <w:rPr>
      <w:rFonts w:ascii="Times New Roman" w:eastAsia="Times New Roman" w:hAnsi="Times New Roman" w:cs="Times New Roman"/>
      <w:sz w:val="24"/>
      <w:lang w:eastAsia="en-US"/>
    </w:rPr>
  </w:style>
  <w:style w:type="paragraph" w:styleId="List">
    <w:name w:val="List"/>
    <w:basedOn w:val="BodyText"/>
    <w:next w:val="BodyText"/>
    <w:rsid w:val="005A0FCF"/>
    <w:pPr>
      <w:tabs>
        <w:tab w:val="left" w:pos="340"/>
      </w:tabs>
      <w:spacing w:before="60" w:after="60"/>
      <w:ind w:left="340" w:hanging="340"/>
    </w:pPr>
  </w:style>
  <w:style w:type="character" w:customStyle="1" w:styleId="SpecialBold">
    <w:name w:val="Special Bold"/>
    <w:basedOn w:val="DefaultParagraphFont"/>
    <w:rsid w:val="005A0FCF"/>
    <w:rPr>
      <w:b/>
      <w:spacing w:val="0"/>
    </w:rPr>
  </w:style>
  <w:style w:type="character" w:styleId="Emphasis">
    <w:name w:val="Emphasis"/>
    <w:basedOn w:val="DefaultParagraphFont"/>
    <w:qFormat/>
    <w:rsid w:val="005A0FCF"/>
    <w:rPr>
      <w:i/>
    </w:rPr>
  </w:style>
  <w:style w:type="paragraph" w:customStyle="1" w:styleId="SuperHeading">
    <w:name w:val="SuperHeading"/>
    <w:basedOn w:val="Normal"/>
    <w:rsid w:val="005A0FCF"/>
    <w:pPr>
      <w:spacing w:before="240" w:after="120"/>
      <w:outlineLvl w:val="0"/>
    </w:pPr>
    <w:rPr>
      <w:rFonts w:ascii="Times New Roman" w:hAnsi="Times New Roman"/>
      <w:b/>
      <w:sz w:val="32"/>
    </w:rPr>
  </w:style>
  <w:style w:type="paragraph" w:customStyle="1" w:styleId="TableHeading">
    <w:name w:val="Table Heading"/>
    <w:basedOn w:val="HeadingBase"/>
    <w:rsid w:val="005A0FCF"/>
    <w:pPr>
      <w:keepLines/>
      <w:pBdr>
        <w:bottom w:val="single" w:sz="6" w:space="1" w:color="918585"/>
      </w:pBdr>
      <w:spacing w:before="240"/>
    </w:pPr>
  </w:style>
  <w:style w:type="paragraph" w:customStyle="1" w:styleId="AllowPageBreak">
    <w:name w:val="AllowPageBreak"/>
    <w:rsid w:val="005A0FC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A0FC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A0FC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A0FC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A0FC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A0FC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A0FC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A0FC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A0FCF"/>
    <w:rPr>
      <w:rFonts w:ascii="Courier New" w:eastAsia="Times New Roman" w:hAnsi="Courier New" w:cs="Times New Roman"/>
      <w:i/>
      <w:szCs w:val="20"/>
      <w:lang w:eastAsia="en-US"/>
    </w:rPr>
  </w:style>
  <w:style w:type="paragraph" w:customStyle="1" w:styleId="HeadingBase">
    <w:name w:val="Heading Base"/>
    <w:rsid w:val="005A0FC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A0FCF"/>
    <w:pPr>
      <w:tabs>
        <w:tab w:val="right" w:leader="dot" w:pos="9072"/>
      </w:tabs>
      <w:ind w:left="567"/>
    </w:pPr>
    <w:rPr>
      <w:szCs w:val="22"/>
    </w:rPr>
  </w:style>
  <w:style w:type="paragraph" w:customStyle="1" w:styleId="TOCBase">
    <w:name w:val="TOC Base"/>
    <w:rsid w:val="005A0FC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A0FCF"/>
    <w:pPr>
      <w:tabs>
        <w:tab w:val="right" w:leader="dot" w:pos="9072"/>
      </w:tabs>
      <w:spacing w:before="40" w:after="40"/>
      <w:ind w:left="284"/>
    </w:pPr>
    <w:rPr>
      <w:rFonts w:ascii="Times New Roman" w:hAnsi="Times New Roman"/>
    </w:rPr>
  </w:style>
  <w:style w:type="paragraph" w:styleId="TOC1">
    <w:name w:val="toc 1"/>
    <w:basedOn w:val="TOCBase"/>
    <w:next w:val="Normal"/>
    <w:rsid w:val="005A0FC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A0FC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A0FCF"/>
    <w:rPr>
      <w:rFonts w:ascii="Times New Roman" w:eastAsia="Times New Roman" w:hAnsi="Times New Roman" w:cs="Times New Roman"/>
      <w:sz w:val="16"/>
      <w:lang w:eastAsia="en-US"/>
    </w:rPr>
  </w:style>
  <w:style w:type="paragraph" w:styleId="Title">
    <w:name w:val="Title"/>
    <w:basedOn w:val="HeadingBase"/>
    <w:link w:val="TitleChar"/>
    <w:qFormat/>
    <w:rsid w:val="005A0FCF"/>
    <w:pPr>
      <w:spacing w:before="5040"/>
      <w:jc w:val="center"/>
    </w:pPr>
    <w:rPr>
      <w:sz w:val="48"/>
      <w:szCs w:val="72"/>
      <w:lang w:val="en-US"/>
    </w:rPr>
  </w:style>
  <w:style w:type="character" w:customStyle="1" w:styleId="TitleChar">
    <w:name w:val="Title Char"/>
    <w:basedOn w:val="DefaultParagraphFont"/>
    <w:link w:val="Title"/>
    <w:rsid w:val="005A0FC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A0FCF"/>
    <w:pPr>
      <w:tabs>
        <w:tab w:val="left" w:pos="3600"/>
        <w:tab w:val="left" w:pos="3958"/>
      </w:tabs>
    </w:pPr>
  </w:style>
  <w:style w:type="paragraph" w:styleId="ListBullet">
    <w:name w:val="List Bullet"/>
    <w:basedOn w:val="List"/>
    <w:rsid w:val="005A0FCF"/>
    <w:pPr>
      <w:numPr>
        <w:numId w:val="10"/>
      </w:numPr>
      <w:tabs>
        <w:tab w:val="clear" w:pos="340"/>
      </w:tabs>
      <w:spacing w:before="40" w:after="40"/>
    </w:pPr>
  </w:style>
  <w:style w:type="paragraph" w:customStyle="1" w:styleId="Note">
    <w:name w:val="Note"/>
    <w:basedOn w:val="BodyText"/>
    <w:rsid w:val="005A0FC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A0FCF"/>
    <w:pPr>
      <w:framePr w:wrap="auto" w:hAnchor="text" w:y="6049"/>
    </w:pPr>
    <w:rPr>
      <w:color w:val="000000"/>
      <w:sz w:val="40"/>
    </w:rPr>
  </w:style>
  <w:style w:type="paragraph" w:customStyle="1" w:styleId="TOCTitle">
    <w:name w:val="TOCTitle"/>
    <w:basedOn w:val="Heading1"/>
    <w:rsid w:val="005A0FCF"/>
    <w:pPr>
      <w:spacing w:after="240"/>
      <w:jc w:val="center"/>
      <w:outlineLvl w:val="9"/>
    </w:pPr>
    <w:rPr>
      <w:caps/>
    </w:rPr>
  </w:style>
  <w:style w:type="paragraph" w:customStyle="1" w:styleId="Version">
    <w:name w:val="Version"/>
    <w:rsid w:val="005A0FC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A0FCF"/>
    <w:pPr>
      <w:numPr>
        <w:numId w:val="11"/>
      </w:numPr>
      <w:tabs>
        <w:tab w:val="clear" w:pos="680"/>
      </w:tabs>
    </w:pPr>
  </w:style>
  <w:style w:type="paragraph" w:styleId="Index1">
    <w:name w:val="index 1"/>
    <w:basedOn w:val="Normal"/>
    <w:next w:val="Normal"/>
    <w:semiHidden/>
    <w:rsid w:val="005A0FCF"/>
    <w:pPr>
      <w:keepNext w:val="0"/>
      <w:tabs>
        <w:tab w:val="right" w:pos="4176"/>
      </w:tabs>
      <w:ind w:left="198" w:hanging="198"/>
    </w:pPr>
    <w:rPr>
      <w:rFonts w:ascii="Garamond" w:hAnsi="Garamond"/>
    </w:rPr>
  </w:style>
  <w:style w:type="paragraph" w:styleId="IndexHeading">
    <w:name w:val="index heading"/>
    <w:basedOn w:val="Normal"/>
    <w:next w:val="Index1"/>
    <w:semiHidden/>
    <w:rsid w:val="005A0FCF"/>
    <w:pPr>
      <w:spacing w:before="120" w:after="120"/>
    </w:pPr>
    <w:rPr>
      <w:rFonts w:ascii="Arial" w:hAnsi="Arial"/>
      <w:b/>
      <w:color w:val="918585"/>
      <w:sz w:val="24"/>
    </w:rPr>
  </w:style>
  <w:style w:type="paragraph" w:styleId="Header">
    <w:name w:val="header"/>
    <w:basedOn w:val="Normal"/>
    <w:link w:val="HeaderChar"/>
    <w:rsid w:val="005A0FC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A0FCF"/>
    <w:rPr>
      <w:rFonts w:ascii="Times New Roman" w:eastAsia="Times New Roman" w:hAnsi="Times New Roman" w:cs="Times New Roman"/>
      <w:sz w:val="16"/>
      <w:szCs w:val="20"/>
      <w:lang w:val="en-GB" w:eastAsia="en-US"/>
    </w:rPr>
  </w:style>
  <w:style w:type="paragraph" w:customStyle="1" w:styleId="Chapter">
    <w:name w:val="Chapter"/>
    <w:basedOn w:val="Normal"/>
    <w:rsid w:val="005A0FCF"/>
    <w:pPr>
      <w:spacing w:before="240"/>
    </w:pPr>
    <w:rPr>
      <w:rFonts w:ascii="Times New Roman" w:hAnsi="Times New Roman"/>
      <w:smallCaps/>
      <w:spacing w:val="80"/>
      <w:sz w:val="28"/>
    </w:rPr>
  </w:style>
  <w:style w:type="paragraph" w:customStyle="1" w:styleId="InChapter">
    <w:name w:val="InChapter"/>
    <w:basedOn w:val="Heading3"/>
    <w:rsid w:val="005A0FCF"/>
    <w:pPr>
      <w:spacing w:after="240"/>
      <w:outlineLvl w:val="9"/>
    </w:pPr>
    <w:rPr>
      <w:noProof/>
    </w:rPr>
  </w:style>
  <w:style w:type="paragraph" w:styleId="Index2">
    <w:name w:val="index 2"/>
    <w:basedOn w:val="Normal"/>
    <w:next w:val="Normal"/>
    <w:semiHidden/>
    <w:rsid w:val="005A0FCF"/>
    <w:pPr>
      <w:tabs>
        <w:tab w:val="right" w:pos="4176"/>
      </w:tabs>
      <w:ind w:left="568" w:hanging="284"/>
    </w:pPr>
    <w:rPr>
      <w:rFonts w:ascii="Garamond" w:hAnsi="Garamond"/>
    </w:rPr>
  </w:style>
  <w:style w:type="paragraph" w:customStyle="1" w:styleId="Byline">
    <w:name w:val="Byline"/>
    <w:rsid w:val="005A0FC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A0FCF"/>
    <w:pPr>
      <w:tabs>
        <w:tab w:val="clear" w:pos="3600"/>
        <w:tab w:val="clear" w:pos="3958"/>
      </w:tabs>
      <w:jc w:val="right"/>
    </w:pPr>
  </w:style>
  <w:style w:type="paragraph" w:styleId="Caption">
    <w:name w:val="caption"/>
    <w:basedOn w:val="BodyText"/>
    <w:next w:val="Normal"/>
    <w:qFormat/>
    <w:rsid w:val="005A0FCF"/>
    <w:pPr>
      <w:framePr w:w="2268" w:hSpace="181" w:vSpace="181" w:wrap="around" w:vAnchor="text" w:hAnchor="page" w:x="1135" w:y="285" w:anchorLock="1"/>
    </w:pPr>
    <w:rPr>
      <w:i/>
    </w:rPr>
  </w:style>
  <w:style w:type="paragraph" w:customStyle="1" w:styleId="MiniTOCTitle">
    <w:name w:val="MiniTOCTitle"/>
    <w:basedOn w:val="Heading4"/>
    <w:rsid w:val="005A0FCF"/>
    <w:pPr>
      <w:spacing w:before="240"/>
      <w:outlineLvl w:val="9"/>
    </w:pPr>
    <w:rPr>
      <w:noProof/>
      <w:sz w:val="24"/>
    </w:rPr>
  </w:style>
  <w:style w:type="paragraph" w:customStyle="1" w:styleId="MiniTOCItem">
    <w:name w:val="MiniTOCItem"/>
    <w:basedOn w:val="ListBullet"/>
    <w:rsid w:val="005A0FCF"/>
    <w:pPr>
      <w:numPr>
        <w:numId w:val="0"/>
      </w:numPr>
      <w:tabs>
        <w:tab w:val="right" w:leader="dot" w:pos="6521"/>
      </w:tabs>
      <w:spacing w:before="0" w:after="0"/>
    </w:pPr>
  </w:style>
  <w:style w:type="paragraph" w:customStyle="1" w:styleId="TOFTitle">
    <w:name w:val="TOFTitle"/>
    <w:basedOn w:val="TOCTitle"/>
    <w:rsid w:val="005A0FCF"/>
  </w:style>
  <w:style w:type="paragraph" w:styleId="TableofFigures">
    <w:name w:val="table of figures"/>
    <w:basedOn w:val="Normal"/>
    <w:next w:val="Normal"/>
    <w:semiHidden/>
    <w:rsid w:val="005A0FCF"/>
    <w:pPr>
      <w:tabs>
        <w:tab w:val="right" w:leader="dot" w:pos="9072"/>
      </w:tabs>
      <w:ind w:left="970" w:hanging="403"/>
    </w:pPr>
    <w:rPr>
      <w:rFonts w:ascii="Times New Roman" w:hAnsi="Times New Roman"/>
      <w:b/>
    </w:rPr>
  </w:style>
  <w:style w:type="paragraph" w:styleId="ListNumber">
    <w:name w:val="List Number"/>
    <w:basedOn w:val="List"/>
    <w:rsid w:val="005A0FCF"/>
    <w:pPr>
      <w:numPr>
        <w:numId w:val="13"/>
      </w:numPr>
      <w:tabs>
        <w:tab w:val="clear" w:pos="340"/>
      </w:tabs>
    </w:pPr>
  </w:style>
  <w:style w:type="character" w:customStyle="1" w:styleId="WingdingSymbols">
    <w:name w:val="Wingding Symbols"/>
    <w:rsid w:val="005A0FCF"/>
    <w:rPr>
      <w:rFonts w:ascii="Wingdings" w:hAnsi="Wingdings"/>
    </w:rPr>
  </w:style>
  <w:style w:type="character" w:customStyle="1" w:styleId="HotSpot">
    <w:name w:val="HotSpot"/>
    <w:rsid w:val="005A0FCF"/>
    <w:rPr>
      <w:color w:val="0033CC"/>
      <w:u w:val="none"/>
    </w:rPr>
  </w:style>
  <w:style w:type="paragraph" w:customStyle="1" w:styleId="BodyTextRight">
    <w:name w:val="Body Text Right"/>
    <w:basedOn w:val="BodyText"/>
    <w:rsid w:val="005A0FCF"/>
    <w:pPr>
      <w:spacing w:before="0" w:after="0"/>
      <w:jc w:val="right"/>
    </w:pPr>
  </w:style>
  <w:style w:type="paragraph" w:styleId="Index3">
    <w:name w:val="index 3"/>
    <w:basedOn w:val="ListNumber2"/>
    <w:next w:val="Normal"/>
    <w:semiHidden/>
    <w:rsid w:val="005A0FCF"/>
    <w:pPr>
      <w:numPr>
        <w:numId w:val="0"/>
      </w:numPr>
      <w:tabs>
        <w:tab w:val="right" w:leader="dot" w:pos="4176"/>
      </w:tabs>
    </w:pPr>
  </w:style>
  <w:style w:type="paragraph" w:styleId="ListNumber2">
    <w:name w:val="List Number 2"/>
    <w:basedOn w:val="List2"/>
    <w:rsid w:val="005A0FCF"/>
    <w:pPr>
      <w:numPr>
        <w:numId w:val="8"/>
      </w:numPr>
      <w:tabs>
        <w:tab w:val="clear" w:pos="1060"/>
      </w:tabs>
    </w:pPr>
  </w:style>
  <w:style w:type="paragraph" w:customStyle="1" w:styleId="MarginNote">
    <w:name w:val="Margin Note"/>
    <w:basedOn w:val="BodyText"/>
    <w:rsid w:val="005A0FC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A0FC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A0FC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A0FCF"/>
    <w:rPr>
      <w:sz w:val="32"/>
    </w:rPr>
  </w:style>
  <w:style w:type="paragraph" w:customStyle="1" w:styleId="HeadingProcedure">
    <w:name w:val="Heading Procedure"/>
    <w:basedOn w:val="HeadingBase"/>
    <w:next w:val="Normal"/>
    <w:rsid w:val="005A0FCF"/>
    <w:pPr>
      <w:tabs>
        <w:tab w:val="left" w:pos="0"/>
      </w:tabs>
      <w:spacing w:before="120" w:after="60"/>
    </w:pPr>
    <w:rPr>
      <w:i/>
      <w:color w:val="918585"/>
      <w:sz w:val="22"/>
    </w:rPr>
  </w:style>
  <w:style w:type="paragraph" w:customStyle="1" w:styleId="TableBodyText">
    <w:name w:val="Table Body Text"/>
    <w:basedOn w:val="BodyText"/>
    <w:rsid w:val="005A0FCF"/>
    <w:pPr>
      <w:spacing w:before="60" w:after="60"/>
    </w:pPr>
  </w:style>
  <w:style w:type="paragraph" w:styleId="ListContinue">
    <w:name w:val="List Continue"/>
    <w:basedOn w:val="List"/>
    <w:rsid w:val="005A0FCF"/>
    <w:pPr>
      <w:ind w:firstLine="0"/>
    </w:pPr>
  </w:style>
  <w:style w:type="paragraph" w:customStyle="1" w:styleId="ListNote">
    <w:name w:val="List Note"/>
    <w:basedOn w:val="List"/>
    <w:rsid w:val="005A0FCF"/>
    <w:pPr>
      <w:pBdr>
        <w:top w:val="single" w:sz="6" w:space="2" w:color="918585"/>
        <w:bottom w:val="single" w:sz="6" w:space="2" w:color="918585"/>
      </w:pBdr>
      <w:tabs>
        <w:tab w:val="left" w:pos="1021"/>
      </w:tabs>
      <w:ind w:firstLine="0"/>
    </w:pPr>
  </w:style>
  <w:style w:type="paragraph" w:customStyle="1" w:styleId="Warning">
    <w:name w:val="Warning"/>
    <w:basedOn w:val="BodyText"/>
    <w:rsid w:val="005A0FCF"/>
    <w:pPr>
      <w:shd w:val="clear" w:color="auto" w:fill="D9D9D9"/>
      <w:tabs>
        <w:tab w:val="left" w:pos="992"/>
      </w:tabs>
      <w:ind w:left="119" w:right="119"/>
    </w:pPr>
    <w:rPr>
      <w:sz w:val="20"/>
    </w:rPr>
  </w:style>
  <w:style w:type="paragraph" w:customStyle="1" w:styleId="MarginIcons">
    <w:name w:val="Margin Icons"/>
    <w:basedOn w:val="BodyText"/>
    <w:rsid w:val="005A0FC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A0FCF"/>
    <w:rPr>
      <w:rFonts w:ascii="Courier New" w:hAnsi="Courier New"/>
    </w:rPr>
  </w:style>
  <w:style w:type="paragraph" w:customStyle="1" w:styleId="NoteBullet">
    <w:name w:val="Note Bullet"/>
    <w:basedOn w:val="Note"/>
    <w:rsid w:val="005A0FCF"/>
    <w:pPr>
      <w:tabs>
        <w:tab w:val="clear" w:pos="680"/>
      </w:tabs>
      <w:spacing w:before="60" w:after="60"/>
    </w:pPr>
  </w:style>
  <w:style w:type="paragraph" w:customStyle="1" w:styleId="SubHeading2">
    <w:name w:val="SubHeading2"/>
    <w:basedOn w:val="HeadingBase"/>
    <w:rsid w:val="005A0FCF"/>
    <w:pPr>
      <w:spacing w:before="240" w:after="60"/>
    </w:pPr>
    <w:rPr>
      <w:sz w:val="20"/>
    </w:rPr>
  </w:style>
  <w:style w:type="paragraph" w:customStyle="1" w:styleId="SubHeading1">
    <w:name w:val="SubHeading1"/>
    <w:basedOn w:val="HeadingBase"/>
    <w:rsid w:val="005A0FCF"/>
    <w:pPr>
      <w:spacing w:before="240" w:after="60"/>
    </w:pPr>
    <w:rPr>
      <w:color w:val="918585"/>
      <w:sz w:val="22"/>
    </w:rPr>
  </w:style>
  <w:style w:type="paragraph" w:customStyle="1" w:styleId="SideHeading">
    <w:name w:val="Side Heading"/>
    <w:basedOn w:val="HeadingBase"/>
    <w:rsid w:val="005A0FC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A0FCF"/>
    <w:pPr>
      <w:numPr>
        <w:numId w:val="9"/>
      </w:numPr>
    </w:pPr>
  </w:style>
  <w:style w:type="paragraph" w:styleId="PlainText">
    <w:name w:val="Plain Text"/>
    <w:basedOn w:val="Normal"/>
    <w:link w:val="PlainTextChar"/>
    <w:rsid w:val="005A0FCF"/>
    <w:rPr>
      <w:sz w:val="20"/>
    </w:rPr>
  </w:style>
  <w:style w:type="character" w:customStyle="1" w:styleId="PlainTextChar">
    <w:name w:val="Plain Text Char"/>
    <w:basedOn w:val="DefaultParagraphFont"/>
    <w:link w:val="PlainText"/>
    <w:rsid w:val="005A0FCF"/>
    <w:rPr>
      <w:rFonts w:ascii="Courier New" w:eastAsia="Times New Roman" w:hAnsi="Courier New" w:cs="Times New Roman"/>
      <w:sz w:val="20"/>
      <w:szCs w:val="20"/>
      <w:lang w:eastAsia="en-US"/>
    </w:rPr>
  </w:style>
  <w:style w:type="character" w:customStyle="1" w:styleId="MenuOption">
    <w:name w:val="Menu Option"/>
    <w:basedOn w:val="DefaultParagraphFont"/>
    <w:rsid w:val="005A0FCF"/>
    <w:rPr>
      <w:b/>
      <w:smallCaps/>
    </w:rPr>
  </w:style>
  <w:style w:type="paragraph" w:customStyle="1" w:styleId="TableListNumber">
    <w:name w:val="Table List Number"/>
    <w:basedOn w:val="ListNumber"/>
    <w:rsid w:val="005A0FCF"/>
    <w:pPr>
      <w:numPr>
        <w:numId w:val="0"/>
      </w:numPr>
    </w:pPr>
  </w:style>
  <w:style w:type="paragraph" w:styleId="TOC4">
    <w:name w:val="toc 4"/>
    <w:basedOn w:val="TOCBase"/>
    <w:next w:val="Normal"/>
    <w:semiHidden/>
    <w:rsid w:val="005A0FCF"/>
    <w:pPr>
      <w:tabs>
        <w:tab w:val="right" w:leader="dot" w:pos="9071"/>
      </w:tabs>
      <w:ind w:left="1701"/>
    </w:pPr>
  </w:style>
  <w:style w:type="paragraph" w:customStyle="1" w:styleId="ListAlpha">
    <w:name w:val="List Alpha"/>
    <w:basedOn w:val="List"/>
    <w:rsid w:val="005A0FCF"/>
    <w:pPr>
      <w:numPr>
        <w:numId w:val="7"/>
      </w:numPr>
    </w:pPr>
  </w:style>
  <w:style w:type="paragraph" w:customStyle="1" w:styleId="ListAlpha2">
    <w:name w:val="List Alpha 2"/>
    <w:basedOn w:val="List2"/>
    <w:rsid w:val="005A0FCF"/>
    <w:pPr>
      <w:numPr>
        <w:numId w:val="6"/>
      </w:numPr>
    </w:pPr>
  </w:style>
  <w:style w:type="paragraph" w:styleId="List2">
    <w:name w:val="List 2"/>
    <w:basedOn w:val="BodyText"/>
    <w:rsid w:val="005A0FCF"/>
    <w:pPr>
      <w:tabs>
        <w:tab w:val="left" w:pos="680"/>
      </w:tabs>
      <w:spacing w:before="60" w:after="60"/>
      <w:ind w:left="680" w:hanging="340"/>
    </w:pPr>
  </w:style>
  <w:style w:type="paragraph" w:styleId="List3">
    <w:name w:val="List 3"/>
    <w:basedOn w:val="BodyText"/>
    <w:rsid w:val="005A0FCF"/>
    <w:pPr>
      <w:tabs>
        <w:tab w:val="left" w:pos="1021"/>
      </w:tabs>
      <w:spacing w:before="60" w:after="60"/>
      <w:ind w:left="1020" w:hanging="340"/>
    </w:pPr>
  </w:style>
  <w:style w:type="paragraph" w:styleId="List4">
    <w:name w:val="List 4"/>
    <w:basedOn w:val="BodyText"/>
    <w:rsid w:val="005A0FCF"/>
    <w:pPr>
      <w:tabs>
        <w:tab w:val="left" w:pos="1361"/>
      </w:tabs>
      <w:spacing w:before="60" w:after="60"/>
      <w:ind w:left="1361" w:hanging="340"/>
    </w:pPr>
  </w:style>
  <w:style w:type="paragraph" w:styleId="List5">
    <w:name w:val="List 5"/>
    <w:basedOn w:val="BodyText"/>
    <w:rsid w:val="005A0FCF"/>
    <w:pPr>
      <w:tabs>
        <w:tab w:val="left" w:pos="1701"/>
      </w:tabs>
      <w:spacing w:before="60" w:after="60"/>
      <w:ind w:left="1701" w:hanging="340"/>
    </w:pPr>
  </w:style>
  <w:style w:type="paragraph" w:styleId="ListBullet3">
    <w:name w:val="List Bullet 3"/>
    <w:basedOn w:val="List3"/>
    <w:rsid w:val="005A0FCF"/>
    <w:pPr>
      <w:numPr>
        <w:numId w:val="12"/>
      </w:numPr>
      <w:tabs>
        <w:tab w:val="clear" w:pos="1021"/>
      </w:tabs>
      <w:ind w:left="1037" w:hanging="357"/>
    </w:pPr>
  </w:style>
  <w:style w:type="paragraph" w:styleId="ListBullet4">
    <w:name w:val="List Bullet 4"/>
    <w:basedOn w:val="List4"/>
    <w:rsid w:val="005A0FCF"/>
    <w:pPr>
      <w:numPr>
        <w:numId w:val="1"/>
      </w:numPr>
      <w:tabs>
        <w:tab w:val="clear" w:pos="1361"/>
      </w:tabs>
    </w:pPr>
  </w:style>
  <w:style w:type="paragraph" w:styleId="ListBullet5">
    <w:name w:val="List Bullet 5"/>
    <w:basedOn w:val="List5"/>
    <w:rsid w:val="005A0FCF"/>
    <w:pPr>
      <w:numPr>
        <w:numId w:val="2"/>
      </w:numPr>
    </w:pPr>
  </w:style>
  <w:style w:type="paragraph" w:styleId="ListContinue2">
    <w:name w:val="List Continue 2"/>
    <w:basedOn w:val="List2"/>
    <w:rsid w:val="005A0FCF"/>
    <w:pPr>
      <w:ind w:firstLine="0"/>
    </w:pPr>
  </w:style>
  <w:style w:type="paragraph" w:styleId="ListContinue3">
    <w:name w:val="List Continue 3"/>
    <w:basedOn w:val="List3"/>
    <w:rsid w:val="005A0FCF"/>
    <w:pPr>
      <w:ind w:left="1021" w:firstLine="0"/>
    </w:pPr>
  </w:style>
  <w:style w:type="paragraph" w:styleId="ListContinue4">
    <w:name w:val="List Continue 4"/>
    <w:basedOn w:val="List4"/>
    <w:rsid w:val="005A0FCF"/>
    <w:pPr>
      <w:ind w:firstLine="0"/>
    </w:pPr>
  </w:style>
  <w:style w:type="paragraph" w:styleId="ListContinue5">
    <w:name w:val="List Continue 5"/>
    <w:basedOn w:val="List5"/>
    <w:rsid w:val="005A0FCF"/>
    <w:pPr>
      <w:ind w:firstLine="0"/>
    </w:pPr>
  </w:style>
  <w:style w:type="paragraph" w:styleId="ListNumber3">
    <w:name w:val="List Number 3"/>
    <w:basedOn w:val="List3"/>
    <w:rsid w:val="005A0FCF"/>
    <w:pPr>
      <w:numPr>
        <w:numId w:val="3"/>
      </w:numPr>
    </w:pPr>
  </w:style>
  <w:style w:type="paragraph" w:styleId="ListNumber4">
    <w:name w:val="List Number 4"/>
    <w:basedOn w:val="List4"/>
    <w:rsid w:val="005A0FCF"/>
    <w:pPr>
      <w:numPr>
        <w:numId w:val="4"/>
      </w:numPr>
    </w:pPr>
  </w:style>
  <w:style w:type="paragraph" w:styleId="ListNumber5">
    <w:name w:val="List Number 5"/>
    <w:basedOn w:val="List5"/>
    <w:rsid w:val="005A0FCF"/>
    <w:pPr>
      <w:numPr>
        <w:numId w:val="5"/>
      </w:numPr>
    </w:pPr>
  </w:style>
  <w:style w:type="paragraph" w:styleId="BlockText">
    <w:name w:val="Block Text"/>
    <w:basedOn w:val="Normal"/>
    <w:rsid w:val="005A0FCF"/>
    <w:pPr>
      <w:spacing w:after="120"/>
      <w:ind w:left="1440" w:right="1440"/>
    </w:pPr>
  </w:style>
  <w:style w:type="character" w:customStyle="1" w:styleId="Subscript">
    <w:name w:val="Subscript"/>
    <w:basedOn w:val="DefaultParagraphFont"/>
    <w:rsid w:val="005A0FCF"/>
    <w:rPr>
      <w:sz w:val="16"/>
      <w:vertAlign w:val="subscript"/>
    </w:rPr>
  </w:style>
  <w:style w:type="character" w:customStyle="1" w:styleId="Superscript">
    <w:name w:val="Superscript"/>
    <w:basedOn w:val="DefaultParagraphFont"/>
    <w:rsid w:val="005A0FCF"/>
    <w:rPr>
      <w:sz w:val="16"/>
      <w:vertAlign w:val="superscript"/>
    </w:rPr>
  </w:style>
  <w:style w:type="character" w:customStyle="1" w:styleId="Symbols">
    <w:name w:val="Symbols"/>
    <w:basedOn w:val="DefaultParagraphFont"/>
    <w:rsid w:val="005A0FCF"/>
    <w:rPr>
      <w:rFonts w:ascii="Symbol" w:hAnsi="Symbol"/>
    </w:rPr>
  </w:style>
  <w:style w:type="character" w:customStyle="1" w:styleId="MenuOptions">
    <w:name w:val="Menu Options"/>
    <w:basedOn w:val="DefaultParagraphFont"/>
    <w:rsid w:val="005A0FCF"/>
    <w:rPr>
      <w:rFonts w:ascii="Arial Narrow" w:hAnsi="Arial Narrow"/>
      <w:smallCaps/>
    </w:rPr>
  </w:style>
  <w:style w:type="character" w:customStyle="1" w:styleId="Buttons">
    <w:name w:val="Buttons"/>
    <w:basedOn w:val="DefaultParagraphFont"/>
    <w:rsid w:val="005A0FCF"/>
    <w:rPr>
      <w:b/>
    </w:rPr>
  </w:style>
  <w:style w:type="character" w:customStyle="1" w:styleId="Underlined">
    <w:name w:val="Underlined"/>
    <w:basedOn w:val="DefaultParagraphFont"/>
    <w:rsid w:val="005A0FCF"/>
    <w:rPr>
      <w:u w:val="single"/>
    </w:rPr>
  </w:style>
  <w:style w:type="paragraph" w:customStyle="1" w:styleId="TableBodyTextRight">
    <w:name w:val="Table Body Text Right"/>
    <w:basedOn w:val="TableBodyText"/>
    <w:rsid w:val="005A0FCF"/>
    <w:pPr>
      <w:widowControl w:val="0"/>
      <w:autoSpaceDE w:val="0"/>
      <w:autoSpaceDN w:val="0"/>
      <w:adjustRightInd w:val="0"/>
      <w:jc w:val="right"/>
    </w:pPr>
    <w:rPr>
      <w:rFonts w:cs="Arial"/>
      <w:szCs w:val="18"/>
    </w:rPr>
  </w:style>
  <w:style w:type="paragraph" w:customStyle="1" w:styleId="CopyrightText">
    <w:name w:val="Copyright Text"/>
    <w:basedOn w:val="BodyText"/>
    <w:rsid w:val="005A0FCF"/>
    <w:rPr>
      <w:sz w:val="18"/>
    </w:rPr>
  </w:style>
  <w:style w:type="paragraph" w:customStyle="1" w:styleId="BodySmallRight">
    <w:name w:val="Body Small Right"/>
    <w:basedOn w:val="BodyTextRight"/>
    <w:rsid w:val="005A0FCF"/>
    <w:rPr>
      <w:sz w:val="18"/>
      <w:szCs w:val="18"/>
    </w:rPr>
  </w:style>
  <w:style w:type="paragraph" w:customStyle="1" w:styleId="MarginEdition">
    <w:name w:val="Margin Edition"/>
    <w:basedOn w:val="MarginNote"/>
    <w:rsid w:val="005A0FCF"/>
    <w:pPr>
      <w:spacing w:before="0" w:after="0"/>
    </w:pPr>
    <w:rPr>
      <w:rFonts w:ascii="Times New Roman" w:hAnsi="Times New Roman"/>
      <w:color w:val="999999"/>
    </w:rPr>
  </w:style>
  <w:style w:type="paragraph" w:customStyle="1" w:styleId="Spacer">
    <w:name w:val="Spacer"/>
    <w:basedOn w:val="Normal"/>
    <w:rsid w:val="005A0FCF"/>
    <w:rPr>
      <w:sz w:val="2"/>
      <w:szCs w:val="2"/>
    </w:rPr>
  </w:style>
  <w:style w:type="character" w:customStyle="1" w:styleId="Small">
    <w:name w:val="Small"/>
    <w:basedOn w:val="DefaultParagraphFont"/>
    <w:rsid w:val="005A0FCF"/>
    <w:rPr>
      <w:sz w:val="16"/>
    </w:rPr>
  </w:style>
  <w:style w:type="paragraph" w:customStyle="1" w:styleId="WideTable">
    <w:name w:val="Wide Table"/>
    <w:basedOn w:val="Normal"/>
    <w:rsid w:val="005A0FCF"/>
    <w:pPr>
      <w:ind w:left="-1418"/>
    </w:pPr>
    <w:rPr>
      <w:sz w:val="2"/>
      <w:szCs w:val="2"/>
    </w:rPr>
  </w:style>
  <w:style w:type="character" w:styleId="PageNumber">
    <w:name w:val="page number"/>
    <w:basedOn w:val="DefaultParagraphFont"/>
    <w:rsid w:val="005A0FCF"/>
  </w:style>
  <w:style w:type="paragraph" w:styleId="Quote">
    <w:name w:val="Quote"/>
    <w:basedOn w:val="Heading1"/>
    <w:link w:val="QuoteChar"/>
    <w:qFormat/>
    <w:rsid w:val="005A0FCF"/>
    <w:rPr>
      <w:b w:val="0"/>
      <w:sz w:val="72"/>
      <w:szCs w:val="72"/>
      <w:lang w:val="en-NZ"/>
    </w:rPr>
  </w:style>
  <w:style w:type="character" w:customStyle="1" w:styleId="QuoteChar">
    <w:name w:val="Quote Char"/>
    <w:basedOn w:val="DefaultParagraphFont"/>
    <w:link w:val="Quote"/>
    <w:rsid w:val="005A0FC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A0FCF"/>
    <w:pPr>
      <w:pageBreakBefore/>
    </w:pPr>
  </w:style>
  <w:style w:type="paragraph" w:customStyle="1" w:styleId="Border">
    <w:name w:val="Border"/>
    <w:basedOn w:val="Normal"/>
    <w:qFormat/>
    <w:rsid w:val="005A0FC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A0FCF"/>
    <w:rPr>
      <w:b/>
      <w:bCs/>
      <w:i/>
      <w:iCs/>
      <w:color w:val="auto"/>
    </w:rPr>
  </w:style>
  <w:style w:type="paragraph" w:styleId="IntenseQuote">
    <w:name w:val="Intense Quote"/>
    <w:basedOn w:val="Normal"/>
    <w:next w:val="Normal"/>
    <w:link w:val="IntenseQuoteChar"/>
    <w:uiPriority w:val="30"/>
    <w:qFormat/>
    <w:rsid w:val="005A0FC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A0FC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A0FCF"/>
    <w:rPr>
      <w:smallCaps/>
      <w:color w:val="auto"/>
      <w:u w:val="single"/>
    </w:rPr>
  </w:style>
  <w:style w:type="character" w:styleId="IntenseReference">
    <w:name w:val="Intense Reference"/>
    <w:basedOn w:val="DefaultParagraphFont"/>
    <w:uiPriority w:val="32"/>
    <w:qFormat/>
    <w:rsid w:val="005A0FCF"/>
    <w:rPr>
      <w:b/>
      <w:bCs/>
      <w:smallCaps/>
      <w:color w:val="auto"/>
      <w:spacing w:val="5"/>
      <w:u w:val="single"/>
    </w:rPr>
  </w:style>
  <w:style w:type="paragraph" w:customStyle="1" w:styleId="2ColumnHeading">
    <w:name w:val="2Column Heading"/>
    <w:basedOn w:val="BodyText"/>
    <w:qFormat/>
    <w:rsid w:val="005A0FCF"/>
    <w:pPr>
      <w:spacing w:after="60"/>
      <w:ind w:left="-2268"/>
    </w:pPr>
    <w:rPr>
      <w:b/>
    </w:rPr>
  </w:style>
  <w:style w:type="paragraph" w:customStyle="1" w:styleId="Heading1TOC">
    <w:name w:val="Heading1 TOC"/>
    <w:basedOn w:val="Normal"/>
    <w:qFormat/>
    <w:rsid w:val="005A0FCF"/>
    <w:pPr>
      <w:spacing w:before="240" w:after="120"/>
    </w:pPr>
    <w:rPr>
      <w:rFonts w:ascii="Times New Roman" w:hAnsi="Times New Roman"/>
      <w:b/>
      <w:sz w:val="32"/>
    </w:rPr>
  </w:style>
  <w:style w:type="paragraph" w:customStyle="1" w:styleId="Heading2TOC">
    <w:name w:val="Heading2 TOC"/>
    <w:basedOn w:val="Normal"/>
    <w:qFormat/>
    <w:rsid w:val="005A0FCF"/>
    <w:pPr>
      <w:spacing w:before="240" w:after="60"/>
    </w:pPr>
    <w:rPr>
      <w:rFonts w:ascii="Times New Roman" w:hAnsi="Times New Roman"/>
      <w:b/>
      <w:sz w:val="28"/>
    </w:rPr>
  </w:style>
  <w:style w:type="character" w:customStyle="1" w:styleId="Underline">
    <w:name w:val="Underline"/>
    <w:basedOn w:val="DefaultParagraphFont"/>
    <w:qFormat/>
    <w:rsid w:val="005A0FCF"/>
    <w:rPr>
      <w:u w:val="single"/>
    </w:rPr>
  </w:style>
  <w:style w:type="character" w:customStyle="1" w:styleId="BoldandItalics">
    <w:name w:val="Bold and Italics"/>
    <w:qFormat/>
    <w:rsid w:val="005A0FCF"/>
    <w:rPr>
      <w:b/>
      <w:i/>
      <w:u w:val="none"/>
    </w:rPr>
  </w:style>
  <w:style w:type="paragraph" w:styleId="BalloonText">
    <w:name w:val="Balloon Text"/>
    <w:basedOn w:val="Normal"/>
    <w:link w:val="BalloonTextChar"/>
    <w:rsid w:val="005A0FCF"/>
    <w:rPr>
      <w:rFonts w:ascii="Tahoma" w:hAnsi="Tahoma" w:cs="Tahoma"/>
      <w:sz w:val="16"/>
      <w:szCs w:val="16"/>
    </w:rPr>
  </w:style>
  <w:style w:type="character" w:customStyle="1" w:styleId="BalloonTextChar">
    <w:name w:val="Balloon Text Char"/>
    <w:basedOn w:val="DefaultParagraphFont"/>
    <w:link w:val="BalloonText"/>
    <w:rsid w:val="005A0FC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A0FC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A0FC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A0FCF"/>
    <w:rPr>
      <w:b/>
      <w:color w:val="660033"/>
      <w:spacing w:val="0"/>
    </w:rPr>
  </w:style>
  <w:style w:type="paragraph" w:customStyle="1" w:styleId="Nameditemlist">
    <w:name w:val="Named item list"/>
    <w:basedOn w:val="BodyText"/>
    <w:qFormat/>
    <w:rsid w:val="005A0FCF"/>
    <w:pPr>
      <w:tabs>
        <w:tab w:val="left" w:pos="2835"/>
      </w:tabs>
      <w:ind w:left="2835" w:hanging="2835"/>
    </w:pPr>
  </w:style>
  <w:style w:type="paragraph" w:customStyle="1" w:styleId="BodyTextnopadding">
    <w:name w:val="Body Text no padding"/>
    <w:basedOn w:val="BodyText"/>
    <w:qFormat/>
    <w:rsid w:val="005A0FCF"/>
    <w:pPr>
      <w:spacing w:before="0" w:after="0"/>
    </w:pPr>
  </w:style>
  <w:style w:type="paragraph" w:customStyle="1" w:styleId="BodyTextBold">
    <w:name w:val="Body Text Bold"/>
    <w:basedOn w:val="BodyText"/>
    <w:qFormat/>
    <w:rsid w:val="005A0FCF"/>
    <w:rPr>
      <w:b/>
    </w:rPr>
  </w:style>
  <w:style w:type="character" w:styleId="Hyperlink">
    <w:name w:val="Hyperlink"/>
    <w:basedOn w:val="DefaultParagraphFont"/>
    <w:uiPriority w:val="99"/>
    <w:unhideWhenUsed/>
    <w:rsid w:val="0080391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656</Words>
  <Characters>4115</Characters>
  <Application>Microsoft Office Word</Application>
  <DocSecurity>0</DocSecurity>
  <Lines>124</Lines>
  <Paragraphs>83</Paragraphs>
  <ScaleCrop>false</ScaleCrop>
  <Company>Author-it Software Corporation Ltd.</Company>
  <LinksUpToDate>false</LinksUpToDate>
  <CharactersWithSpaces>4688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POLFOR054 Detect, record and collect forensic evidence</dc:title>
  <dc:subject>Approved</dc:subject>
  <dc:creator>Public Skills Australia</dc:creator>
  <cp:keywords>Release: 1</cp:keywords>
  <dc:description>Review Date: 12 April 2008</dc:description>
  <cp:lastModifiedBy>HSD_TPCMSd.prod</cp:lastModifiedBy>
  <cp:revision>3</cp:revision>
  <dcterms:created xsi:type="dcterms:W3CDTF">2024-02-27T04:24:00Z</dcterms:created>
  <dcterms:modified xsi:type="dcterms:W3CDTF">2024-02-27T04:24:00Z</dcterms:modified>
</cp:coreProperties>
</file>