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108" w:rsidP="006A7108">
      <w:pPr>
        <w:pStyle w:val="Title"/>
      </w:pPr>
      <w:r>
        <w:fldChar w:fldCharType="begin"/>
      </w:r>
      <w:r>
        <w:instrText xml:space="preserve"> TITLE   \* MERGEFORMAT </w:instrText>
      </w:r>
      <w:r>
        <w:fldChar w:fldCharType="separate"/>
      </w:r>
      <w:r>
        <w:t>POLFOR031 Apply specialised forensic science techniques</w:t>
      </w:r>
      <w:r>
        <w:fldChar w:fldCharType="end"/>
      </w:r>
    </w:p>
    <w:p w:rsidR="006A7108" w:rsidP="006A7108">
      <w:pPr>
        <w:pStyle w:val="Version"/>
        <w:sectPr w:rsidSect="00176C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CAC" w:rsidP="00176CAC">
      <w:pPr>
        <w:pStyle w:val="SuperHeading"/>
      </w:pPr>
      <w:r w:rsidRPr="00176CAC">
        <w:t>POLFOR031 Apply specialised forensic science techniques</w:t>
      </w:r>
    </w:p>
    <w:p w:rsidR="00000000" w:rsidRPr="00176CAC" w:rsidP="00176CAC">
      <w:pPr>
        <w:pStyle w:val="Heading1"/>
      </w:pPr>
      <w:bookmarkStart w:id="1" w:name="O_1283597"/>
      <w:bookmarkEnd w:id="1"/>
      <w:r w:rsidRPr="00176CAC">
        <w:t>Modification History</w:t>
      </w:r>
    </w:p>
    <w:tbl>
      <w:tblPr>
        <w:tblW w:w="0" w:type="auto"/>
        <w:tblLayout w:type="fixed"/>
        <w:tblCellMar>
          <w:left w:w="62" w:type="dxa"/>
          <w:right w:w="62" w:type="dxa"/>
        </w:tblCellMar>
        <w:tblLook w:val="0000"/>
      </w:tblPr>
      <w:tblGrid>
        <w:gridCol w:w="1126"/>
        <w:gridCol w:w="7937"/>
      </w:tblGrid>
      <w:tr w:rsidTr="006A7108">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CAC">
            <w:pPr>
              <w:pStyle w:val="TableHeading"/>
              <w:rPr>
                <w:lang w:val="en-NZ"/>
              </w:rPr>
            </w:pPr>
            <w:r w:rsidRPr="00176C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CAC">
            <w:pPr>
              <w:pStyle w:val="TableHeading"/>
              <w:rPr>
                <w:lang w:val="en-NZ"/>
              </w:rPr>
            </w:pPr>
            <w:r w:rsidRPr="00176CAC">
              <w:t>Comments</w:t>
            </w:r>
          </w:p>
        </w:tc>
      </w:tr>
      <w:tr w:rsidTr="006A7108">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6CAC">
            <w:pPr>
              <w:pStyle w:val="BodyText"/>
              <w:rPr>
                <w:lang w:val="en-NZ"/>
              </w:rPr>
            </w:pPr>
            <w:r w:rsidRPr="00176C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6CAC" w:rsidP="00176CAC">
            <w:pPr>
              <w:pStyle w:val="BodyText"/>
            </w:pPr>
            <w:r w:rsidRPr="00176CAC">
              <w:t>This unit was released in POL Police Training Package release 8.0</w:t>
            </w:r>
          </w:p>
        </w:tc>
      </w:tr>
    </w:tbl>
    <w:p w:rsidR="00000000" w:rsidRPr="00176CAC" w:rsidP="00176CAC">
      <w:pPr>
        <w:pStyle w:val="BodyText"/>
      </w:pPr>
    </w:p>
    <w:p w:rsidR="00000000" w:rsidRPr="00176CAC" w:rsidP="00176CAC">
      <w:pPr>
        <w:pStyle w:val="AllowPageBreak"/>
      </w:pPr>
    </w:p>
    <w:p w:rsidR="00000000" w:rsidRPr="00176CAC" w:rsidP="00176CAC">
      <w:pPr>
        <w:pStyle w:val="Heading1"/>
      </w:pPr>
      <w:bookmarkStart w:id="2" w:name="O_1283598"/>
      <w:bookmarkEnd w:id="2"/>
      <w:r w:rsidRPr="00176CAC">
        <w:t>Application</w:t>
      </w:r>
    </w:p>
    <w:p w:rsidR="00000000" w:rsidRPr="00176CAC" w:rsidP="006A7108">
      <w:pPr>
        <w:pStyle w:val="BodyText"/>
      </w:pPr>
      <w:r w:rsidRPr="00176CAC">
        <w:t>This unit describes the skills required to apply specialised forensic techniques within crime sce</w:t>
      </w:r>
      <w:r w:rsidRPr="00176CAC">
        <w:t xml:space="preserve">ne investigations. This includes identifying, enhancing, recording, collecting, and analysing evidence. It applies to police personnel and forensic staff as part of the forensic investigation of crime or incident scenes. The skills and knowledge described </w:t>
      </w:r>
      <w:r w:rsidRPr="00176CAC">
        <w:t>in this unit must be applied within the legislative, regulatory and policy environment in which they are carried out. Organisational policies and procedures must be consulted and adhered to, particularly those related to continuity of evidence, forensic in</w:t>
      </w:r>
      <w:r w:rsidRPr="00176CAC">
        <w:t>formation management, work health and safety (WHS) and quality management.</w:t>
      </w:r>
    </w:p>
    <w:p w:rsidR="00000000" w:rsidRPr="00176CAC" w:rsidP="006A7108">
      <w:pPr>
        <w:pStyle w:val="BodyText"/>
      </w:pPr>
      <w:r w:rsidRPr="00176CAC">
        <w:t>Candidates undertaking this unit would be required to work autonomously and as part of a team. They would demonstrate the ability to critically analyse and evaluate crime scene rela</w:t>
      </w:r>
      <w:r w:rsidRPr="00176CAC">
        <w:t>ted evidence to develop and test hypotheses. Candidates would demonstrate knowledge of sciences as they apply to crime scene investigation. They would further perform specialised tasks requiring strong adaptability across a broad range of unpredictable con</w:t>
      </w:r>
      <w:r w:rsidRPr="00176CAC">
        <w:t>texts.</w:t>
      </w:r>
    </w:p>
    <w:p w:rsidR="00000000" w:rsidRPr="00176CAC" w:rsidP="006A7108">
      <w:pPr>
        <w:pStyle w:val="BodyText"/>
      </w:pPr>
      <w:r w:rsidRPr="00176CAC">
        <w:t>No licensing, legislative or certification requirements apply to unit at the time of publication.</w:t>
      </w:r>
    </w:p>
    <w:p w:rsidR="00000000" w:rsidRPr="00176CAC" w:rsidP="00176CAC">
      <w:pPr>
        <w:pStyle w:val="Heading1"/>
      </w:pPr>
      <w:bookmarkStart w:id="3" w:name="O_1283599"/>
      <w:bookmarkEnd w:id="3"/>
      <w:r w:rsidRPr="00176CAC">
        <w:t>Pre-requisite Unit</w:t>
      </w:r>
    </w:p>
    <w:p w:rsidR="00000000" w:rsidRPr="00176CAC" w:rsidP="006A7108">
      <w:pPr>
        <w:pStyle w:val="BodyText"/>
      </w:pPr>
      <w:r w:rsidRPr="00176CAC">
        <w:t>Not applicable</w:t>
      </w:r>
    </w:p>
    <w:p w:rsidR="00000000" w:rsidRPr="00176CAC" w:rsidP="00176CAC">
      <w:pPr>
        <w:pStyle w:val="Heading1"/>
      </w:pPr>
      <w:bookmarkStart w:id="4" w:name="O_1283600"/>
      <w:bookmarkEnd w:id="4"/>
      <w:r w:rsidRPr="00176CAC">
        <w:t>Competency Field</w:t>
      </w:r>
    </w:p>
    <w:p w:rsidR="00000000" w:rsidRPr="00176CAC" w:rsidP="006A7108">
      <w:pPr>
        <w:pStyle w:val="BodyText"/>
      </w:pPr>
      <w:r w:rsidRPr="00176CAC">
        <w:t>Not applicable</w:t>
      </w:r>
    </w:p>
    <w:p w:rsidR="00000000" w:rsidRPr="00176CAC" w:rsidP="00176CAC">
      <w:pPr>
        <w:pStyle w:val="Heading1"/>
      </w:pPr>
      <w:bookmarkStart w:id="5" w:name="O_1283601"/>
      <w:bookmarkEnd w:id="5"/>
      <w:r w:rsidRPr="00176CAC">
        <w:t>Unit Sector</w:t>
      </w:r>
    </w:p>
    <w:p w:rsidR="00000000" w:rsidRPr="00176CAC" w:rsidP="006A7108">
      <w:pPr>
        <w:pStyle w:val="BodyText"/>
      </w:pPr>
      <w:r w:rsidRPr="00176CAC">
        <w:t>Not applicable</w:t>
      </w:r>
    </w:p>
    <w:p w:rsidR="00000000" w:rsidRPr="00176CAC" w:rsidP="00176CAC">
      <w:pPr>
        <w:pStyle w:val="Heading1"/>
      </w:pPr>
      <w:bookmarkStart w:id="6" w:name="O_1283602"/>
      <w:bookmarkEnd w:id="6"/>
      <w:r w:rsidRPr="00176CAC">
        <w:t>Elements and Performance Criteria</w:t>
      </w:r>
    </w:p>
    <w:tbl>
      <w:tblPr>
        <w:tblW w:w="9214" w:type="dxa"/>
        <w:tblLayout w:type="fixed"/>
        <w:tblCellMar>
          <w:left w:w="62" w:type="dxa"/>
          <w:right w:w="62" w:type="dxa"/>
        </w:tblCellMar>
        <w:tblLook w:val="0000"/>
      </w:tblPr>
      <w:tblGrid>
        <w:gridCol w:w="2362"/>
        <w:gridCol w:w="6852"/>
      </w:tblGrid>
      <w:tr w:rsidTr="00176CAC">
        <w:tblPrEx>
          <w:tblW w:w="9214" w:type="dxa"/>
          <w:tblLayout w:type="fixed"/>
          <w:tblCellMar>
            <w:left w:w="62" w:type="dxa"/>
            <w:right w:w="62" w:type="dxa"/>
          </w:tblCellMar>
          <w:tblLook w:val="0000"/>
        </w:tblPrEx>
        <w:trPr>
          <w:trHeight w:val="214"/>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CAC">
            <w:pPr>
              <w:pStyle w:val="TableHeading"/>
              <w:rPr>
                <w:lang w:val="en-NZ"/>
              </w:rPr>
            </w:pPr>
            <w:r w:rsidRPr="00176CAC">
              <w:t xml:space="preserve">ELEMENTS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CAC">
            <w:pPr>
              <w:pStyle w:val="TableHeading"/>
              <w:rPr>
                <w:lang w:val="en-NZ"/>
              </w:rPr>
            </w:pPr>
            <w:r w:rsidRPr="00176CAC">
              <w:t>PERFORMANCE CRITERIA</w:t>
            </w:r>
          </w:p>
        </w:tc>
      </w:tr>
      <w:tr w:rsidTr="00176CAC">
        <w:tblPrEx>
          <w:tblW w:w="9214" w:type="dxa"/>
          <w:tblLayout w:type="fixed"/>
          <w:tblCellMar>
            <w:left w:w="62" w:type="dxa"/>
            <w:right w:w="62" w:type="dxa"/>
          </w:tblCellMar>
          <w:tblLook w:val="0000"/>
        </w:tblPrEx>
        <w:trPr>
          <w:trHeight w:val="22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CAC">
            <w:pPr>
              <w:pStyle w:val="BodyText"/>
              <w:rPr>
                <w:lang w:val="en-NZ"/>
              </w:rPr>
            </w:pPr>
            <w:r w:rsidRPr="00176CAC">
              <w:t xml:space="preserve">Elements describe the essential outcomes of the unit.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CAC">
            <w:pPr>
              <w:pStyle w:val="BodyText"/>
              <w:rPr>
                <w:lang w:val="en-NZ"/>
              </w:rPr>
            </w:pPr>
            <w:r w:rsidRPr="00176CAC">
              <w:t xml:space="preserve">Performance criteria describe the performance needed to demonstrate achievement of the element. </w:t>
            </w:r>
          </w:p>
        </w:tc>
      </w:tr>
      <w:tr w:rsidTr="00176CAC">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CAC">
            <w:pPr>
              <w:pStyle w:val="List"/>
              <w:rPr>
                <w:lang w:val="en-NZ"/>
              </w:rPr>
            </w:pPr>
            <w:r w:rsidRPr="00176CAC">
              <w:t>1.</w:t>
            </w:r>
            <w:r w:rsidRPr="00176CAC">
              <w:tab/>
              <w:t>Assess biologica</w:t>
            </w:r>
            <w:r w:rsidRPr="00176CAC">
              <w:t>l and non-biological evidence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CAC" w:rsidP="00176CAC">
            <w:pPr>
              <w:pStyle w:val="List"/>
            </w:pPr>
            <w:r w:rsidRPr="00176CAC">
              <w:t>1.1</w:t>
            </w:r>
            <w:r w:rsidRPr="00176CAC">
              <w:tab/>
              <w:t>Identify physical characteristics of biological evidence materials to determine their evidentiary value.</w:t>
            </w:r>
          </w:p>
          <w:p w:rsidR="00000000" w:rsidRPr="00176CAC" w:rsidP="00176CAC">
            <w:pPr>
              <w:pStyle w:val="List"/>
            </w:pPr>
            <w:r w:rsidRPr="00176CAC">
              <w:t>1.2</w:t>
            </w:r>
            <w:r w:rsidRPr="00176CAC">
              <w:tab/>
              <w:t>Identify physical characteristics of non-biological evidence materials to determine their evidentiary value.</w:t>
            </w:r>
          </w:p>
          <w:p w:rsidR="00000000" w:rsidP="00176CAC">
            <w:pPr>
              <w:pStyle w:val="List"/>
              <w:rPr>
                <w:lang w:val="en-NZ"/>
              </w:rPr>
            </w:pPr>
            <w:r w:rsidRPr="00176CAC">
              <w:t>1.3</w:t>
            </w:r>
            <w:r w:rsidRPr="00176CAC">
              <w:tab/>
            </w:r>
            <w:r w:rsidRPr="00176CAC">
              <w:t>Recognise risks and hazards related to the evidence identified and apply mitigation strategies.</w:t>
            </w:r>
          </w:p>
        </w:tc>
      </w:tr>
      <w:tr w:rsidTr="00176CAC">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CAC">
            <w:pPr>
              <w:pStyle w:val="List"/>
              <w:rPr>
                <w:lang w:val="en-NZ"/>
              </w:rPr>
            </w:pPr>
            <w:r w:rsidRPr="00176CAC">
              <w:t>2.</w:t>
            </w:r>
            <w:r w:rsidRPr="00176CAC">
              <w:tab/>
              <w:t>Record examinations using forensic digital imaging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CAC" w:rsidP="00176CAC">
            <w:pPr>
              <w:pStyle w:val="List"/>
            </w:pPr>
            <w:r w:rsidRPr="00176CAC">
              <w:t>2.1</w:t>
            </w:r>
            <w:r w:rsidRPr="00176CAC">
              <w:tab/>
              <w:t>Assess crime/incident scene to select forensic digital imaging technique/s.</w:t>
            </w:r>
          </w:p>
          <w:p w:rsidR="00000000" w:rsidRPr="00176CAC" w:rsidP="00176CAC">
            <w:pPr>
              <w:pStyle w:val="List"/>
            </w:pPr>
            <w:r w:rsidRPr="00176CAC">
              <w:t>2.2</w:t>
            </w:r>
            <w:r w:rsidRPr="00176CAC">
              <w:tab/>
              <w:t>Apply forensic digita</w:t>
            </w:r>
            <w:r w:rsidRPr="00176CAC">
              <w:t>l imaging techniques in a methodical and sequential manner to record scene/incident/evidence.</w:t>
            </w:r>
          </w:p>
          <w:p w:rsidR="00000000" w:rsidP="00176CAC">
            <w:pPr>
              <w:pStyle w:val="List"/>
              <w:rPr>
                <w:lang w:val="en-NZ"/>
              </w:rPr>
            </w:pPr>
            <w:r w:rsidRPr="00176CAC">
              <w:t>2.3</w:t>
            </w:r>
            <w:r w:rsidRPr="00176CAC">
              <w:tab/>
              <w:t>Manage continuity of forensic digital imaging images used for specialist examinations.</w:t>
            </w:r>
          </w:p>
        </w:tc>
      </w:tr>
      <w:tr w:rsidTr="00176CAC">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CAC">
            <w:pPr>
              <w:pStyle w:val="List"/>
              <w:rPr>
                <w:lang w:val="en-NZ"/>
              </w:rPr>
            </w:pPr>
            <w:r w:rsidRPr="00176CAC">
              <w:t>3.</w:t>
            </w:r>
            <w:r w:rsidRPr="00176CAC">
              <w:tab/>
              <w:t>Apply presumptive/ confirmatory testing and enhancement techniques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CAC" w:rsidP="00176CAC">
            <w:pPr>
              <w:pStyle w:val="List"/>
            </w:pPr>
            <w:r w:rsidRPr="00176CAC">
              <w:t>3.1</w:t>
            </w:r>
            <w:r w:rsidRPr="00176CAC">
              <w:tab/>
              <w:t>Select advanced forensic techniques for the examination of trace/gross biological and non-biological evidence material.</w:t>
            </w:r>
          </w:p>
          <w:p w:rsidR="00000000" w:rsidRPr="00176CAC" w:rsidP="00176CAC">
            <w:pPr>
              <w:pStyle w:val="List"/>
            </w:pPr>
            <w:r w:rsidRPr="00176CAC">
              <w:t>3.2</w:t>
            </w:r>
            <w:r w:rsidRPr="00176CAC">
              <w:tab/>
              <w:t>Identify presumptive and/or confirmatory tests to determine sequence of forensic processing.</w:t>
            </w:r>
          </w:p>
          <w:p w:rsidR="00000000" w:rsidRPr="00176CAC" w:rsidP="00176CAC">
            <w:pPr>
              <w:pStyle w:val="List"/>
            </w:pPr>
            <w:r w:rsidRPr="00176CAC">
              <w:t>3.3</w:t>
            </w:r>
            <w:r w:rsidRPr="00176CAC">
              <w:tab/>
              <w:t>Conduct field based presumptive</w:t>
            </w:r>
            <w:r w:rsidRPr="00176CAC">
              <w:t xml:space="preserve"> and/or confirmatory tests to determine the evidentiary value.</w:t>
            </w:r>
          </w:p>
          <w:p w:rsidR="00000000" w:rsidRPr="00176CAC" w:rsidP="00176CAC">
            <w:pPr>
              <w:pStyle w:val="List"/>
            </w:pPr>
            <w:r w:rsidRPr="00176CAC">
              <w:t>3.4</w:t>
            </w:r>
            <w:r w:rsidRPr="00176CAC">
              <w:tab/>
              <w:t>Select forensic enhancement techniques and their sequence to maximise evidentiary value.</w:t>
            </w:r>
          </w:p>
          <w:p w:rsidR="00000000" w:rsidP="00176CAC">
            <w:pPr>
              <w:pStyle w:val="List"/>
              <w:rPr>
                <w:lang w:val="en-NZ"/>
              </w:rPr>
            </w:pPr>
            <w:r w:rsidRPr="00176CAC">
              <w:t>3.5</w:t>
            </w:r>
            <w:r w:rsidRPr="00176CAC">
              <w:tab/>
              <w:t>Conduct forensic enhancement techniques to assist in identifying, recording, collecting and inte</w:t>
            </w:r>
            <w:r w:rsidRPr="00176CAC">
              <w:t>rpreting physical evidence.</w:t>
            </w:r>
          </w:p>
        </w:tc>
      </w:tr>
      <w:tr w:rsidTr="00176CAC">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CAC">
            <w:pPr>
              <w:pStyle w:val="List"/>
              <w:rPr>
                <w:lang w:val="en-NZ"/>
              </w:rPr>
            </w:pPr>
            <w:r w:rsidRPr="00176CAC">
              <w:t>4.</w:t>
            </w:r>
            <w:r w:rsidRPr="00176CAC">
              <w:tab/>
              <w:t>Examine evidence found on/associated with a human body</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CAC" w:rsidP="00176CAC">
            <w:pPr>
              <w:pStyle w:val="List"/>
            </w:pPr>
            <w:r w:rsidRPr="00176CAC">
              <w:t>4.1</w:t>
            </w:r>
            <w:r w:rsidRPr="00176CAC">
              <w:tab/>
              <w:t>Assess human body to locate evidence.</w:t>
            </w:r>
          </w:p>
          <w:p w:rsidR="00000000" w:rsidRPr="00176CAC" w:rsidP="00176CAC">
            <w:pPr>
              <w:pStyle w:val="List"/>
            </w:pPr>
            <w:r w:rsidRPr="00176CAC">
              <w:t>4.2</w:t>
            </w:r>
            <w:r w:rsidRPr="00176CAC">
              <w:tab/>
              <w:t>Select forensic techniques and their sequence to identify, record and collect evidence.</w:t>
            </w:r>
          </w:p>
          <w:p w:rsidR="00000000" w:rsidRPr="00176CAC" w:rsidP="00176CAC">
            <w:pPr>
              <w:pStyle w:val="List"/>
            </w:pPr>
            <w:r w:rsidRPr="00176CAC">
              <w:t>4.3</w:t>
            </w:r>
            <w:r w:rsidRPr="00176CAC">
              <w:tab/>
              <w:t>Apply forensic techniques to re</w:t>
            </w:r>
            <w:r w:rsidRPr="00176CAC">
              <w:t>cord and collect evidence from human body.</w:t>
            </w:r>
          </w:p>
          <w:p w:rsidR="00000000" w:rsidRPr="00176CAC" w:rsidP="00176CAC">
            <w:pPr>
              <w:pStyle w:val="List"/>
            </w:pPr>
            <w:r w:rsidRPr="00176CAC">
              <w:t>4.4</w:t>
            </w:r>
            <w:r w:rsidRPr="00176CAC">
              <w:tab/>
              <w:t>Interpret the nature of wounds/injuries to inform the investigation focus.</w:t>
            </w:r>
          </w:p>
          <w:p w:rsidR="00000000" w:rsidRPr="00176CAC" w:rsidP="00176CAC">
            <w:pPr>
              <w:pStyle w:val="List"/>
            </w:pPr>
            <w:r w:rsidRPr="00176CAC">
              <w:t>4.5</w:t>
            </w:r>
            <w:r w:rsidRPr="00176CAC">
              <w:tab/>
              <w:t>Interpret characteristics of human body associated with death to inform the investigation focus.</w:t>
            </w:r>
          </w:p>
          <w:p w:rsidR="00000000" w:rsidP="00176CAC">
            <w:pPr>
              <w:pStyle w:val="List"/>
              <w:rPr>
                <w:lang w:val="en-NZ"/>
              </w:rPr>
            </w:pPr>
            <w:r w:rsidRPr="00176CAC">
              <w:t>4.6</w:t>
            </w:r>
            <w:r w:rsidRPr="00176CAC">
              <w:tab/>
            </w:r>
            <w:r w:rsidRPr="00176CAC">
              <w:t>Compare available information with examination of human body to verify or disprove information.</w:t>
            </w:r>
          </w:p>
        </w:tc>
      </w:tr>
      <w:tr w:rsidTr="00176CAC">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CAC">
            <w:pPr>
              <w:pStyle w:val="List"/>
              <w:rPr>
                <w:lang w:val="en-NZ"/>
              </w:rPr>
            </w:pPr>
            <w:r w:rsidRPr="00176CAC">
              <w:t>5.</w:t>
            </w:r>
            <w:r w:rsidRPr="00176CAC">
              <w:tab/>
              <w:t xml:space="preserve">Perform comparative / interpretative </w:t>
            </w:r>
            <w:r w:rsidRPr="00176CAC">
              <w:t>analyses of physical evidence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CAC" w:rsidP="00176CAC">
            <w:pPr>
              <w:pStyle w:val="List"/>
            </w:pPr>
            <w:r w:rsidRPr="00176CAC">
              <w:t>5.1</w:t>
            </w:r>
            <w:r w:rsidRPr="00176CAC">
              <w:tab/>
              <w:t>Identify comparative or interpretative analysis methodologies to maximise evidentiary</w:t>
            </w:r>
            <w:r w:rsidRPr="00176CAC">
              <w:t xml:space="preserve"> value.</w:t>
            </w:r>
          </w:p>
          <w:p w:rsidR="00000000" w:rsidRPr="00176CAC" w:rsidP="00176CAC">
            <w:pPr>
              <w:pStyle w:val="List"/>
            </w:pPr>
            <w:r w:rsidRPr="00176CAC">
              <w:t>5.2</w:t>
            </w:r>
            <w:r w:rsidRPr="00176CAC">
              <w:tab/>
              <w:t>Apply comparative or interpretative analysis examinations to establish an opinion of inclusion/exclusion or insufficiency.</w:t>
            </w:r>
          </w:p>
          <w:p w:rsidR="00000000" w:rsidRPr="00176CAC" w:rsidP="00176CAC">
            <w:pPr>
              <w:pStyle w:val="List"/>
            </w:pPr>
            <w:r w:rsidRPr="00176CAC">
              <w:t>5.3</w:t>
            </w:r>
            <w:r w:rsidRPr="00176CAC">
              <w:tab/>
              <w:t>Acknowledge limitations of the information/evidence when providing an opinion.</w:t>
            </w:r>
          </w:p>
          <w:p w:rsidR="00000000" w:rsidRPr="00176CAC" w:rsidP="00176CAC">
            <w:pPr>
              <w:pStyle w:val="List"/>
            </w:pPr>
            <w:r w:rsidRPr="00176CAC">
              <w:t>5.4</w:t>
            </w:r>
            <w:r w:rsidRPr="00176CAC">
              <w:tab/>
              <w:t>Identify assumptions and factual p</w:t>
            </w:r>
            <w:r w:rsidRPr="00176CAC">
              <w:t>remises on which evidence is based to support the opinion.</w:t>
            </w:r>
          </w:p>
          <w:p w:rsidR="00000000" w:rsidRPr="00176CAC" w:rsidP="00176CAC">
            <w:pPr>
              <w:pStyle w:val="List"/>
            </w:pPr>
            <w:r w:rsidRPr="00176CAC">
              <w:t>5.5</w:t>
            </w:r>
            <w:r w:rsidRPr="00176CAC">
              <w:tab/>
              <w:t>Assess the opinion to determine whether it withstands scrutiny.</w:t>
            </w:r>
          </w:p>
          <w:p w:rsidR="00000000" w:rsidP="00176CAC">
            <w:pPr>
              <w:pStyle w:val="List"/>
              <w:rPr>
                <w:lang w:val="en-NZ"/>
              </w:rPr>
            </w:pPr>
            <w:r w:rsidRPr="00176CAC">
              <w:t>5.6</w:t>
            </w:r>
            <w:r w:rsidRPr="00176CAC">
              <w:tab/>
              <w:t>Justify opinions by explaining the process of reasoning.</w:t>
            </w:r>
          </w:p>
        </w:tc>
      </w:tr>
      <w:tr w:rsidTr="00176CAC">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CAC">
            <w:pPr>
              <w:pStyle w:val="List"/>
              <w:rPr>
                <w:lang w:val="en-NZ"/>
              </w:rPr>
            </w:pPr>
            <w:r w:rsidRPr="00176CAC">
              <w:t>6.</w:t>
            </w:r>
            <w:r w:rsidRPr="00176CAC">
              <w:tab/>
              <w:t>Present expert opinion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CAC" w:rsidP="00176CAC">
            <w:pPr>
              <w:pStyle w:val="List"/>
            </w:pPr>
            <w:r w:rsidRPr="00176CAC">
              <w:t>6.1</w:t>
            </w:r>
            <w:r w:rsidRPr="00176CAC">
              <w:tab/>
              <w:t>Assess opinion using peer review.</w:t>
            </w:r>
          </w:p>
          <w:p w:rsidR="00000000" w:rsidRPr="00176CAC" w:rsidP="00176CAC">
            <w:pPr>
              <w:pStyle w:val="List"/>
            </w:pPr>
            <w:r w:rsidRPr="00176CAC">
              <w:t>6.2</w:t>
            </w:r>
            <w:r w:rsidRPr="00176CAC">
              <w:tab/>
              <w:t>Report opinion to inform investigation.</w:t>
            </w:r>
          </w:p>
          <w:p w:rsidR="00000000" w:rsidRPr="00176CAC" w:rsidP="00176CAC">
            <w:pPr>
              <w:pStyle w:val="List"/>
            </w:pPr>
            <w:r w:rsidRPr="00176CAC">
              <w:t>6.3</w:t>
            </w:r>
            <w:r w:rsidRPr="00176CAC">
              <w:tab/>
              <w:t>Prepare and present expert advice to inform stakeholders of outcomes of examinations and opinion evidence at Court.</w:t>
            </w:r>
          </w:p>
          <w:p w:rsidR="00000000" w:rsidRPr="00176CAC" w:rsidP="00176CAC">
            <w:pPr>
              <w:pStyle w:val="List"/>
            </w:pPr>
            <w:r w:rsidRPr="00176CAC">
              <w:t>6.4</w:t>
            </w:r>
            <w:r w:rsidRPr="00176CAC">
              <w:tab/>
              <w:t>Review opinion and delivery to identify future improvements.</w:t>
            </w:r>
          </w:p>
        </w:tc>
      </w:tr>
    </w:tbl>
    <w:p w:rsidR="00000000" w:rsidRPr="00176CAC" w:rsidP="00176CAC">
      <w:pPr>
        <w:pStyle w:val="BodyText"/>
      </w:pPr>
    </w:p>
    <w:p w:rsidR="00000000" w:rsidRPr="00176CAC" w:rsidP="00176CAC">
      <w:pPr>
        <w:pStyle w:val="AllowPageBreak"/>
      </w:pPr>
    </w:p>
    <w:p w:rsidR="00000000" w:rsidRPr="00176CAC" w:rsidP="00176CAC">
      <w:pPr>
        <w:pStyle w:val="Heading1"/>
      </w:pPr>
      <w:bookmarkStart w:id="7" w:name="O_1283603"/>
      <w:bookmarkEnd w:id="7"/>
      <w:r w:rsidRPr="00176CAC">
        <w:t>Foundatio</w:t>
      </w:r>
      <w:r w:rsidRPr="00176CAC">
        <w:t>n Skills</w:t>
      </w:r>
    </w:p>
    <w:p w:rsidR="00000000" w:rsidRPr="00176CAC" w:rsidP="006A7108">
      <w:pPr>
        <w:pStyle w:val="BodyText"/>
      </w:pPr>
      <w:r w:rsidRPr="00176CAC">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176CAC" w:rsidP="006A7108">
      <w:pPr>
        <w:pStyle w:val="BodyText"/>
      </w:pPr>
      <w:r w:rsidRPr="00176CAC">
        <w:t>The ability to interpret messages and text, record observations and evidence, communicate with purpose to different communities and audiences, plan and schedule tasks according to estimated timeframes, continuously seek to learn through on-the-job observa</w:t>
      </w:r>
      <w:r w:rsidRPr="00176CAC">
        <w:t>tions, solve problems, work with others in a team, plan and organise activities and self-manage behaviour are core foundation skills relevant to the policing context.</w:t>
      </w:r>
    </w:p>
    <w:tbl>
      <w:tblPr>
        <w:tblW w:w="9281" w:type="dxa"/>
        <w:tblLayout w:type="fixed"/>
        <w:tblCellMar>
          <w:left w:w="62" w:type="dxa"/>
          <w:right w:w="62" w:type="dxa"/>
        </w:tblCellMar>
        <w:tblLook w:val="0000"/>
      </w:tblPr>
      <w:tblGrid>
        <w:gridCol w:w="2436"/>
        <w:gridCol w:w="6845"/>
      </w:tblGrid>
      <w:tr w:rsidTr="00176CAC">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176CAC" w:rsidP="00176CAC">
            <w:pPr>
              <w:pStyle w:val="BodyText"/>
            </w:pPr>
            <w:r w:rsidRPr="00176CAC">
              <w:rPr>
                <w:rStyle w:val="SpecialBold"/>
              </w:rPr>
              <w:t>Skill</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176CAC">
            <w:pPr>
              <w:pStyle w:val="BodyText"/>
              <w:rPr>
                <w:lang w:val="en-NZ"/>
              </w:rPr>
            </w:pPr>
            <w:r w:rsidRPr="00176CAC">
              <w:rPr>
                <w:rStyle w:val="SpecialBold"/>
              </w:rPr>
              <w:t>Description</w:t>
            </w:r>
          </w:p>
        </w:tc>
      </w:tr>
      <w:tr w:rsidTr="00176CAC">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176CAC">
            <w:pPr>
              <w:pStyle w:val="BodyText"/>
              <w:rPr>
                <w:lang w:val="en-NZ"/>
              </w:rPr>
            </w:pPr>
            <w:r w:rsidRPr="00176CAC">
              <w:rPr>
                <w:rStyle w:val="SpecialBold"/>
              </w:rPr>
              <w:t>Learning</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176CAC" w:rsidP="00176CAC">
            <w:pPr>
              <w:pStyle w:val="BodyText"/>
            </w:pPr>
            <w:r w:rsidRPr="00176CAC">
              <w:t>Assess opinions using additional information.</w:t>
            </w:r>
          </w:p>
          <w:p w:rsidR="00000000" w:rsidP="00176CAC">
            <w:pPr>
              <w:pStyle w:val="BodyText"/>
              <w:rPr>
                <w:lang w:val="en-NZ"/>
              </w:rPr>
            </w:pPr>
            <w:r w:rsidRPr="00176CAC">
              <w:t>Build an understanding of risk mitigation activities.</w:t>
            </w:r>
          </w:p>
        </w:tc>
      </w:tr>
      <w:tr w:rsidTr="00176CAC">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176CAC">
            <w:pPr>
              <w:pStyle w:val="BodyText"/>
              <w:rPr>
                <w:lang w:val="en-NZ"/>
              </w:rPr>
            </w:pPr>
            <w:r w:rsidRPr="00176CAC">
              <w:rPr>
                <w:rStyle w:val="SpecialBold"/>
              </w:rPr>
              <w:t>Reading</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176CAC" w:rsidP="00176CAC">
            <w:pPr>
              <w:pStyle w:val="BodyText"/>
            </w:pPr>
            <w:r w:rsidRPr="00176CAC">
              <w:t>Read and apply jurisdictional coronial and criminal legislation related to forensic investigation.</w:t>
            </w:r>
          </w:p>
          <w:p w:rsidR="00000000" w:rsidRPr="00176CAC" w:rsidP="00176CAC">
            <w:pPr>
              <w:pStyle w:val="BodyText"/>
            </w:pPr>
            <w:r w:rsidRPr="00176CAC">
              <w:t>Read, interpret and evaluate complex information related to forensic science techniques.</w:t>
            </w:r>
          </w:p>
          <w:p w:rsidR="00000000" w:rsidRPr="00176CAC" w:rsidP="00176CAC">
            <w:pPr>
              <w:pStyle w:val="BodyText"/>
            </w:pPr>
            <w:r w:rsidRPr="00176CAC">
              <w:t xml:space="preserve">Read </w:t>
            </w:r>
            <w:r w:rsidRPr="00176CAC">
              <w:t>and review examination results for reliability and justification.</w:t>
            </w:r>
          </w:p>
          <w:p w:rsidR="00000000" w:rsidP="00176CAC">
            <w:pPr>
              <w:pStyle w:val="BodyText"/>
              <w:rPr>
                <w:lang w:val="en-NZ"/>
              </w:rPr>
            </w:pPr>
            <w:r w:rsidRPr="00176CAC">
              <w:t>Read and compare recorded evidence data to draw conclusions/opinions.</w:t>
            </w:r>
          </w:p>
        </w:tc>
      </w:tr>
      <w:tr w:rsidTr="00176CAC">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176CAC">
            <w:pPr>
              <w:pStyle w:val="BodyText"/>
              <w:rPr>
                <w:lang w:val="en-NZ"/>
              </w:rPr>
            </w:pPr>
            <w:r w:rsidRPr="00176CAC">
              <w:rPr>
                <w:rStyle w:val="SpecialBold"/>
              </w:rPr>
              <w:t>Writing</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176CAC" w:rsidP="00176CAC">
            <w:pPr>
              <w:pStyle w:val="BodyText"/>
            </w:pPr>
            <w:r w:rsidRPr="00176CAC">
              <w:t>Record observations and test data to assist in interpreting physical evidence.</w:t>
            </w:r>
          </w:p>
          <w:p w:rsidR="00000000" w:rsidP="00176CAC">
            <w:pPr>
              <w:pStyle w:val="BodyText"/>
              <w:rPr>
                <w:lang w:val="en-NZ"/>
              </w:rPr>
            </w:pPr>
            <w:r w:rsidRPr="00176CAC">
              <w:t>Conduct and record comparative a</w:t>
            </w:r>
            <w:r w:rsidRPr="00176CAC">
              <w:t>nalysis examinations.</w:t>
            </w:r>
          </w:p>
        </w:tc>
      </w:tr>
      <w:tr w:rsidTr="00176CAC">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176CAC">
            <w:pPr>
              <w:pStyle w:val="BodyText"/>
              <w:rPr>
                <w:lang w:val="en-NZ"/>
              </w:rPr>
            </w:pPr>
            <w:r w:rsidRPr="00176CAC">
              <w:rPr>
                <w:rStyle w:val="SpecialBold"/>
              </w:rPr>
              <w:t>Oral communication</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176CAC">
            <w:pPr>
              <w:pStyle w:val="BodyText"/>
              <w:rPr>
                <w:lang w:val="en-NZ"/>
              </w:rPr>
            </w:pPr>
            <w:r w:rsidRPr="00176CAC">
              <w:t>Discuss examination results and conclusions with team members.</w:t>
            </w:r>
          </w:p>
        </w:tc>
      </w:tr>
      <w:tr w:rsidTr="00176CAC">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176CAC">
            <w:pPr>
              <w:pStyle w:val="BodyText"/>
              <w:rPr>
                <w:lang w:val="en-NZ"/>
              </w:rPr>
            </w:pPr>
            <w:r w:rsidRPr="00176CAC">
              <w:rPr>
                <w:rStyle w:val="SpecialBold"/>
              </w:rPr>
              <w:t>Numeracy</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176CAC" w:rsidP="00176CAC">
            <w:pPr>
              <w:pStyle w:val="BodyText"/>
            </w:pPr>
            <w:r w:rsidRPr="00176CAC">
              <w:t>Apply principles of physics and perform calculations related to mechanics and motion, forces, trajectory, electricity.</w:t>
            </w:r>
          </w:p>
        </w:tc>
      </w:tr>
    </w:tbl>
    <w:p w:rsidR="00000000" w:rsidRPr="00176CAC" w:rsidP="00176CAC">
      <w:pPr>
        <w:pStyle w:val="BodyText"/>
      </w:pPr>
    </w:p>
    <w:p w:rsidR="00000000" w:rsidRPr="00176CAC" w:rsidP="00176CAC">
      <w:pPr>
        <w:pStyle w:val="AllowPageBreak"/>
      </w:pPr>
    </w:p>
    <w:p w:rsidR="00000000" w:rsidRPr="00176CAC" w:rsidP="00176CAC">
      <w:pPr>
        <w:pStyle w:val="Heading1"/>
      </w:pPr>
      <w:bookmarkStart w:id="8" w:name="O_1283604"/>
      <w:bookmarkEnd w:id="8"/>
      <w:r w:rsidRPr="00176CAC">
        <w:t>Range of Conditions</w:t>
      </w:r>
    </w:p>
    <w:p w:rsidR="00000000" w:rsidRPr="00176CAC" w:rsidP="006A7108">
      <w:pPr>
        <w:pStyle w:val="BodyText"/>
      </w:pPr>
      <w:r w:rsidRPr="00176CAC">
        <w:t>Not applicable</w:t>
      </w:r>
    </w:p>
    <w:p w:rsidR="00000000" w:rsidRPr="00176CAC" w:rsidP="00176CAC">
      <w:pPr>
        <w:pStyle w:val="Heading1"/>
      </w:pPr>
      <w:bookmarkStart w:id="9" w:name="O_1283605"/>
      <w:bookmarkEnd w:id="9"/>
      <w:r w:rsidRPr="00176CAC">
        <w:t>Unit Mapping Information</w:t>
      </w:r>
    </w:p>
    <w:p w:rsidR="00000000" w:rsidRPr="00176CAC" w:rsidP="006A7108">
      <w:pPr>
        <w:pStyle w:val="BodyText"/>
      </w:pPr>
      <w:r w:rsidRPr="00176CAC">
        <w:t xml:space="preserve">This unit replaces but is not equivalent to </w:t>
      </w:r>
      <w:r w:rsidRPr="00176CAC">
        <w:rPr>
          <w:rStyle w:val="Emphasis"/>
        </w:rPr>
        <w:t>POLFOR001 Apply specialised forensic science techniques</w:t>
      </w:r>
    </w:p>
    <w:p w:rsidR="00000000" w:rsidRPr="00176CAC" w:rsidP="00176CAC">
      <w:pPr>
        <w:pStyle w:val="Heading1"/>
      </w:pPr>
      <w:bookmarkStart w:id="10" w:name="O_1283612"/>
      <w:bookmarkEnd w:id="10"/>
      <w:r w:rsidRPr="00176CAC">
        <w:t>Links</w:t>
      </w:r>
    </w:p>
    <w:p w:rsidR="00000000" w:rsidRPr="00176CAC" w:rsidP="006A7108">
      <w:pPr>
        <w:pStyle w:val="BodyText"/>
      </w:pPr>
      <w:r w:rsidRPr="00176CAC">
        <w:t>Compani</w:t>
      </w:r>
      <w:r w:rsidRPr="00176CAC">
        <w:t xml:space="preserve">on Volume implementation guides are found in VETNet - </w:t>
      </w:r>
      <w:r>
        <w:fldChar w:fldCharType="begin"/>
      </w:r>
      <w:r>
        <w:instrText xml:space="preserve"> HYPERLINK "https://vetnet.gov.au/Pages/TrainingDocs.aspx?q=98c3984e-2cf1-48a8-8ed1-85e4b92e7351" </w:instrText>
      </w:r>
      <w:r>
        <w:fldChar w:fldCharType="separate"/>
      </w:r>
      <w:r w:rsidRPr="00294A07">
        <w:rPr>
          <w:rStyle w:val="Hyperlink"/>
        </w:rPr>
        <w:t>https://vetnet.gov.au/Pages/TrainingDocs.aspx?q=98c3984e-2cf1-48a8-8ed1-85e4b92e7351</w:t>
      </w:r>
      <w:r>
        <w:fldChar w:fldCharType="end"/>
      </w:r>
    </w:p>
    <w:p w:rsidR="00000000" w:rsidRPr="00176CAC" w:rsidP="00176CAC"/>
    <w:sectPr w:rsidSect="00176C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CAC" w:rsidRPr="006A7108" w:rsidP="006A7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108" w:rsidP="00176C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108" w:rsidP="00176CA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A7108" w:rsidP="00176C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1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CAC" w:rsidRPr="006A7108" w:rsidP="006A71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108" w:rsidRPr="002D2AF8" w:rsidP="00176CAC">
    <w:pPr>
      <w:pStyle w:val="Header"/>
      <w:framePr w:wrap="around"/>
    </w:pPr>
    <w:r>
      <w:fldChar w:fldCharType="begin"/>
    </w:r>
    <w:r>
      <w:instrText xml:space="preserve"> TITLE   \* MERGEFORMAT </w:instrText>
    </w:r>
    <w:r>
      <w:fldChar w:fldCharType="separate"/>
    </w:r>
    <w:r>
      <w:t>POLFOR031 Apply specialised forensic science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6A7108" w:rsidP="00176C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C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CAC"/>
    <w:pPr>
      <w:spacing w:before="360" w:after="60"/>
      <w:outlineLvl w:val="0"/>
    </w:pPr>
    <w:rPr>
      <w:sz w:val="32"/>
    </w:rPr>
  </w:style>
  <w:style w:type="paragraph" w:styleId="Heading2">
    <w:name w:val="heading 2"/>
    <w:basedOn w:val="HeadingBase"/>
    <w:next w:val="BodyText"/>
    <w:link w:val="Heading2Char"/>
    <w:qFormat/>
    <w:rsid w:val="00176CAC"/>
    <w:pPr>
      <w:keepLines/>
      <w:spacing w:before="240" w:after="120"/>
      <w:outlineLvl w:val="1"/>
    </w:pPr>
    <w:rPr>
      <w:sz w:val="28"/>
      <w:szCs w:val="40"/>
    </w:rPr>
  </w:style>
  <w:style w:type="paragraph" w:styleId="Heading3">
    <w:name w:val="heading 3"/>
    <w:basedOn w:val="HeadingBase"/>
    <w:next w:val="BodyText"/>
    <w:link w:val="Heading3Char"/>
    <w:qFormat/>
    <w:rsid w:val="00176CAC"/>
    <w:pPr>
      <w:spacing w:before="180" w:after="120"/>
      <w:outlineLvl w:val="2"/>
    </w:pPr>
    <w:rPr>
      <w:spacing w:val="-10"/>
      <w:kern w:val="32"/>
    </w:rPr>
  </w:style>
  <w:style w:type="paragraph" w:styleId="Heading4">
    <w:name w:val="heading 4"/>
    <w:basedOn w:val="HeadingBase"/>
    <w:next w:val="BodyText"/>
    <w:link w:val="Heading4Char"/>
    <w:qFormat/>
    <w:rsid w:val="00176CAC"/>
    <w:pPr>
      <w:spacing w:before="160" w:after="120"/>
      <w:outlineLvl w:val="3"/>
    </w:pPr>
    <w:rPr>
      <w:sz w:val="22"/>
    </w:rPr>
  </w:style>
  <w:style w:type="paragraph" w:styleId="Heading5">
    <w:name w:val="heading 5"/>
    <w:basedOn w:val="HeadingBase"/>
    <w:next w:val="Normal"/>
    <w:link w:val="Heading5Char"/>
    <w:qFormat/>
    <w:rsid w:val="00176CAC"/>
    <w:pPr>
      <w:spacing w:before="80"/>
      <w:outlineLvl w:val="4"/>
    </w:pPr>
    <w:rPr>
      <w:color w:val="918585"/>
      <w:sz w:val="20"/>
    </w:rPr>
  </w:style>
  <w:style w:type="paragraph" w:styleId="Heading6">
    <w:name w:val="heading 6"/>
    <w:basedOn w:val="HeadingBase"/>
    <w:next w:val="Normal"/>
    <w:link w:val="Heading6Char"/>
    <w:qFormat/>
    <w:rsid w:val="00176CAC"/>
    <w:pPr>
      <w:spacing w:before="60"/>
      <w:outlineLvl w:val="5"/>
    </w:pPr>
    <w:rPr>
      <w:color w:val="918585"/>
      <w:sz w:val="20"/>
    </w:rPr>
  </w:style>
  <w:style w:type="paragraph" w:styleId="Heading7">
    <w:name w:val="heading 7"/>
    <w:basedOn w:val="Normal"/>
    <w:next w:val="Normal"/>
    <w:link w:val="Heading7Char"/>
    <w:qFormat/>
    <w:rsid w:val="00176CAC"/>
    <w:pPr>
      <w:ind w:left="720"/>
      <w:outlineLvl w:val="6"/>
    </w:pPr>
    <w:rPr>
      <w:i/>
    </w:rPr>
  </w:style>
  <w:style w:type="paragraph" w:styleId="Heading8">
    <w:name w:val="heading 8"/>
    <w:basedOn w:val="Normal"/>
    <w:next w:val="Normal"/>
    <w:link w:val="Heading8Char"/>
    <w:qFormat/>
    <w:rsid w:val="00176CAC"/>
    <w:pPr>
      <w:ind w:left="720"/>
      <w:outlineLvl w:val="7"/>
    </w:pPr>
    <w:rPr>
      <w:i/>
    </w:rPr>
  </w:style>
  <w:style w:type="paragraph" w:styleId="Heading9">
    <w:name w:val="heading 9"/>
    <w:basedOn w:val="Normal"/>
    <w:next w:val="Normal"/>
    <w:link w:val="Heading9Char"/>
    <w:qFormat/>
    <w:rsid w:val="00176CAC"/>
    <w:pPr>
      <w:ind w:left="720"/>
      <w:outlineLvl w:val="8"/>
    </w:pPr>
    <w:rPr>
      <w:i/>
    </w:rPr>
  </w:style>
  <w:style w:type="character" w:default="1" w:styleId="DefaultParagraphFont">
    <w:name w:val="Default Paragraph Font"/>
    <w:uiPriority w:val="1"/>
    <w:unhideWhenUsed/>
    <w:rsid w:val="00176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CAC"/>
  </w:style>
  <w:style w:type="character" w:customStyle="1" w:styleId="Heading1Char">
    <w:name w:val="Heading 1 Char"/>
    <w:basedOn w:val="DefaultParagraphFont"/>
    <w:link w:val="Heading1"/>
    <w:rsid w:val="00176CAC"/>
    <w:rPr>
      <w:rFonts w:ascii="Times New Roman" w:eastAsia="Times New Roman" w:hAnsi="Times New Roman" w:cs="Times New Roman"/>
      <w:b/>
      <w:sz w:val="32"/>
      <w:szCs w:val="20"/>
      <w:lang w:eastAsia="en-US"/>
    </w:rPr>
  </w:style>
  <w:style w:type="paragraph" w:styleId="BodyText">
    <w:name w:val="Body Text"/>
    <w:basedOn w:val="Normal"/>
    <w:link w:val="BodyTextChar"/>
    <w:rsid w:val="00176C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CAC"/>
    <w:rPr>
      <w:rFonts w:ascii="Times New Roman" w:eastAsia="Times New Roman" w:hAnsi="Times New Roman" w:cs="Times New Roman"/>
      <w:sz w:val="24"/>
      <w:lang w:eastAsia="en-US"/>
    </w:rPr>
  </w:style>
  <w:style w:type="paragraph" w:styleId="List">
    <w:name w:val="List"/>
    <w:basedOn w:val="BodyText"/>
    <w:next w:val="BodyText"/>
    <w:rsid w:val="00176CAC"/>
    <w:pPr>
      <w:tabs>
        <w:tab w:val="left" w:pos="340"/>
      </w:tabs>
      <w:spacing w:before="60" w:after="60"/>
      <w:ind w:left="340" w:hanging="340"/>
    </w:pPr>
  </w:style>
  <w:style w:type="character" w:customStyle="1" w:styleId="SpecialBold">
    <w:name w:val="Special Bold"/>
    <w:basedOn w:val="DefaultParagraphFont"/>
    <w:rsid w:val="00176CAC"/>
    <w:rPr>
      <w:b/>
      <w:spacing w:val="0"/>
    </w:rPr>
  </w:style>
  <w:style w:type="character" w:styleId="Emphasis">
    <w:name w:val="Emphasis"/>
    <w:basedOn w:val="DefaultParagraphFont"/>
    <w:qFormat/>
    <w:rsid w:val="00176CAC"/>
    <w:rPr>
      <w:i/>
    </w:rPr>
  </w:style>
  <w:style w:type="paragraph" w:customStyle="1" w:styleId="SuperHeading">
    <w:name w:val="SuperHeading"/>
    <w:basedOn w:val="Normal"/>
    <w:rsid w:val="00176CAC"/>
    <w:pPr>
      <w:spacing w:before="240" w:after="120"/>
      <w:outlineLvl w:val="0"/>
    </w:pPr>
    <w:rPr>
      <w:rFonts w:ascii="Times New Roman" w:hAnsi="Times New Roman"/>
      <w:b/>
      <w:sz w:val="32"/>
    </w:rPr>
  </w:style>
  <w:style w:type="paragraph" w:customStyle="1" w:styleId="TableHeading">
    <w:name w:val="Table Heading"/>
    <w:basedOn w:val="HeadingBase"/>
    <w:rsid w:val="00176CAC"/>
    <w:pPr>
      <w:keepLines/>
      <w:pBdr>
        <w:bottom w:val="single" w:sz="6" w:space="1" w:color="918585"/>
      </w:pBdr>
      <w:spacing w:before="240"/>
    </w:pPr>
  </w:style>
  <w:style w:type="paragraph" w:customStyle="1" w:styleId="AllowPageBreak">
    <w:name w:val="AllowPageBreak"/>
    <w:rsid w:val="00176C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C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C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C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C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C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C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CAC"/>
    <w:rPr>
      <w:rFonts w:ascii="Courier New" w:eastAsia="Times New Roman" w:hAnsi="Courier New" w:cs="Times New Roman"/>
      <w:i/>
      <w:szCs w:val="20"/>
      <w:lang w:eastAsia="en-US"/>
    </w:rPr>
  </w:style>
  <w:style w:type="paragraph" w:customStyle="1" w:styleId="HeadingBase">
    <w:name w:val="Heading Base"/>
    <w:rsid w:val="00176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CAC"/>
    <w:pPr>
      <w:tabs>
        <w:tab w:val="right" w:leader="dot" w:pos="9072"/>
      </w:tabs>
      <w:ind w:left="567"/>
    </w:pPr>
    <w:rPr>
      <w:szCs w:val="22"/>
    </w:rPr>
  </w:style>
  <w:style w:type="paragraph" w:customStyle="1" w:styleId="TOCBase">
    <w:name w:val="TOC Base"/>
    <w:rsid w:val="00176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CAC"/>
    <w:pPr>
      <w:tabs>
        <w:tab w:val="right" w:leader="dot" w:pos="9072"/>
      </w:tabs>
      <w:spacing w:before="40" w:after="40"/>
      <w:ind w:left="284"/>
    </w:pPr>
    <w:rPr>
      <w:rFonts w:ascii="Times New Roman" w:hAnsi="Times New Roman"/>
    </w:rPr>
  </w:style>
  <w:style w:type="paragraph" w:styleId="TOC1">
    <w:name w:val="toc 1"/>
    <w:basedOn w:val="TOCBase"/>
    <w:next w:val="Normal"/>
    <w:rsid w:val="00176C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CAC"/>
    <w:rPr>
      <w:rFonts w:ascii="Times New Roman" w:eastAsia="Times New Roman" w:hAnsi="Times New Roman" w:cs="Times New Roman"/>
      <w:sz w:val="16"/>
      <w:lang w:eastAsia="en-US"/>
    </w:rPr>
  </w:style>
  <w:style w:type="paragraph" w:styleId="Title">
    <w:name w:val="Title"/>
    <w:basedOn w:val="HeadingBase"/>
    <w:link w:val="TitleChar"/>
    <w:qFormat/>
    <w:rsid w:val="00176CAC"/>
    <w:pPr>
      <w:spacing w:before="5040"/>
      <w:jc w:val="center"/>
    </w:pPr>
    <w:rPr>
      <w:sz w:val="48"/>
      <w:szCs w:val="72"/>
      <w:lang w:val="en-US"/>
    </w:rPr>
  </w:style>
  <w:style w:type="character" w:customStyle="1" w:styleId="TitleChar">
    <w:name w:val="Title Char"/>
    <w:basedOn w:val="DefaultParagraphFont"/>
    <w:link w:val="Title"/>
    <w:rsid w:val="00176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CAC"/>
    <w:pPr>
      <w:tabs>
        <w:tab w:val="left" w:pos="3600"/>
        <w:tab w:val="left" w:pos="3958"/>
      </w:tabs>
    </w:pPr>
  </w:style>
  <w:style w:type="paragraph" w:styleId="ListBullet">
    <w:name w:val="List Bullet"/>
    <w:basedOn w:val="List"/>
    <w:rsid w:val="00176CAC"/>
    <w:pPr>
      <w:numPr>
        <w:numId w:val="10"/>
      </w:numPr>
      <w:tabs>
        <w:tab w:val="clear" w:pos="340"/>
      </w:tabs>
      <w:spacing w:before="40" w:after="40"/>
    </w:pPr>
  </w:style>
  <w:style w:type="paragraph" w:customStyle="1" w:styleId="Note">
    <w:name w:val="Note"/>
    <w:basedOn w:val="BodyText"/>
    <w:rsid w:val="00176C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CAC"/>
    <w:pPr>
      <w:framePr w:wrap="auto" w:hAnchor="text" w:y="6049"/>
    </w:pPr>
    <w:rPr>
      <w:color w:val="000000"/>
      <w:sz w:val="40"/>
    </w:rPr>
  </w:style>
  <w:style w:type="paragraph" w:customStyle="1" w:styleId="TOCTitle">
    <w:name w:val="TOCTitle"/>
    <w:basedOn w:val="Heading1"/>
    <w:rsid w:val="00176CAC"/>
    <w:pPr>
      <w:spacing w:after="240"/>
      <w:jc w:val="center"/>
      <w:outlineLvl w:val="9"/>
    </w:pPr>
    <w:rPr>
      <w:caps/>
    </w:rPr>
  </w:style>
  <w:style w:type="paragraph" w:customStyle="1" w:styleId="Version">
    <w:name w:val="Version"/>
    <w:rsid w:val="00176C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6CAC"/>
    <w:pPr>
      <w:numPr>
        <w:numId w:val="11"/>
      </w:numPr>
      <w:tabs>
        <w:tab w:val="clear" w:pos="680"/>
      </w:tabs>
    </w:pPr>
  </w:style>
  <w:style w:type="paragraph" w:styleId="Index1">
    <w:name w:val="index 1"/>
    <w:basedOn w:val="Normal"/>
    <w:next w:val="Normal"/>
    <w:semiHidden/>
    <w:rsid w:val="00176CAC"/>
    <w:pPr>
      <w:keepNext w:val="0"/>
      <w:tabs>
        <w:tab w:val="right" w:pos="4176"/>
      </w:tabs>
      <w:ind w:left="198" w:hanging="198"/>
    </w:pPr>
    <w:rPr>
      <w:rFonts w:ascii="Garamond" w:hAnsi="Garamond"/>
    </w:rPr>
  </w:style>
  <w:style w:type="paragraph" w:styleId="IndexHeading">
    <w:name w:val="index heading"/>
    <w:basedOn w:val="Normal"/>
    <w:next w:val="Index1"/>
    <w:semiHidden/>
    <w:rsid w:val="00176CAC"/>
    <w:pPr>
      <w:spacing w:before="120" w:after="120"/>
    </w:pPr>
    <w:rPr>
      <w:rFonts w:ascii="Arial" w:hAnsi="Arial"/>
      <w:b/>
      <w:color w:val="918585"/>
      <w:sz w:val="24"/>
    </w:rPr>
  </w:style>
  <w:style w:type="paragraph" w:styleId="Header">
    <w:name w:val="header"/>
    <w:basedOn w:val="Normal"/>
    <w:link w:val="HeaderChar"/>
    <w:rsid w:val="00176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CAC"/>
    <w:rPr>
      <w:rFonts w:ascii="Times New Roman" w:eastAsia="Times New Roman" w:hAnsi="Times New Roman" w:cs="Times New Roman"/>
      <w:sz w:val="16"/>
      <w:szCs w:val="20"/>
      <w:lang w:val="en-GB" w:eastAsia="en-US"/>
    </w:rPr>
  </w:style>
  <w:style w:type="paragraph" w:customStyle="1" w:styleId="Chapter">
    <w:name w:val="Chapter"/>
    <w:basedOn w:val="Normal"/>
    <w:rsid w:val="00176CAC"/>
    <w:pPr>
      <w:spacing w:before="240"/>
    </w:pPr>
    <w:rPr>
      <w:rFonts w:ascii="Times New Roman" w:hAnsi="Times New Roman"/>
      <w:smallCaps/>
      <w:spacing w:val="80"/>
      <w:sz w:val="28"/>
    </w:rPr>
  </w:style>
  <w:style w:type="paragraph" w:customStyle="1" w:styleId="InChapter">
    <w:name w:val="InChapter"/>
    <w:basedOn w:val="Heading3"/>
    <w:rsid w:val="00176CAC"/>
    <w:pPr>
      <w:spacing w:after="240"/>
      <w:outlineLvl w:val="9"/>
    </w:pPr>
    <w:rPr>
      <w:noProof/>
    </w:rPr>
  </w:style>
  <w:style w:type="paragraph" w:styleId="Index2">
    <w:name w:val="index 2"/>
    <w:basedOn w:val="Normal"/>
    <w:next w:val="Normal"/>
    <w:semiHidden/>
    <w:rsid w:val="00176CAC"/>
    <w:pPr>
      <w:tabs>
        <w:tab w:val="right" w:pos="4176"/>
      </w:tabs>
      <w:ind w:left="568" w:hanging="284"/>
    </w:pPr>
    <w:rPr>
      <w:rFonts w:ascii="Garamond" w:hAnsi="Garamond"/>
    </w:rPr>
  </w:style>
  <w:style w:type="paragraph" w:customStyle="1" w:styleId="Byline">
    <w:name w:val="Byline"/>
    <w:rsid w:val="00176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CAC"/>
    <w:pPr>
      <w:tabs>
        <w:tab w:val="clear" w:pos="3600"/>
        <w:tab w:val="clear" w:pos="3958"/>
      </w:tabs>
      <w:jc w:val="right"/>
    </w:pPr>
  </w:style>
  <w:style w:type="paragraph" w:styleId="Caption">
    <w:name w:val="caption"/>
    <w:basedOn w:val="BodyText"/>
    <w:next w:val="Normal"/>
    <w:qFormat/>
    <w:rsid w:val="00176CAC"/>
    <w:pPr>
      <w:framePr w:w="2268" w:hSpace="181" w:vSpace="181" w:wrap="around" w:vAnchor="text" w:hAnchor="page" w:x="1135" w:y="285" w:anchorLock="1"/>
    </w:pPr>
    <w:rPr>
      <w:i/>
    </w:rPr>
  </w:style>
  <w:style w:type="paragraph" w:customStyle="1" w:styleId="MiniTOCTitle">
    <w:name w:val="MiniTOCTitle"/>
    <w:basedOn w:val="Heading4"/>
    <w:rsid w:val="00176CAC"/>
    <w:pPr>
      <w:spacing w:before="240"/>
      <w:outlineLvl w:val="9"/>
    </w:pPr>
    <w:rPr>
      <w:noProof/>
      <w:sz w:val="24"/>
    </w:rPr>
  </w:style>
  <w:style w:type="paragraph" w:customStyle="1" w:styleId="MiniTOCItem">
    <w:name w:val="MiniTOCItem"/>
    <w:basedOn w:val="ListBullet"/>
    <w:rsid w:val="00176CAC"/>
    <w:pPr>
      <w:numPr>
        <w:numId w:val="0"/>
      </w:numPr>
      <w:tabs>
        <w:tab w:val="right" w:leader="dot" w:pos="6521"/>
      </w:tabs>
      <w:spacing w:before="0" w:after="0"/>
    </w:pPr>
  </w:style>
  <w:style w:type="paragraph" w:customStyle="1" w:styleId="TOFTitle">
    <w:name w:val="TOFTitle"/>
    <w:basedOn w:val="TOCTitle"/>
    <w:rsid w:val="00176CAC"/>
  </w:style>
  <w:style w:type="paragraph" w:styleId="TableofFigures">
    <w:name w:val="table of figures"/>
    <w:basedOn w:val="Normal"/>
    <w:next w:val="Normal"/>
    <w:semiHidden/>
    <w:rsid w:val="00176CAC"/>
    <w:pPr>
      <w:tabs>
        <w:tab w:val="right" w:leader="dot" w:pos="9072"/>
      </w:tabs>
      <w:ind w:left="970" w:hanging="403"/>
    </w:pPr>
    <w:rPr>
      <w:rFonts w:ascii="Times New Roman" w:hAnsi="Times New Roman"/>
      <w:b/>
    </w:rPr>
  </w:style>
  <w:style w:type="paragraph" w:styleId="ListNumber">
    <w:name w:val="List Number"/>
    <w:basedOn w:val="List"/>
    <w:rsid w:val="00176CAC"/>
    <w:pPr>
      <w:numPr>
        <w:numId w:val="13"/>
      </w:numPr>
      <w:tabs>
        <w:tab w:val="clear" w:pos="340"/>
      </w:tabs>
    </w:pPr>
  </w:style>
  <w:style w:type="character" w:customStyle="1" w:styleId="WingdingSymbols">
    <w:name w:val="Wingding Symbols"/>
    <w:rsid w:val="00176CAC"/>
    <w:rPr>
      <w:rFonts w:ascii="Wingdings" w:hAnsi="Wingdings"/>
    </w:rPr>
  </w:style>
  <w:style w:type="character" w:customStyle="1" w:styleId="HotSpot">
    <w:name w:val="HotSpot"/>
    <w:rsid w:val="00176CAC"/>
    <w:rPr>
      <w:color w:val="0033CC"/>
      <w:u w:val="none"/>
    </w:rPr>
  </w:style>
  <w:style w:type="paragraph" w:customStyle="1" w:styleId="BodyTextRight">
    <w:name w:val="Body Text Right"/>
    <w:basedOn w:val="BodyText"/>
    <w:rsid w:val="00176CAC"/>
    <w:pPr>
      <w:spacing w:before="0" w:after="0"/>
      <w:jc w:val="right"/>
    </w:pPr>
  </w:style>
  <w:style w:type="paragraph" w:styleId="Index3">
    <w:name w:val="index 3"/>
    <w:basedOn w:val="ListNumber2"/>
    <w:next w:val="Normal"/>
    <w:semiHidden/>
    <w:rsid w:val="00176CAC"/>
    <w:pPr>
      <w:numPr>
        <w:numId w:val="0"/>
      </w:numPr>
      <w:tabs>
        <w:tab w:val="right" w:leader="dot" w:pos="4176"/>
      </w:tabs>
    </w:pPr>
  </w:style>
  <w:style w:type="paragraph" w:styleId="ListNumber2">
    <w:name w:val="List Number 2"/>
    <w:basedOn w:val="List2"/>
    <w:rsid w:val="00176CAC"/>
    <w:pPr>
      <w:numPr>
        <w:numId w:val="8"/>
      </w:numPr>
      <w:tabs>
        <w:tab w:val="clear" w:pos="1060"/>
      </w:tabs>
    </w:pPr>
  </w:style>
  <w:style w:type="paragraph" w:customStyle="1" w:styleId="MarginNote">
    <w:name w:val="Margin Note"/>
    <w:basedOn w:val="BodyText"/>
    <w:rsid w:val="00176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C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CAC"/>
    <w:rPr>
      <w:sz w:val="32"/>
    </w:rPr>
  </w:style>
  <w:style w:type="paragraph" w:customStyle="1" w:styleId="HeadingProcedure">
    <w:name w:val="Heading Procedure"/>
    <w:basedOn w:val="HeadingBase"/>
    <w:next w:val="Normal"/>
    <w:rsid w:val="00176CAC"/>
    <w:pPr>
      <w:tabs>
        <w:tab w:val="left" w:pos="0"/>
      </w:tabs>
      <w:spacing w:before="120" w:after="60"/>
    </w:pPr>
    <w:rPr>
      <w:i/>
      <w:color w:val="918585"/>
      <w:sz w:val="22"/>
    </w:rPr>
  </w:style>
  <w:style w:type="paragraph" w:customStyle="1" w:styleId="TableBodyText">
    <w:name w:val="Table Body Text"/>
    <w:basedOn w:val="BodyText"/>
    <w:rsid w:val="00176CAC"/>
    <w:pPr>
      <w:spacing w:before="60" w:after="60"/>
    </w:pPr>
  </w:style>
  <w:style w:type="paragraph" w:styleId="ListContinue">
    <w:name w:val="List Continue"/>
    <w:basedOn w:val="List"/>
    <w:rsid w:val="00176CAC"/>
    <w:pPr>
      <w:ind w:firstLine="0"/>
    </w:pPr>
  </w:style>
  <w:style w:type="paragraph" w:customStyle="1" w:styleId="ListNote">
    <w:name w:val="List Note"/>
    <w:basedOn w:val="List"/>
    <w:rsid w:val="00176CAC"/>
    <w:pPr>
      <w:pBdr>
        <w:top w:val="single" w:sz="6" w:space="2" w:color="918585"/>
        <w:bottom w:val="single" w:sz="6" w:space="2" w:color="918585"/>
      </w:pBdr>
      <w:tabs>
        <w:tab w:val="left" w:pos="1021"/>
      </w:tabs>
      <w:ind w:firstLine="0"/>
    </w:pPr>
  </w:style>
  <w:style w:type="paragraph" w:customStyle="1" w:styleId="Warning">
    <w:name w:val="Warning"/>
    <w:basedOn w:val="BodyText"/>
    <w:rsid w:val="00176CAC"/>
    <w:pPr>
      <w:shd w:val="clear" w:color="auto" w:fill="D9D9D9"/>
      <w:tabs>
        <w:tab w:val="left" w:pos="992"/>
      </w:tabs>
      <w:ind w:left="119" w:right="119"/>
    </w:pPr>
    <w:rPr>
      <w:sz w:val="20"/>
    </w:rPr>
  </w:style>
  <w:style w:type="paragraph" w:customStyle="1" w:styleId="MarginIcons">
    <w:name w:val="Margin Icons"/>
    <w:basedOn w:val="BodyText"/>
    <w:rsid w:val="00176C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CAC"/>
    <w:rPr>
      <w:rFonts w:ascii="Courier New" w:hAnsi="Courier New"/>
    </w:rPr>
  </w:style>
  <w:style w:type="paragraph" w:customStyle="1" w:styleId="NoteBullet">
    <w:name w:val="Note Bullet"/>
    <w:basedOn w:val="Note"/>
    <w:rsid w:val="00176CAC"/>
    <w:pPr>
      <w:tabs>
        <w:tab w:val="clear" w:pos="680"/>
      </w:tabs>
      <w:spacing w:before="60" w:after="60"/>
    </w:pPr>
  </w:style>
  <w:style w:type="paragraph" w:customStyle="1" w:styleId="SubHeading2">
    <w:name w:val="SubHeading2"/>
    <w:basedOn w:val="HeadingBase"/>
    <w:rsid w:val="00176CAC"/>
    <w:pPr>
      <w:spacing w:before="240" w:after="60"/>
    </w:pPr>
    <w:rPr>
      <w:sz w:val="20"/>
    </w:rPr>
  </w:style>
  <w:style w:type="paragraph" w:customStyle="1" w:styleId="SubHeading1">
    <w:name w:val="SubHeading1"/>
    <w:basedOn w:val="HeadingBase"/>
    <w:rsid w:val="00176CAC"/>
    <w:pPr>
      <w:spacing w:before="240" w:after="60"/>
    </w:pPr>
    <w:rPr>
      <w:color w:val="918585"/>
      <w:sz w:val="22"/>
    </w:rPr>
  </w:style>
  <w:style w:type="paragraph" w:customStyle="1" w:styleId="SideHeading">
    <w:name w:val="Side Heading"/>
    <w:basedOn w:val="HeadingBase"/>
    <w:rsid w:val="00176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CAC"/>
    <w:pPr>
      <w:numPr>
        <w:numId w:val="9"/>
      </w:numPr>
    </w:pPr>
  </w:style>
  <w:style w:type="paragraph" w:styleId="PlainText">
    <w:name w:val="Plain Text"/>
    <w:basedOn w:val="Normal"/>
    <w:link w:val="PlainTextChar"/>
    <w:rsid w:val="00176CAC"/>
    <w:rPr>
      <w:sz w:val="20"/>
    </w:rPr>
  </w:style>
  <w:style w:type="character" w:customStyle="1" w:styleId="PlainTextChar">
    <w:name w:val="Plain Text Char"/>
    <w:basedOn w:val="DefaultParagraphFont"/>
    <w:link w:val="PlainText"/>
    <w:rsid w:val="00176CAC"/>
    <w:rPr>
      <w:rFonts w:ascii="Courier New" w:eastAsia="Times New Roman" w:hAnsi="Courier New" w:cs="Times New Roman"/>
      <w:sz w:val="20"/>
      <w:szCs w:val="20"/>
      <w:lang w:eastAsia="en-US"/>
    </w:rPr>
  </w:style>
  <w:style w:type="character" w:customStyle="1" w:styleId="MenuOption">
    <w:name w:val="Menu Option"/>
    <w:basedOn w:val="DefaultParagraphFont"/>
    <w:rsid w:val="00176CAC"/>
    <w:rPr>
      <w:b/>
      <w:smallCaps/>
    </w:rPr>
  </w:style>
  <w:style w:type="paragraph" w:customStyle="1" w:styleId="TableListNumber">
    <w:name w:val="Table List Number"/>
    <w:basedOn w:val="ListNumber"/>
    <w:rsid w:val="00176CAC"/>
    <w:pPr>
      <w:numPr>
        <w:numId w:val="0"/>
      </w:numPr>
    </w:pPr>
  </w:style>
  <w:style w:type="paragraph" w:styleId="TOC4">
    <w:name w:val="toc 4"/>
    <w:basedOn w:val="TOCBase"/>
    <w:next w:val="Normal"/>
    <w:semiHidden/>
    <w:rsid w:val="00176CAC"/>
    <w:pPr>
      <w:tabs>
        <w:tab w:val="right" w:leader="dot" w:pos="9071"/>
      </w:tabs>
      <w:ind w:left="1701"/>
    </w:pPr>
  </w:style>
  <w:style w:type="paragraph" w:customStyle="1" w:styleId="ListAlpha">
    <w:name w:val="List Alpha"/>
    <w:basedOn w:val="List"/>
    <w:rsid w:val="00176CAC"/>
    <w:pPr>
      <w:numPr>
        <w:numId w:val="7"/>
      </w:numPr>
    </w:pPr>
  </w:style>
  <w:style w:type="paragraph" w:customStyle="1" w:styleId="ListAlpha2">
    <w:name w:val="List Alpha 2"/>
    <w:basedOn w:val="List2"/>
    <w:rsid w:val="00176CAC"/>
    <w:pPr>
      <w:numPr>
        <w:numId w:val="6"/>
      </w:numPr>
    </w:pPr>
  </w:style>
  <w:style w:type="paragraph" w:styleId="List2">
    <w:name w:val="List 2"/>
    <w:basedOn w:val="BodyText"/>
    <w:rsid w:val="00176CAC"/>
    <w:pPr>
      <w:tabs>
        <w:tab w:val="left" w:pos="680"/>
      </w:tabs>
      <w:spacing w:before="60" w:after="60"/>
      <w:ind w:left="680" w:hanging="340"/>
    </w:pPr>
  </w:style>
  <w:style w:type="paragraph" w:styleId="List3">
    <w:name w:val="List 3"/>
    <w:basedOn w:val="BodyText"/>
    <w:rsid w:val="00176CAC"/>
    <w:pPr>
      <w:tabs>
        <w:tab w:val="left" w:pos="1021"/>
      </w:tabs>
      <w:spacing w:before="60" w:after="60"/>
      <w:ind w:left="1020" w:hanging="340"/>
    </w:pPr>
  </w:style>
  <w:style w:type="paragraph" w:styleId="List4">
    <w:name w:val="List 4"/>
    <w:basedOn w:val="BodyText"/>
    <w:rsid w:val="00176CAC"/>
    <w:pPr>
      <w:tabs>
        <w:tab w:val="left" w:pos="1361"/>
      </w:tabs>
      <w:spacing w:before="60" w:after="60"/>
      <w:ind w:left="1361" w:hanging="340"/>
    </w:pPr>
  </w:style>
  <w:style w:type="paragraph" w:styleId="List5">
    <w:name w:val="List 5"/>
    <w:basedOn w:val="BodyText"/>
    <w:rsid w:val="00176CAC"/>
    <w:pPr>
      <w:tabs>
        <w:tab w:val="left" w:pos="1701"/>
      </w:tabs>
      <w:spacing w:before="60" w:after="60"/>
      <w:ind w:left="1701" w:hanging="340"/>
    </w:pPr>
  </w:style>
  <w:style w:type="paragraph" w:styleId="ListBullet3">
    <w:name w:val="List Bullet 3"/>
    <w:basedOn w:val="List3"/>
    <w:rsid w:val="00176CAC"/>
    <w:pPr>
      <w:numPr>
        <w:numId w:val="12"/>
      </w:numPr>
      <w:tabs>
        <w:tab w:val="clear" w:pos="1021"/>
      </w:tabs>
      <w:ind w:left="1037" w:hanging="357"/>
    </w:pPr>
  </w:style>
  <w:style w:type="paragraph" w:styleId="ListBullet4">
    <w:name w:val="List Bullet 4"/>
    <w:basedOn w:val="List4"/>
    <w:rsid w:val="00176CAC"/>
    <w:pPr>
      <w:numPr>
        <w:numId w:val="1"/>
      </w:numPr>
      <w:tabs>
        <w:tab w:val="clear" w:pos="1361"/>
      </w:tabs>
    </w:pPr>
  </w:style>
  <w:style w:type="paragraph" w:styleId="ListBullet5">
    <w:name w:val="List Bullet 5"/>
    <w:basedOn w:val="List5"/>
    <w:rsid w:val="00176CAC"/>
    <w:pPr>
      <w:numPr>
        <w:numId w:val="2"/>
      </w:numPr>
    </w:pPr>
  </w:style>
  <w:style w:type="paragraph" w:styleId="ListContinue2">
    <w:name w:val="List Continue 2"/>
    <w:basedOn w:val="List2"/>
    <w:rsid w:val="00176CAC"/>
    <w:pPr>
      <w:ind w:firstLine="0"/>
    </w:pPr>
  </w:style>
  <w:style w:type="paragraph" w:styleId="ListContinue3">
    <w:name w:val="List Continue 3"/>
    <w:basedOn w:val="List3"/>
    <w:rsid w:val="00176CAC"/>
    <w:pPr>
      <w:ind w:left="1021" w:firstLine="0"/>
    </w:pPr>
  </w:style>
  <w:style w:type="paragraph" w:styleId="ListContinue4">
    <w:name w:val="List Continue 4"/>
    <w:basedOn w:val="List4"/>
    <w:rsid w:val="00176CAC"/>
    <w:pPr>
      <w:ind w:firstLine="0"/>
    </w:pPr>
  </w:style>
  <w:style w:type="paragraph" w:styleId="ListContinue5">
    <w:name w:val="List Continue 5"/>
    <w:basedOn w:val="List5"/>
    <w:rsid w:val="00176CAC"/>
    <w:pPr>
      <w:ind w:firstLine="0"/>
    </w:pPr>
  </w:style>
  <w:style w:type="paragraph" w:styleId="ListNumber3">
    <w:name w:val="List Number 3"/>
    <w:basedOn w:val="List3"/>
    <w:rsid w:val="00176CAC"/>
    <w:pPr>
      <w:numPr>
        <w:numId w:val="3"/>
      </w:numPr>
    </w:pPr>
  </w:style>
  <w:style w:type="paragraph" w:styleId="ListNumber4">
    <w:name w:val="List Number 4"/>
    <w:basedOn w:val="List4"/>
    <w:rsid w:val="00176CAC"/>
    <w:pPr>
      <w:numPr>
        <w:numId w:val="4"/>
      </w:numPr>
    </w:pPr>
  </w:style>
  <w:style w:type="paragraph" w:styleId="ListNumber5">
    <w:name w:val="List Number 5"/>
    <w:basedOn w:val="List5"/>
    <w:rsid w:val="00176CAC"/>
    <w:pPr>
      <w:numPr>
        <w:numId w:val="5"/>
      </w:numPr>
    </w:pPr>
  </w:style>
  <w:style w:type="paragraph" w:styleId="BlockText">
    <w:name w:val="Block Text"/>
    <w:basedOn w:val="Normal"/>
    <w:rsid w:val="00176CAC"/>
    <w:pPr>
      <w:spacing w:after="120"/>
      <w:ind w:left="1440" w:right="1440"/>
    </w:pPr>
  </w:style>
  <w:style w:type="character" w:customStyle="1" w:styleId="Subscript">
    <w:name w:val="Subscript"/>
    <w:basedOn w:val="DefaultParagraphFont"/>
    <w:rsid w:val="00176CAC"/>
    <w:rPr>
      <w:sz w:val="16"/>
      <w:vertAlign w:val="subscript"/>
    </w:rPr>
  </w:style>
  <w:style w:type="character" w:customStyle="1" w:styleId="Superscript">
    <w:name w:val="Superscript"/>
    <w:basedOn w:val="DefaultParagraphFont"/>
    <w:rsid w:val="00176CAC"/>
    <w:rPr>
      <w:sz w:val="16"/>
      <w:vertAlign w:val="superscript"/>
    </w:rPr>
  </w:style>
  <w:style w:type="character" w:customStyle="1" w:styleId="Symbols">
    <w:name w:val="Symbols"/>
    <w:basedOn w:val="DefaultParagraphFont"/>
    <w:rsid w:val="00176CAC"/>
    <w:rPr>
      <w:rFonts w:ascii="Symbol" w:hAnsi="Symbol"/>
    </w:rPr>
  </w:style>
  <w:style w:type="character" w:customStyle="1" w:styleId="MenuOptions">
    <w:name w:val="Menu Options"/>
    <w:basedOn w:val="DefaultParagraphFont"/>
    <w:rsid w:val="00176CAC"/>
    <w:rPr>
      <w:rFonts w:ascii="Arial Narrow" w:hAnsi="Arial Narrow"/>
      <w:smallCaps/>
    </w:rPr>
  </w:style>
  <w:style w:type="character" w:customStyle="1" w:styleId="Buttons">
    <w:name w:val="Buttons"/>
    <w:basedOn w:val="DefaultParagraphFont"/>
    <w:rsid w:val="00176CAC"/>
    <w:rPr>
      <w:b/>
    </w:rPr>
  </w:style>
  <w:style w:type="character" w:customStyle="1" w:styleId="Underlined">
    <w:name w:val="Underlined"/>
    <w:basedOn w:val="DefaultParagraphFont"/>
    <w:rsid w:val="00176CAC"/>
    <w:rPr>
      <w:u w:val="single"/>
    </w:rPr>
  </w:style>
  <w:style w:type="paragraph" w:customStyle="1" w:styleId="TableBodyTextRight">
    <w:name w:val="Table Body Text Right"/>
    <w:basedOn w:val="TableBodyText"/>
    <w:rsid w:val="00176CAC"/>
    <w:pPr>
      <w:widowControl w:val="0"/>
      <w:autoSpaceDE w:val="0"/>
      <w:autoSpaceDN w:val="0"/>
      <w:adjustRightInd w:val="0"/>
      <w:jc w:val="right"/>
    </w:pPr>
    <w:rPr>
      <w:rFonts w:cs="Arial"/>
      <w:szCs w:val="18"/>
    </w:rPr>
  </w:style>
  <w:style w:type="paragraph" w:customStyle="1" w:styleId="CopyrightText">
    <w:name w:val="Copyright Text"/>
    <w:basedOn w:val="BodyText"/>
    <w:rsid w:val="00176CAC"/>
    <w:rPr>
      <w:sz w:val="18"/>
    </w:rPr>
  </w:style>
  <w:style w:type="paragraph" w:customStyle="1" w:styleId="BodySmallRight">
    <w:name w:val="Body Small Right"/>
    <w:basedOn w:val="BodyTextRight"/>
    <w:rsid w:val="00176CAC"/>
    <w:rPr>
      <w:sz w:val="18"/>
      <w:szCs w:val="18"/>
    </w:rPr>
  </w:style>
  <w:style w:type="paragraph" w:customStyle="1" w:styleId="MarginEdition">
    <w:name w:val="Margin Edition"/>
    <w:basedOn w:val="MarginNote"/>
    <w:rsid w:val="00176CAC"/>
    <w:pPr>
      <w:spacing w:before="0" w:after="0"/>
    </w:pPr>
    <w:rPr>
      <w:rFonts w:ascii="Times New Roman" w:hAnsi="Times New Roman"/>
      <w:color w:val="999999"/>
    </w:rPr>
  </w:style>
  <w:style w:type="paragraph" w:customStyle="1" w:styleId="Spacer">
    <w:name w:val="Spacer"/>
    <w:basedOn w:val="Normal"/>
    <w:rsid w:val="00176CAC"/>
    <w:rPr>
      <w:sz w:val="2"/>
      <w:szCs w:val="2"/>
    </w:rPr>
  </w:style>
  <w:style w:type="character" w:customStyle="1" w:styleId="Small">
    <w:name w:val="Small"/>
    <w:basedOn w:val="DefaultParagraphFont"/>
    <w:rsid w:val="00176CAC"/>
    <w:rPr>
      <w:sz w:val="16"/>
    </w:rPr>
  </w:style>
  <w:style w:type="paragraph" w:customStyle="1" w:styleId="WideTable">
    <w:name w:val="Wide Table"/>
    <w:basedOn w:val="Normal"/>
    <w:rsid w:val="00176CAC"/>
    <w:pPr>
      <w:ind w:left="-1418"/>
    </w:pPr>
    <w:rPr>
      <w:sz w:val="2"/>
      <w:szCs w:val="2"/>
    </w:rPr>
  </w:style>
  <w:style w:type="character" w:styleId="PageNumber">
    <w:name w:val="page number"/>
    <w:basedOn w:val="DefaultParagraphFont"/>
    <w:rsid w:val="00176CAC"/>
  </w:style>
  <w:style w:type="paragraph" w:styleId="Quote">
    <w:name w:val="Quote"/>
    <w:basedOn w:val="Heading1"/>
    <w:link w:val="QuoteChar"/>
    <w:qFormat/>
    <w:rsid w:val="00176CAC"/>
    <w:rPr>
      <w:b w:val="0"/>
      <w:sz w:val="72"/>
      <w:szCs w:val="72"/>
      <w:lang w:val="en-NZ"/>
    </w:rPr>
  </w:style>
  <w:style w:type="character" w:customStyle="1" w:styleId="QuoteChar">
    <w:name w:val="Quote Char"/>
    <w:basedOn w:val="DefaultParagraphFont"/>
    <w:link w:val="Quote"/>
    <w:rsid w:val="00176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CAC"/>
    <w:pPr>
      <w:pageBreakBefore/>
    </w:pPr>
  </w:style>
  <w:style w:type="paragraph" w:customStyle="1" w:styleId="Border">
    <w:name w:val="Border"/>
    <w:basedOn w:val="Normal"/>
    <w:qFormat/>
    <w:rsid w:val="00176C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CAC"/>
    <w:rPr>
      <w:b/>
      <w:bCs/>
      <w:i/>
      <w:iCs/>
      <w:color w:val="auto"/>
    </w:rPr>
  </w:style>
  <w:style w:type="paragraph" w:styleId="IntenseQuote">
    <w:name w:val="Intense Quote"/>
    <w:basedOn w:val="Normal"/>
    <w:next w:val="Normal"/>
    <w:link w:val="IntenseQuoteChar"/>
    <w:uiPriority w:val="30"/>
    <w:qFormat/>
    <w:rsid w:val="00176C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C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CAC"/>
    <w:rPr>
      <w:smallCaps/>
      <w:color w:val="auto"/>
      <w:u w:val="single"/>
    </w:rPr>
  </w:style>
  <w:style w:type="character" w:styleId="IntenseReference">
    <w:name w:val="Intense Reference"/>
    <w:basedOn w:val="DefaultParagraphFont"/>
    <w:uiPriority w:val="32"/>
    <w:qFormat/>
    <w:rsid w:val="00176CAC"/>
    <w:rPr>
      <w:b/>
      <w:bCs/>
      <w:smallCaps/>
      <w:color w:val="auto"/>
      <w:spacing w:val="5"/>
      <w:u w:val="single"/>
    </w:rPr>
  </w:style>
  <w:style w:type="paragraph" w:customStyle="1" w:styleId="2ColumnHeading">
    <w:name w:val="2Column Heading"/>
    <w:basedOn w:val="BodyText"/>
    <w:qFormat/>
    <w:rsid w:val="00176CAC"/>
    <w:pPr>
      <w:spacing w:after="60"/>
      <w:ind w:left="-2268"/>
    </w:pPr>
    <w:rPr>
      <w:b/>
    </w:rPr>
  </w:style>
  <w:style w:type="paragraph" w:customStyle="1" w:styleId="Heading1TOC">
    <w:name w:val="Heading1 TOC"/>
    <w:basedOn w:val="Normal"/>
    <w:qFormat/>
    <w:rsid w:val="00176CAC"/>
    <w:pPr>
      <w:spacing w:before="240" w:after="120"/>
    </w:pPr>
    <w:rPr>
      <w:rFonts w:ascii="Times New Roman" w:hAnsi="Times New Roman"/>
      <w:b/>
      <w:sz w:val="32"/>
    </w:rPr>
  </w:style>
  <w:style w:type="paragraph" w:customStyle="1" w:styleId="Heading2TOC">
    <w:name w:val="Heading2 TOC"/>
    <w:basedOn w:val="Normal"/>
    <w:qFormat/>
    <w:rsid w:val="00176CAC"/>
    <w:pPr>
      <w:spacing w:before="240" w:after="60"/>
    </w:pPr>
    <w:rPr>
      <w:rFonts w:ascii="Times New Roman" w:hAnsi="Times New Roman"/>
      <w:b/>
      <w:sz w:val="28"/>
    </w:rPr>
  </w:style>
  <w:style w:type="character" w:customStyle="1" w:styleId="Underline">
    <w:name w:val="Underline"/>
    <w:basedOn w:val="DefaultParagraphFont"/>
    <w:qFormat/>
    <w:rsid w:val="00176CAC"/>
    <w:rPr>
      <w:u w:val="single"/>
    </w:rPr>
  </w:style>
  <w:style w:type="character" w:customStyle="1" w:styleId="BoldandItalics">
    <w:name w:val="Bold and Italics"/>
    <w:qFormat/>
    <w:rsid w:val="00176CAC"/>
    <w:rPr>
      <w:b/>
      <w:i/>
      <w:u w:val="none"/>
    </w:rPr>
  </w:style>
  <w:style w:type="paragraph" w:styleId="BalloonText">
    <w:name w:val="Balloon Text"/>
    <w:basedOn w:val="Normal"/>
    <w:link w:val="BalloonTextChar"/>
    <w:rsid w:val="00176CAC"/>
    <w:rPr>
      <w:rFonts w:ascii="Tahoma" w:hAnsi="Tahoma" w:cs="Tahoma"/>
      <w:sz w:val="16"/>
      <w:szCs w:val="16"/>
    </w:rPr>
  </w:style>
  <w:style w:type="character" w:customStyle="1" w:styleId="BalloonTextChar">
    <w:name w:val="Balloon Text Char"/>
    <w:basedOn w:val="DefaultParagraphFont"/>
    <w:link w:val="BalloonText"/>
    <w:rsid w:val="00176C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C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C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CAC"/>
    <w:rPr>
      <w:b/>
      <w:color w:val="660033"/>
      <w:spacing w:val="0"/>
    </w:rPr>
  </w:style>
  <w:style w:type="paragraph" w:customStyle="1" w:styleId="Nameditemlist">
    <w:name w:val="Named item list"/>
    <w:basedOn w:val="BodyText"/>
    <w:qFormat/>
    <w:rsid w:val="00176CAC"/>
    <w:pPr>
      <w:tabs>
        <w:tab w:val="left" w:pos="2835"/>
      </w:tabs>
      <w:ind w:left="2835" w:hanging="2835"/>
    </w:pPr>
  </w:style>
  <w:style w:type="paragraph" w:customStyle="1" w:styleId="BodyTextnopadding">
    <w:name w:val="Body Text no padding"/>
    <w:basedOn w:val="BodyText"/>
    <w:qFormat/>
    <w:rsid w:val="00176CAC"/>
    <w:pPr>
      <w:spacing w:before="0" w:after="0"/>
    </w:pPr>
  </w:style>
  <w:style w:type="paragraph" w:customStyle="1" w:styleId="BodyTextBold">
    <w:name w:val="Body Text Bold"/>
    <w:basedOn w:val="BodyText"/>
    <w:qFormat/>
    <w:rsid w:val="00176CAC"/>
    <w:rPr>
      <w:b/>
    </w:rPr>
  </w:style>
  <w:style w:type="character" w:styleId="Hyperlink">
    <w:name w:val="Hyperlink"/>
    <w:basedOn w:val="DefaultParagraphFont"/>
    <w:uiPriority w:val="99"/>
    <w:unhideWhenUsed/>
    <w:rsid w:val="006A71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5690</Characters>
  <Application>Microsoft Office Word</Application>
  <DocSecurity>0</DocSecurity>
  <Lines>172</Lines>
  <Paragraphs>96</Paragraphs>
  <ScaleCrop>false</ScaleCrop>
  <Company>Author-it Software Corporation Ltd.</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POLFOR031 Apply specialised forensic science techniques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