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5EC4" w:rsidP="008F5EC4">
      <w:pPr>
        <w:pStyle w:val="Title"/>
      </w:pPr>
      <w:r>
        <w:fldChar w:fldCharType="begin"/>
      </w:r>
      <w:r>
        <w:instrText xml:space="preserve"> TITLE   \* MERGEFORMAT </w:instrText>
      </w:r>
      <w:r>
        <w:fldChar w:fldCharType="separate"/>
      </w:r>
      <w:r>
        <w:t>POLFOR024 Detect, record and collect forensic evidence</w:t>
      </w:r>
      <w:r>
        <w:fldChar w:fldCharType="end"/>
      </w:r>
    </w:p>
    <w:p w:rsidR="008F5EC4" w:rsidP="008F5EC4">
      <w:pPr>
        <w:pStyle w:val="Version"/>
        <w:sectPr w:rsidSect="007A4A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4A66" w:rsidP="007A4A66">
      <w:pPr>
        <w:pStyle w:val="SuperHeading"/>
      </w:pPr>
      <w:r w:rsidRPr="007A4A66">
        <w:t>POLFOR024 Detect, record and collect forensic evidence</w:t>
      </w:r>
    </w:p>
    <w:p w:rsidR="00000000" w:rsidRPr="007A4A66" w:rsidP="007A4A66">
      <w:pPr>
        <w:pStyle w:val="Heading1"/>
      </w:pPr>
      <w:bookmarkStart w:id="1" w:name="O_716775"/>
      <w:bookmarkEnd w:id="1"/>
      <w:r w:rsidRPr="007A4A66">
        <w:t>Modification History</w:t>
      </w:r>
    </w:p>
    <w:tbl>
      <w:tblPr>
        <w:tblW w:w="0" w:type="auto"/>
        <w:tblLayout w:type="fixed"/>
        <w:tblCellMar>
          <w:left w:w="62" w:type="dxa"/>
          <w:right w:w="62" w:type="dxa"/>
        </w:tblCellMar>
        <w:tblLook w:val="0000"/>
      </w:tblPr>
      <w:tblGrid>
        <w:gridCol w:w="1134"/>
        <w:gridCol w:w="7937"/>
      </w:tblGrid>
      <w:tr w:rsidTr="008F5EC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A66">
            <w:pPr>
              <w:pStyle w:val="TableHeading"/>
              <w:rPr>
                <w:lang w:val="en-NZ"/>
              </w:rPr>
            </w:pPr>
            <w:r w:rsidRPr="007A4A6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A66">
            <w:pPr>
              <w:pStyle w:val="TableHeading"/>
              <w:rPr>
                <w:lang w:val="en-NZ"/>
              </w:rPr>
            </w:pPr>
            <w:r w:rsidRPr="007A4A66">
              <w:t>Comments</w:t>
            </w:r>
          </w:p>
        </w:tc>
      </w:tr>
      <w:tr w:rsidTr="008F5EC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A66">
            <w:pPr>
              <w:pStyle w:val="BodyText"/>
              <w:rPr>
                <w:lang w:val="en-NZ"/>
              </w:rPr>
            </w:pPr>
            <w:r w:rsidRPr="007A4A6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A66" w:rsidP="007A4A66">
            <w:pPr>
              <w:pStyle w:val="BodyText"/>
            </w:pPr>
            <w:r w:rsidRPr="007A4A66">
              <w:t xml:space="preserve">This unit was released in POL Police Training Package release 1.0 and meets the Standards for Training Packages. </w:t>
            </w:r>
          </w:p>
          <w:p w:rsidR="00000000" w:rsidRPr="007A4A66" w:rsidP="007A4A66">
            <w:pPr>
              <w:pStyle w:val="BodyText"/>
            </w:pPr>
          </w:p>
          <w:p w:rsidR="00000000" w:rsidRPr="007A4A66" w:rsidP="007A4A66">
            <w:pPr>
              <w:pStyle w:val="BodyText"/>
            </w:pPr>
            <w:r w:rsidRPr="007A4A66">
              <w:t>This unit supersedes and is equivalent to PUAPOLFC003B Detect, record and collect ph</w:t>
            </w:r>
            <w:r w:rsidRPr="007A4A66">
              <w:t>ysical evidence.</w:t>
            </w:r>
          </w:p>
          <w:p w:rsidR="00000000" w:rsidRPr="007A4A66" w:rsidP="007A4A66">
            <w:pPr>
              <w:pStyle w:val="BodyText"/>
            </w:pPr>
          </w:p>
          <w:p w:rsidR="00000000" w:rsidRPr="007A4A66" w:rsidP="007A4A66">
            <w:pPr>
              <w:pStyle w:val="ListBullet"/>
            </w:pPr>
            <w:r w:rsidRPr="007A4A66">
              <w:t>Content and formatting updated to comply with new standards</w:t>
            </w:r>
          </w:p>
          <w:p w:rsidR="00000000" w:rsidRPr="007A4A66" w:rsidP="007A4A66">
            <w:pPr>
              <w:pStyle w:val="ListBullet"/>
            </w:pPr>
            <w:r w:rsidRPr="007A4A66">
              <w:t>Unit recoded POL</w:t>
            </w:r>
          </w:p>
          <w:p w:rsidR="00000000" w:rsidRPr="007A4A66" w:rsidP="007A4A66">
            <w:pPr>
              <w:pStyle w:val="ListBullet"/>
            </w:pPr>
            <w:r w:rsidRPr="007A4A66">
              <w:t>Title updated</w:t>
            </w:r>
          </w:p>
          <w:p w:rsidR="00000000" w:rsidRPr="007A4A66" w:rsidP="007A4A66">
            <w:pPr>
              <w:pStyle w:val="ListBullet"/>
            </w:pPr>
            <w:r w:rsidRPr="007A4A66">
              <w:t>Elements 1 and 2 all PC revised</w:t>
            </w:r>
          </w:p>
          <w:p w:rsidR="00000000" w:rsidRPr="007A4A66" w:rsidP="007A4A66">
            <w:pPr>
              <w:pStyle w:val="ListBullet"/>
            </w:pPr>
            <w:r w:rsidRPr="007A4A66">
              <w:t>PC 3.1 and 3.2 revised</w:t>
            </w:r>
          </w:p>
        </w:tc>
      </w:tr>
    </w:tbl>
    <w:p w:rsidR="00000000" w:rsidRPr="007A4A66" w:rsidP="007A4A66">
      <w:pPr>
        <w:pStyle w:val="BodyText"/>
      </w:pPr>
    </w:p>
    <w:p w:rsidR="00000000" w:rsidRPr="007A4A66" w:rsidP="007A4A66">
      <w:pPr>
        <w:pStyle w:val="AllowPageBreak"/>
      </w:pPr>
    </w:p>
    <w:p w:rsidR="00000000" w:rsidRPr="007A4A66" w:rsidP="007A4A66">
      <w:pPr>
        <w:pStyle w:val="Heading1"/>
      </w:pPr>
      <w:bookmarkStart w:id="2" w:name="O_716776"/>
      <w:bookmarkEnd w:id="2"/>
      <w:r w:rsidRPr="007A4A66">
        <w:t>Application</w:t>
      </w:r>
    </w:p>
    <w:p w:rsidR="00000000" w:rsidRPr="007A4A66" w:rsidP="008F5EC4">
      <w:pPr>
        <w:pStyle w:val="BodyText"/>
      </w:pPr>
      <w:r w:rsidRPr="007A4A66">
        <w:t>This unit describes the skills required to detect, record and collect forensic evidence in order to maximise the potential evidentiary value of exhibits. This may be applied in the field at incident/crime scenes or in a laboratory.</w:t>
      </w:r>
    </w:p>
    <w:p w:rsidR="00000000" w:rsidRPr="007A4A66" w:rsidP="008F5EC4">
      <w:pPr>
        <w:pStyle w:val="BodyText"/>
      </w:pPr>
      <w:r w:rsidRPr="007A4A66">
        <w:t>This unit applies to th</w:t>
      </w:r>
      <w:r w:rsidRPr="007A4A66">
        <w:t>ose working as police staff involved in forensic examination.</w:t>
      </w:r>
    </w:p>
    <w:p w:rsidR="00000000" w:rsidRPr="007A4A66" w:rsidP="008F5EC4">
      <w:pPr>
        <w:pStyle w:val="BodyText"/>
      </w:pPr>
      <w:r w:rsidRPr="007A4A66">
        <w:t>The skills and knowledge described in this unit must be applied within the legislative, regulatory and policy environment in which they are carried out. Organisational policies and procedures m</w:t>
      </w:r>
      <w:r w:rsidRPr="007A4A66">
        <w:t xml:space="preserve">ust be consulted and adhered to, particularly those related to work health and safety (WHS). </w:t>
      </w:r>
    </w:p>
    <w:p w:rsidR="00000000" w:rsidRPr="007A4A66" w:rsidP="008F5EC4">
      <w:pPr>
        <w:pStyle w:val="BodyText"/>
      </w:pPr>
      <w:r w:rsidRPr="007A4A66">
        <w:t>Those undertaking this role would work autonomously while remaining responsible for reporting to senior staff. They would demonstrate adaptability across a broad</w:t>
      </w:r>
      <w:r w:rsidRPr="007A4A66">
        <w:t xml:space="preserve"> range of contexts while performing a range of complex tasks. </w:t>
      </w:r>
    </w:p>
    <w:p w:rsidR="00000000" w:rsidRPr="007A4A66" w:rsidP="008F5EC4">
      <w:pPr>
        <w:pStyle w:val="BodyText"/>
      </w:pPr>
      <w:r w:rsidRPr="007A4A66">
        <w:t>No licensing, legislative or certification requirements apply to unit at the time of publication.</w:t>
      </w:r>
    </w:p>
    <w:p w:rsidR="00000000" w:rsidRPr="007A4A66" w:rsidP="007A4A66">
      <w:pPr>
        <w:pStyle w:val="Heading1"/>
      </w:pPr>
      <w:bookmarkStart w:id="3" w:name="O_716778"/>
      <w:bookmarkEnd w:id="3"/>
      <w:r w:rsidRPr="007A4A66">
        <w:t>Competency Field</w:t>
      </w:r>
    </w:p>
    <w:p w:rsidR="00000000" w:rsidRPr="007A4A66" w:rsidP="008F5EC4">
      <w:pPr>
        <w:pStyle w:val="BodyText"/>
      </w:pPr>
      <w:r w:rsidRPr="007A4A66">
        <w:t>Forensics</w:t>
      </w:r>
    </w:p>
    <w:p w:rsidR="00000000" w:rsidRPr="007A4A66" w:rsidP="007A4A66">
      <w:pPr>
        <w:pStyle w:val="Heading1"/>
      </w:pPr>
      <w:bookmarkStart w:id="4" w:name="O_716780"/>
      <w:bookmarkEnd w:id="4"/>
      <w:r w:rsidRPr="007A4A66">
        <w:t>Elements and Performance Criteria</w:t>
      </w:r>
    </w:p>
    <w:tbl>
      <w:tblPr>
        <w:tblW w:w="0" w:type="auto"/>
        <w:tblLayout w:type="fixed"/>
        <w:tblCellMar>
          <w:left w:w="62" w:type="dxa"/>
          <w:right w:w="62" w:type="dxa"/>
        </w:tblCellMar>
        <w:tblLook w:val="0000"/>
      </w:tblPr>
      <w:tblGrid>
        <w:gridCol w:w="2268"/>
        <w:gridCol w:w="6804"/>
      </w:tblGrid>
      <w:tr w:rsidTr="007A4A6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A66">
            <w:pPr>
              <w:pStyle w:val="TableHeading"/>
              <w:rPr>
                <w:lang w:val="en-NZ"/>
              </w:rPr>
            </w:pPr>
            <w:r w:rsidRPr="007A4A6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A66">
            <w:pPr>
              <w:pStyle w:val="TableHeading"/>
              <w:rPr>
                <w:lang w:val="en-NZ"/>
              </w:rPr>
            </w:pPr>
            <w:r w:rsidRPr="007A4A66">
              <w:t>PERFORMANCE CRITERIA</w:t>
            </w:r>
          </w:p>
        </w:tc>
      </w:tr>
      <w:tr w:rsidTr="007A4A6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A66">
            <w:pPr>
              <w:pStyle w:val="BodyText"/>
              <w:rPr>
                <w:lang w:val="en-NZ"/>
              </w:rPr>
            </w:pPr>
            <w:r w:rsidRPr="007A4A6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A66">
            <w:pPr>
              <w:pStyle w:val="BodyText"/>
              <w:rPr>
                <w:lang w:val="en-NZ"/>
              </w:rPr>
            </w:pPr>
            <w:r w:rsidRPr="007A4A66">
              <w:t>Performance criteria describe the performance needed to demonstrate achievement of the element. Where bold italicised text is used, further information is detailed in the range of con</w:t>
            </w:r>
            <w:r w:rsidRPr="007A4A66">
              <w:t>ditions section.</w:t>
            </w:r>
          </w:p>
        </w:tc>
      </w:tr>
      <w:tr w:rsidTr="007A4A6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A66">
            <w:pPr>
              <w:pStyle w:val="List"/>
              <w:rPr>
                <w:lang w:val="en-NZ"/>
              </w:rPr>
            </w:pPr>
            <w:r w:rsidRPr="007A4A66">
              <w:rPr>
                <w:rStyle w:val="SpecialBold"/>
              </w:rPr>
              <w:t>1.</w:t>
            </w:r>
            <w:r w:rsidRPr="007A4A66">
              <w:rPr>
                <w:rStyle w:val="SpecialBold"/>
              </w:rPr>
              <w:tab/>
              <w:t>Detect physical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A66" w:rsidP="007A4A66">
            <w:pPr>
              <w:pStyle w:val="List"/>
            </w:pPr>
            <w:r w:rsidRPr="007A4A66">
              <w:t>1.1</w:t>
            </w:r>
            <w:r w:rsidRPr="007A4A66">
              <w:tab/>
              <w:t>Apply search methods, observation techniques and technical methods to detect forensic evidence.</w:t>
            </w:r>
          </w:p>
          <w:p w:rsidR="00000000" w:rsidRPr="007A4A66" w:rsidP="007A4A66">
            <w:pPr>
              <w:pStyle w:val="List"/>
            </w:pPr>
            <w:r w:rsidRPr="007A4A66">
              <w:t>1.2</w:t>
            </w:r>
            <w:r w:rsidRPr="007A4A66">
              <w:tab/>
              <w:t>Apply screening techniques to assist in locating forensic evidence.</w:t>
            </w:r>
          </w:p>
          <w:p w:rsidR="00000000" w:rsidRPr="007A4A66" w:rsidP="007A4A66">
            <w:pPr>
              <w:pStyle w:val="List"/>
            </w:pPr>
            <w:r w:rsidRPr="007A4A66">
              <w:t>1.3</w:t>
            </w:r>
            <w:r w:rsidRPr="007A4A66">
              <w:tab/>
              <w:t>Assess forensic evidence to identi</w:t>
            </w:r>
            <w:r w:rsidRPr="007A4A66">
              <w:t>fy potential contamination or loss.</w:t>
            </w:r>
          </w:p>
          <w:p w:rsidR="00000000" w:rsidRPr="007A4A66" w:rsidP="007A4A66">
            <w:pPr>
              <w:pStyle w:val="List"/>
            </w:pPr>
            <w:r w:rsidRPr="007A4A66">
              <w:t>1.4</w:t>
            </w:r>
            <w:r w:rsidRPr="007A4A66">
              <w:tab/>
              <w:t>Preserve forensic evidence to maximise evidentiary value.</w:t>
            </w:r>
          </w:p>
          <w:p w:rsidR="00000000" w:rsidP="007A4A66">
            <w:pPr>
              <w:pStyle w:val="List"/>
              <w:rPr>
                <w:lang w:val="en-NZ"/>
              </w:rPr>
            </w:pPr>
            <w:r w:rsidRPr="007A4A66">
              <w:t>1.5</w:t>
            </w:r>
            <w:r w:rsidRPr="007A4A66">
              <w:tab/>
              <w:t>Assess evidence to determine suitability for recording and collection.</w:t>
            </w:r>
          </w:p>
        </w:tc>
      </w:tr>
      <w:tr w:rsidTr="007A4A6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A66">
            <w:pPr>
              <w:pStyle w:val="List"/>
              <w:rPr>
                <w:lang w:val="en-NZ"/>
              </w:rPr>
            </w:pPr>
            <w:r w:rsidRPr="007A4A66">
              <w:rPr>
                <w:rStyle w:val="SpecialBold"/>
              </w:rPr>
              <w:t>2.</w:t>
            </w:r>
            <w:r w:rsidRPr="007A4A66">
              <w:rPr>
                <w:rStyle w:val="SpecialBold"/>
              </w:rPr>
              <w:tab/>
              <w:t>Record physical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A66" w:rsidP="007A4A66">
            <w:pPr>
              <w:pStyle w:val="List"/>
            </w:pPr>
            <w:r w:rsidRPr="007A4A66">
              <w:t>2.1</w:t>
            </w:r>
            <w:r w:rsidRPr="007A4A66">
              <w:tab/>
            </w:r>
            <w:r w:rsidRPr="007A4A66">
              <w:t>Identify recording methods to document forensic evidence and scene.</w:t>
            </w:r>
          </w:p>
          <w:p w:rsidR="00000000" w:rsidRPr="007A4A66" w:rsidP="007A4A66">
            <w:pPr>
              <w:pStyle w:val="List"/>
            </w:pPr>
            <w:r w:rsidRPr="007A4A66">
              <w:t>2.2</w:t>
            </w:r>
            <w:r w:rsidRPr="007A4A66">
              <w:tab/>
              <w:t xml:space="preserve">Apply enhancement techniques to assist in recording forensic evidence. </w:t>
            </w:r>
          </w:p>
          <w:p w:rsidR="00000000" w:rsidRPr="007A4A66" w:rsidP="007A4A66">
            <w:pPr>
              <w:pStyle w:val="List"/>
            </w:pPr>
            <w:r w:rsidRPr="007A4A66">
              <w:t>2.3</w:t>
            </w:r>
            <w:r w:rsidRPr="007A4A66">
              <w:tab/>
              <w:t xml:space="preserve">Document details of scene and evidence using note-taking techniques. </w:t>
            </w:r>
          </w:p>
          <w:p w:rsidR="00000000" w:rsidRPr="007A4A66" w:rsidP="007A4A66">
            <w:pPr>
              <w:pStyle w:val="List"/>
            </w:pPr>
            <w:r w:rsidRPr="007A4A66">
              <w:t>2.4</w:t>
            </w:r>
            <w:r w:rsidRPr="007A4A66">
              <w:tab/>
              <w:t>Sketch scene and physical evidence</w:t>
            </w:r>
            <w:r w:rsidRPr="007A4A66">
              <w:t xml:space="preserve"> for recording purposes.</w:t>
            </w:r>
          </w:p>
          <w:p w:rsidR="00000000" w:rsidRPr="007A4A66" w:rsidP="007A4A66">
            <w:pPr>
              <w:pStyle w:val="List"/>
            </w:pPr>
            <w:r w:rsidRPr="007A4A66">
              <w:t>2.5</w:t>
            </w:r>
            <w:r w:rsidRPr="007A4A66">
              <w:tab/>
              <w:t>Photograph details of scene and evidence for recording purposes.</w:t>
            </w:r>
          </w:p>
          <w:p w:rsidR="00000000" w:rsidP="007A4A66">
            <w:pPr>
              <w:pStyle w:val="List"/>
              <w:rPr>
                <w:lang w:val="en-NZ"/>
              </w:rPr>
            </w:pPr>
            <w:r w:rsidRPr="007A4A66">
              <w:t>2.6</w:t>
            </w:r>
            <w:r w:rsidRPr="007A4A66">
              <w:tab/>
              <w:t>Select markers and scales to accurately represent characteristics and information of the scene.</w:t>
            </w:r>
          </w:p>
        </w:tc>
      </w:tr>
      <w:tr w:rsidTr="007A4A6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A66">
            <w:pPr>
              <w:pStyle w:val="List"/>
              <w:rPr>
                <w:lang w:val="en-NZ"/>
              </w:rPr>
            </w:pPr>
            <w:r w:rsidRPr="007A4A66">
              <w:rPr>
                <w:rStyle w:val="SpecialBold"/>
              </w:rPr>
              <w:t>3.</w:t>
            </w:r>
            <w:r w:rsidRPr="007A4A66">
              <w:rPr>
                <w:rStyle w:val="SpecialBold"/>
              </w:rPr>
              <w:tab/>
              <w:t>Collect physical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A66" w:rsidP="007A4A66">
            <w:pPr>
              <w:pStyle w:val="List"/>
            </w:pPr>
            <w:r w:rsidRPr="007A4A66">
              <w:t>3.1</w:t>
            </w:r>
            <w:r w:rsidRPr="007A4A66">
              <w:tab/>
              <w:t>Apply swab, lifting and hand</w:t>
            </w:r>
            <w:r w:rsidRPr="007A4A66">
              <w:t xml:space="preserve"> picking techniques to gather evidence and reference samples. </w:t>
            </w:r>
          </w:p>
          <w:p w:rsidR="00000000" w:rsidRPr="007A4A66" w:rsidP="007A4A66">
            <w:pPr>
              <w:pStyle w:val="List"/>
            </w:pPr>
            <w:r w:rsidRPr="007A4A66">
              <w:t>3.2</w:t>
            </w:r>
            <w:r w:rsidRPr="007A4A66">
              <w:tab/>
              <w:t>Gather impression evidence using photography, casting and lifting techniques.</w:t>
            </w:r>
          </w:p>
          <w:p w:rsidR="00000000" w:rsidP="007A4A66">
            <w:pPr>
              <w:pStyle w:val="List"/>
              <w:rPr>
                <w:lang w:val="en-NZ"/>
              </w:rPr>
            </w:pPr>
            <w:r w:rsidRPr="007A4A66">
              <w:t>3.3</w:t>
            </w:r>
            <w:r w:rsidRPr="007A4A66">
              <w:tab/>
              <w:t>Gather exhibits for further forensic examination.</w:t>
            </w:r>
          </w:p>
        </w:tc>
      </w:tr>
      <w:tr w:rsidTr="007A4A6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A4A66">
            <w:pPr>
              <w:pStyle w:val="List"/>
              <w:rPr>
                <w:lang w:val="en-NZ"/>
              </w:rPr>
            </w:pPr>
            <w:r w:rsidRPr="007A4A66">
              <w:rPr>
                <w:rStyle w:val="SpecialBold"/>
              </w:rPr>
              <w:t>4.</w:t>
            </w:r>
            <w:r w:rsidRPr="007A4A66">
              <w:rPr>
                <w:rStyle w:val="SpecialBold"/>
              </w:rPr>
              <w:tab/>
              <w:t>Package forensic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A4A66" w:rsidP="007A4A66">
            <w:pPr>
              <w:pStyle w:val="List"/>
            </w:pPr>
            <w:r w:rsidRPr="007A4A66">
              <w:t>4.1</w:t>
            </w:r>
            <w:r w:rsidRPr="007A4A66">
              <w:tab/>
              <w:t>Select packaging techni</w:t>
            </w:r>
            <w:r w:rsidRPr="007A4A66">
              <w:t>que to prevent degradation or contamination.</w:t>
            </w:r>
          </w:p>
          <w:p w:rsidR="00000000" w:rsidRPr="007A4A66" w:rsidP="007A4A66">
            <w:pPr>
              <w:pStyle w:val="List"/>
            </w:pPr>
            <w:r w:rsidRPr="007A4A66">
              <w:t>4.2</w:t>
            </w:r>
            <w:r w:rsidRPr="007A4A66">
              <w:tab/>
              <w:t>Label items to ensure easy identification.</w:t>
            </w:r>
          </w:p>
          <w:p w:rsidR="00000000" w:rsidRPr="007A4A66" w:rsidP="007A4A66">
            <w:pPr>
              <w:pStyle w:val="List"/>
            </w:pPr>
            <w:r w:rsidRPr="007A4A66">
              <w:t>4.3</w:t>
            </w:r>
            <w:r w:rsidRPr="007A4A66">
              <w:tab/>
              <w:t>Seal items to maintain integrity and prevent contamination.</w:t>
            </w:r>
          </w:p>
          <w:p w:rsidR="00000000" w:rsidRPr="007A4A66" w:rsidP="007A4A66">
            <w:pPr>
              <w:pStyle w:val="List"/>
            </w:pPr>
            <w:r w:rsidRPr="007A4A66">
              <w:t>4.4</w:t>
            </w:r>
            <w:r w:rsidRPr="007A4A66">
              <w:tab/>
              <w:t>Assess items to determine if aeration is required.</w:t>
            </w:r>
          </w:p>
          <w:p w:rsidR="00000000" w:rsidRPr="007A4A66" w:rsidP="007A4A66">
            <w:pPr>
              <w:pStyle w:val="List"/>
            </w:pPr>
            <w:r w:rsidRPr="007A4A66">
              <w:t>4.5</w:t>
            </w:r>
            <w:r w:rsidRPr="007A4A66">
              <w:tab/>
              <w:t>Store items to maintain integrity and con</w:t>
            </w:r>
            <w:r w:rsidRPr="007A4A66">
              <w:t>tinuity and to prevent degradation.</w:t>
            </w:r>
          </w:p>
          <w:p w:rsidR="00000000" w:rsidRPr="007A4A66" w:rsidP="007A4A66">
            <w:pPr>
              <w:pStyle w:val="List"/>
            </w:pPr>
            <w:r w:rsidRPr="007A4A66">
              <w:t>4.6</w:t>
            </w:r>
            <w:r w:rsidRPr="007A4A66">
              <w:tab/>
              <w:t>Record details of evidence to enter into case notes and/or exhibit register and to maintain continuity.</w:t>
            </w:r>
          </w:p>
        </w:tc>
      </w:tr>
    </w:tbl>
    <w:p w:rsidR="00000000" w:rsidRPr="007A4A66" w:rsidP="007A4A66">
      <w:pPr>
        <w:pStyle w:val="BodyText"/>
      </w:pPr>
    </w:p>
    <w:p w:rsidR="00000000" w:rsidRPr="007A4A66" w:rsidP="007A4A66">
      <w:pPr>
        <w:pStyle w:val="AllowPageBreak"/>
      </w:pPr>
    </w:p>
    <w:p w:rsidR="00000000" w:rsidRPr="007A4A66" w:rsidP="007A4A66">
      <w:pPr>
        <w:pStyle w:val="Heading1"/>
      </w:pPr>
      <w:bookmarkStart w:id="5" w:name="O_716781"/>
      <w:bookmarkEnd w:id="5"/>
      <w:r w:rsidRPr="007A4A66">
        <w:t>Foundation Skills</w:t>
      </w:r>
    </w:p>
    <w:p w:rsidR="00000000" w:rsidRPr="007A4A66" w:rsidP="008F5EC4">
      <w:pPr>
        <w:pStyle w:val="BodyText"/>
      </w:pPr>
      <w:r w:rsidRPr="007A4A66">
        <w:t>The foundation skills demands of this unit have been mapped for alignment with the Australian Core Skills Framework (ACSF). The following tables outline the performance levels indicated for successful attainment of the unit.</w:t>
      </w:r>
    </w:p>
    <w:p w:rsidR="00000000" w:rsidRPr="007A4A66" w:rsidP="007A4A66">
      <w:pPr>
        <w:pStyle w:val="BodyText"/>
        <w:keepNext/>
      </w:pPr>
    </w:p>
    <w:p w:rsidR="00000000" w:rsidRPr="007A4A66" w:rsidP="007A4A66">
      <w:pPr>
        <w:pStyle w:val="BodyText"/>
      </w:pPr>
      <w:bookmarkStart w:id="6" w:name="O_72670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75pt;width:474pt">
            <v:imagedata r:id="rId10" o:title=""/>
          </v:shape>
        </w:pict>
      </w:r>
      <w:bookmarkEnd w:id="6"/>
    </w:p>
    <w:p w:rsidR="00000000" w:rsidRPr="007A4A66" w:rsidP="007A4A66">
      <w:pPr>
        <w:pStyle w:val="BodyText"/>
      </w:pPr>
    </w:p>
    <w:p w:rsidR="008F5EC4" w:rsidP="008F5EC4">
      <w:pPr>
        <w:pStyle w:val="BodyText"/>
      </w:pPr>
      <w:r w:rsidRPr="007A4A66">
        <w:t>Further information on ACSF and the foundation skills underpinning this unit can be found in the Foundation Skills Guide on the GSA website.</w:t>
      </w:r>
    </w:p>
    <w:p w:rsidR="00000000" w:rsidRPr="007A4A66" w:rsidP="007A4A66">
      <w:pPr>
        <w:pStyle w:val="Heading1"/>
      </w:pPr>
      <w:bookmarkStart w:id="7" w:name="O_716783"/>
      <w:bookmarkEnd w:id="7"/>
      <w:r w:rsidRPr="007A4A66">
        <w:t>Unit Mapping Information</w:t>
      </w:r>
    </w:p>
    <w:p w:rsidR="00000000" w:rsidRPr="007A4A66" w:rsidP="008F5EC4">
      <w:pPr>
        <w:pStyle w:val="BodyText"/>
      </w:pPr>
      <w:r w:rsidRPr="007A4A66">
        <w:t>This unit supersedes and is equivalent to PUAPOLFC003B Detect, record and collect physical evidence.</w:t>
      </w:r>
    </w:p>
    <w:p w:rsidR="00000000" w:rsidRPr="007A4A66" w:rsidP="007A4A66">
      <w:pPr>
        <w:pStyle w:val="Heading1"/>
      </w:pPr>
      <w:bookmarkStart w:id="8" w:name="O_716790"/>
      <w:bookmarkEnd w:id="8"/>
      <w:r w:rsidRPr="007A4A66">
        <w:t>Links</w:t>
      </w:r>
    </w:p>
    <w:p w:rsidR="00000000" w:rsidRPr="007A4A66" w:rsidP="008F5EC4">
      <w:pPr>
        <w:pStyle w:val="BodyText"/>
      </w:pPr>
      <w:r w:rsidRPr="007A4A6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9787D">
        <w:rPr>
          <w:rStyle w:val="Hyperlink"/>
        </w:rPr>
        <w:t>https://vetnet.gov.au/Pages/TrainingDocs.aspx?q=98c3984e-2cf1-48a8-8ed1-85e4b92e7351</w:t>
      </w:r>
      <w:r>
        <w:fldChar w:fldCharType="end"/>
      </w:r>
    </w:p>
    <w:p w:rsidR="00000000" w:rsidRPr="007A4A66" w:rsidP="008F5EC4">
      <w:pPr>
        <w:pStyle w:val="BodyText"/>
      </w:pPr>
      <w:r w:rsidRPr="007A4A6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9787D">
        <w:rPr>
          <w:rStyle w:val="Hyperlink"/>
        </w:rPr>
        <w:t>https://vetnet.gov.au/Pages/TrainingDocs.aspx?q=98c3984e-2cf1-48a8-8ed1-85e4b92e7351</w:t>
      </w:r>
      <w:r>
        <w:fldChar w:fldCharType="end"/>
      </w:r>
    </w:p>
    <w:p w:rsidR="00000000" w:rsidRPr="007A4A66" w:rsidP="008F5EC4">
      <w:pPr>
        <w:pStyle w:val="BodyText"/>
      </w:pPr>
      <w:r w:rsidRPr="007A4A66">
        <w:t>Companion Volume implementation guides are found in V</w:t>
      </w:r>
      <w:r w:rsidRPr="007A4A66">
        <w:t xml:space="preserve">ETNet - </w:t>
      </w:r>
      <w:r>
        <w:fldChar w:fldCharType="begin"/>
      </w:r>
      <w:r>
        <w:instrText xml:space="preserve"> HYPERLINK "https://vetnet.gov.au/Pages/TrainingDocs.aspx?q=98c3984e-2cf1-48a8-8ed1-85e4b92e7351" </w:instrText>
      </w:r>
      <w:r>
        <w:fldChar w:fldCharType="separate"/>
      </w:r>
      <w:r w:rsidRPr="00C9787D">
        <w:rPr>
          <w:rStyle w:val="Hyperlink"/>
        </w:rPr>
        <w:t>https://vetnet.gov.au/Pages/TrainingDocs.aspx?q=98c3984e-2cf1-48a8-8ed1-85e4b92e7351</w:t>
      </w:r>
      <w:r>
        <w:fldChar w:fldCharType="end"/>
      </w:r>
    </w:p>
    <w:p w:rsidR="00000000" w:rsidRPr="007A4A66" w:rsidP="007A4A66"/>
    <w:sectPr w:rsidSect="007A4A66">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A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A66" w:rsidRPr="008F5EC4" w:rsidP="008F5E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A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EC4" w:rsidP="007A4A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5EC4" w:rsidP="007A4A6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F5EC4" w:rsidP="007A4A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A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E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4A66" w:rsidRPr="008F5EC4" w:rsidP="008F5E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A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EC4" w:rsidRPr="002D2AF8" w:rsidP="007A4A66">
    <w:pPr>
      <w:pStyle w:val="Header"/>
      <w:framePr w:wrap="around"/>
    </w:pPr>
    <w:r>
      <w:fldChar w:fldCharType="begin"/>
    </w:r>
    <w:r>
      <w:instrText xml:space="preserve"> TITLE   \* MERGEFORMAT </w:instrText>
    </w:r>
    <w:r>
      <w:fldChar w:fldCharType="separate"/>
    </w:r>
    <w:r>
      <w:t>POLFOR024 Detect, record and collect forensic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F5EC4" w:rsidP="007A4A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8EAA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8EC2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A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4A66"/>
    <w:pPr>
      <w:spacing w:before="360" w:after="60"/>
      <w:outlineLvl w:val="0"/>
    </w:pPr>
    <w:rPr>
      <w:sz w:val="32"/>
    </w:rPr>
  </w:style>
  <w:style w:type="paragraph" w:styleId="Heading2">
    <w:name w:val="heading 2"/>
    <w:basedOn w:val="HeadingBase"/>
    <w:next w:val="BodyText"/>
    <w:link w:val="Heading2Char"/>
    <w:qFormat/>
    <w:rsid w:val="007A4A66"/>
    <w:pPr>
      <w:keepLines/>
      <w:spacing w:before="240" w:after="120"/>
      <w:outlineLvl w:val="1"/>
    </w:pPr>
    <w:rPr>
      <w:sz w:val="28"/>
      <w:szCs w:val="40"/>
    </w:rPr>
  </w:style>
  <w:style w:type="paragraph" w:styleId="Heading3">
    <w:name w:val="heading 3"/>
    <w:basedOn w:val="HeadingBase"/>
    <w:next w:val="BodyText"/>
    <w:link w:val="Heading3Char"/>
    <w:qFormat/>
    <w:rsid w:val="007A4A66"/>
    <w:pPr>
      <w:spacing w:before="180" w:after="120"/>
      <w:outlineLvl w:val="2"/>
    </w:pPr>
    <w:rPr>
      <w:spacing w:val="-10"/>
      <w:kern w:val="32"/>
    </w:rPr>
  </w:style>
  <w:style w:type="paragraph" w:styleId="Heading4">
    <w:name w:val="heading 4"/>
    <w:basedOn w:val="HeadingBase"/>
    <w:next w:val="BodyText"/>
    <w:link w:val="Heading4Char"/>
    <w:qFormat/>
    <w:rsid w:val="007A4A66"/>
    <w:pPr>
      <w:spacing w:before="160" w:after="120"/>
      <w:outlineLvl w:val="3"/>
    </w:pPr>
    <w:rPr>
      <w:sz w:val="22"/>
    </w:rPr>
  </w:style>
  <w:style w:type="paragraph" w:styleId="Heading5">
    <w:name w:val="heading 5"/>
    <w:basedOn w:val="HeadingBase"/>
    <w:next w:val="Normal"/>
    <w:link w:val="Heading5Char"/>
    <w:qFormat/>
    <w:rsid w:val="007A4A66"/>
    <w:pPr>
      <w:spacing w:before="80"/>
      <w:outlineLvl w:val="4"/>
    </w:pPr>
    <w:rPr>
      <w:color w:val="918585"/>
      <w:sz w:val="20"/>
    </w:rPr>
  </w:style>
  <w:style w:type="paragraph" w:styleId="Heading6">
    <w:name w:val="heading 6"/>
    <w:basedOn w:val="HeadingBase"/>
    <w:next w:val="Normal"/>
    <w:link w:val="Heading6Char"/>
    <w:qFormat/>
    <w:rsid w:val="007A4A66"/>
    <w:pPr>
      <w:spacing w:before="60"/>
      <w:outlineLvl w:val="5"/>
    </w:pPr>
    <w:rPr>
      <w:color w:val="918585"/>
      <w:sz w:val="20"/>
    </w:rPr>
  </w:style>
  <w:style w:type="paragraph" w:styleId="Heading7">
    <w:name w:val="heading 7"/>
    <w:basedOn w:val="Normal"/>
    <w:next w:val="Normal"/>
    <w:link w:val="Heading7Char"/>
    <w:qFormat/>
    <w:rsid w:val="007A4A66"/>
    <w:pPr>
      <w:ind w:left="720"/>
      <w:outlineLvl w:val="6"/>
    </w:pPr>
    <w:rPr>
      <w:i/>
    </w:rPr>
  </w:style>
  <w:style w:type="paragraph" w:styleId="Heading8">
    <w:name w:val="heading 8"/>
    <w:basedOn w:val="Normal"/>
    <w:next w:val="Normal"/>
    <w:link w:val="Heading8Char"/>
    <w:qFormat/>
    <w:rsid w:val="007A4A66"/>
    <w:pPr>
      <w:ind w:left="720"/>
      <w:outlineLvl w:val="7"/>
    </w:pPr>
    <w:rPr>
      <w:i/>
    </w:rPr>
  </w:style>
  <w:style w:type="paragraph" w:styleId="Heading9">
    <w:name w:val="heading 9"/>
    <w:basedOn w:val="Normal"/>
    <w:next w:val="Normal"/>
    <w:link w:val="Heading9Char"/>
    <w:qFormat/>
    <w:rsid w:val="007A4A66"/>
    <w:pPr>
      <w:ind w:left="720"/>
      <w:outlineLvl w:val="8"/>
    </w:pPr>
    <w:rPr>
      <w:i/>
    </w:rPr>
  </w:style>
  <w:style w:type="character" w:default="1" w:styleId="DefaultParagraphFont">
    <w:name w:val="Default Paragraph Font"/>
    <w:uiPriority w:val="1"/>
    <w:unhideWhenUsed/>
    <w:rsid w:val="007A4A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4A66"/>
  </w:style>
  <w:style w:type="character" w:customStyle="1" w:styleId="Heading1Char">
    <w:name w:val="Heading 1 Char"/>
    <w:basedOn w:val="DefaultParagraphFont"/>
    <w:link w:val="Heading1"/>
    <w:rsid w:val="007A4A66"/>
    <w:rPr>
      <w:rFonts w:ascii="Times New Roman" w:eastAsia="Times New Roman" w:hAnsi="Times New Roman" w:cs="Times New Roman"/>
      <w:b/>
      <w:sz w:val="32"/>
      <w:szCs w:val="20"/>
      <w:lang w:eastAsia="en-US"/>
    </w:rPr>
  </w:style>
  <w:style w:type="paragraph" w:styleId="BodyText">
    <w:name w:val="Body Text"/>
    <w:basedOn w:val="Normal"/>
    <w:link w:val="BodyTextChar"/>
    <w:rsid w:val="007A4A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4A66"/>
    <w:rPr>
      <w:rFonts w:ascii="Times New Roman" w:eastAsia="Times New Roman" w:hAnsi="Times New Roman" w:cs="Times New Roman"/>
      <w:sz w:val="24"/>
      <w:lang w:eastAsia="en-US"/>
    </w:rPr>
  </w:style>
  <w:style w:type="paragraph" w:styleId="List">
    <w:name w:val="List"/>
    <w:basedOn w:val="BodyText"/>
    <w:next w:val="BodyText"/>
    <w:rsid w:val="007A4A66"/>
    <w:pPr>
      <w:tabs>
        <w:tab w:val="left" w:pos="340"/>
      </w:tabs>
      <w:spacing w:before="60" w:after="60"/>
      <w:ind w:left="340" w:hanging="340"/>
    </w:pPr>
  </w:style>
  <w:style w:type="paragraph" w:styleId="ListBullet">
    <w:name w:val="List Bullet"/>
    <w:basedOn w:val="List"/>
    <w:rsid w:val="007A4A66"/>
    <w:pPr>
      <w:numPr>
        <w:numId w:val="11"/>
      </w:numPr>
      <w:tabs>
        <w:tab w:val="clear" w:pos="340"/>
      </w:tabs>
      <w:spacing w:before="40" w:after="40"/>
    </w:pPr>
  </w:style>
  <w:style w:type="character" w:customStyle="1" w:styleId="SpecialBold">
    <w:name w:val="Special Bold"/>
    <w:basedOn w:val="DefaultParagraphFont"/>
    <w:rsid w:val="007A4A66"/>
    <w:rPr>
      <w:b/>
      <w:spacing w:val="0"/>
    </w:rPr>
  </w:style>
  <w:style w:type="paragraph" w:customStyle="1" w:styleId="SuperHeading">
    <w:name w:val="SuperHeading"/>
    <w:basedOn w:val="Normal"/>
    <w:rsid w:val="007A4A66"/>
    <w:pPr>
      <w:spacing w:before="240" w:after="120"/>
      <w:outlineLvl w:val="0"/>
    </w:pPr>
    <w:rPr>
      <w:rFonts w:ascii="Times New Roman" w:hAnsi="Times New Roman"/>
      <w:b/>
      <w:sz w:val="32"/>
    </w:rPr>
  </w:style>
  <w:style w:type="paragraph" w:customStyle="1" w:styleId="TableHeading">
    <w:name w:val="Table Heading"/>
    <w:basedOn w:val="HeadingBase"/>
    <w:rsid w:val="007A4A66"/>
    <w:pPr>
      <w:keepLines/>
      <w:pBdr>
        <w:bottom w:val="single" w:sz="6" w:space="1" w:color="918585"/>
      </w:pBdr>
      <w:spacing w:before="240"/>
    </w:pPr>
  </w:style>
  <w:style w:type="paragraph" w:customStyle="1" w:styleId="AllowPageBreak">
    <w:name w:val="AllowPageBreak"/>
    <w:rsid w:val="007A4A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4A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4A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4A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4A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4A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4A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4A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4A66"/>
    <w:rPr>
      <w:rFonts w:ascii="Courier New" w:eastAsia="Times New Roman" w:hAnsi="Courier New" w:cs="Times New Roman"/>
      <w:i/>
      <w:szCs w:val="20"/>
      <w:lang w:eastAsia="en-US"/>
    </w:rPr>
  </w:style>
  <w:style w:type="paragraph" w:customStyle="1" w:styleId="HeadingBase">
    <w:name w:val="Heading Base"/>
    <w:rsid w:val="007A4A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4A66"/>
    <w:pPr>
      <w:tabs>
        <w:tab w:val="right" w:leader="dot" w:pos="9072"/>
      </w:tabs>
      <w:ind w:left="567"/>
    </w:pPr>
    <w:rPr>
      <w:szCs w:val="22"/>
    </w:rPr>
  </w:style>
  <w:style w:type="paragraph" w:customStyle="1" w:styleId="TOCBase">
    <w:name w:val="TOC Base"/>
    <w:rsid w:val="007A4A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4A66"/>
    <w:pPr>
      <w:tabs>
        <w:tab w:val="right" w:leader="dot" w:pos="9072"/>
      </w:tabs>
      <w:spacing w:before="40" w:after="40"/>
      <w:ind w:left="284"/>
    </w:pPr>
    <w:rPr>
      <w:rFonts w:ascii="Times New Roman" w:hAnsi="Times New Roman"/>
    </w:rPr>
  </w:style>
  <w:style w:type="paragraph" w:styleId="TOC1">
    <w:name w:val="toc 1"/>
    <w:basedOn w:val="TOCBase"/>
    <w:next w:val="Normal"/>
    <w:rsid w:val="007A4A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4A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4A66"/>
    <w:rPr>
      <w:rFonts w:ascii="Times New Roman" w:eastAsia="Times New Roman" w:hAnsi="Times New Roman" w:cs="Times New Roman"/>
      <w:sz w:val="16"/>
      <w:lang w:eastAsia="en-US"/>
    </w:rPr>
  </w:style>
  <w:style w:type="paragraph" w:styleId="Title">
    <w:name w:val="Title"/>
    <w:basedOn w:val="HeadingBase"/>
    <w:link w:val="TitleChar"/>
    <w:qFormat/>
    <w:rsid w:val="007A4A66"/>
    <w:pPr>
      <w:spacing w:before="5040"/>
      <w:jc w:val="center"/>
    </w:pPr>
    <w:rPr>
      <w:sz w:val="48"/>
      <w:szCs w:val="72"/>
      <w:lang w:val="en-US"/>
    </w:rPr>
  </w:style>
  <w:style w:type="character" w:customStyle="1" w:styleId="TitleChar">
    <w:name w:val="Title Char"/>
    <w:basedOn w:val="DefaultParagraphFont"/>
    <w:link w:val="Title"/>
    <w:rsid w:val="007A4A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4A66"/>
    <w:pPr>
      <w:tabs>
        <w:tab w:val="left" w:pos="3600"/>
        <w:tab w:val="left" w:pos="3958"/>
      </w:tabs>
    </w:pPr>
  </w:style>
  <w:style w:type="paragraph" w:customStyle="1" w:styleId="Note">
    <w:name w:val="Note"/>
    <w:basedOn w:val="BodyText"/>
    <w:rsid w:val="007A4A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4A66"/>
    <w:pPr>
      <w:framePr w:wrap="auto" w:hAnchor="text" w:y="6049"/>
    </w:pPr>
    <w:rPr>
      <w:color w:val="000000"/>
      <w:sz w:val="40"/>
    </w:rPr>
  </w:style>
  <w:style w:type="paragraph" w:customStyle="1" w:styleId="TOCTitle">
    <w:name w:val="TOCTitle"/>
    <w:basedOn w:val="Heading1"/>
    <w:rsid w:val="007A4A66"/>
    <w:pPr>
      <w:spacing w:after="240"/>
      <w:jc w:val="center"/>
      <w:outlineLvl w:val="9"/>
    </w:pPr>
    <w:rPr>
      <w:caps/>
    </w:rPr>
  </w:style>
  <w:style w:type="paragraph" w:customStyle="1" w:styleId="Version">
    <w:name w:val="Version"/>
    <w:rsid w:val="007A4A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4A66"/>
    <w:pPr>
      <w:numPr>
        <w:numId w:val="12"/>
      </w:numPr>
      <w:tabs>
        <w:tab w:val="clear" w:pos="680"/>
      </w:tabs>
    </w:pPr>
  </w:style>
  <w:style w:type="paragraph" w:styleId="Index1">
    <w:name w:val="index 1"/>
    <w:basedOn w:val="Normal"/>
    <w:next w:val="Normal"/>
    <w:semiHidden/>
    <w:rsid w:val="007A4A66"/>
    <w:pPr>
      <w:keepNext w:val="0"/>
      <w:tabs>
        <w:tab w:val="right" w:pos="4176"/>
      </w:tabs>
      <w:ind w:left="198" w:hanging="198"/>
    </w:pPr>
    <w:rPr>
      <w:rFonts w:ascii="Garamond" w:hAnsi="Garamond"/>
    </w:rPr>
  </w:style>
  <w:style w:type="paragraph" w:styleId="IndexHeading">
    <w:name w:val="index heading"/>
    <w:basedOn w:val="Normal"/>
    <w:next w:val="Index1"/>
    <w:semiHidden/>
    <w:rsid w:val="007A4A66"/>
    <w:pPr>
      <w:spacing w:before="120" w:after="120"/>
    </w:pPr>
    <w:rPr>
      <w:rFonts w:ascii="Arial" w:hAnsi="Arial"/>
      <w:b/>
      <w:color w:val="918585"/>
      <w:sz w:val="24"/>
    </w:rPr>
  </w:style>
  <w:style w:type="paragraph" w:styleId="Header">
    <w:name w:val="header"/>
    <w:basedOn w:val="Normal"/>
    <w:link w:val="HeaderChar"/>
    <w:rsid w:val="007A4A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4A66"/>
    <w:rPr>
      <w:rFonts w:ascii="Times New Roman" w:eastAsia="Times New Roman" w:hAnsi="Times New Roman" w:cs="Times New Roman"/>
      <w:sz w:val="16"/>
      <w:szCs w:val="20"/>
      <w:lang w:val="en-GB" w:eastAsia="en-US"/>
    </w:rPr>
  </w:style>
  <w:style w:type="paragraph" w:customStyle="1" w:styleId="Chapter">
    <w:name w:val="Chapter"/>
    <w:basedOn w:val="Normal"/>
    <w:rsid w:val="007A4A66"/>
    <w:pPr>
      <w:spacing w:before="240"/>
    </w:pPr>
    <w:rPr>
      <w:rFonts w:ascii="Times New Roman" w:hAnsi="Times New Roman"/>
      <w:smallCaps/>
      <w:spacing w:val="80"/>
      <w:sz w:val="28"/>
    </w:rPr>
  </w:style>
  <w:style w:type="paragraph" w:customStyle="1" w:styleId="InChapter">
    <w:name w:val="InChapter"/>
    <w:basedOn w:val="Heading3"/>
    <w:rsid w:val="007A4A66"/>
    <w:pPr>
      <w:spacing w:after="240"/>
      <w:outlineLvl w:val="9"/>
    </w:pPr>
    <w:rPr>
      <w:noProof/>
    </w:rPr>
  </w:style>
  <w:style w:type="paragraph" w:styleId="Index2">
    <w:name w:val="index 2"/>
    <w:basedOn w:val="Normal"/>
    <w:next w:val="Normal"/>
    <w:semiHidden/>
    <w:rsid w:val="007A4A66"/>
    <w:pPr>
      <w:tabs>
        <w:tab w:val="right" w:pos="4176"/>
      </w:tabs>
      <w:ind w:left="568" w:hanging="284"/>
    </w:pPr>
    <w:rPr>
      <w:rFonts w:ascii="Garamond" w:hAnsi="Garamond"/>
    </w:rPr>
  </w:style>
  <w:style w:type="paragraph" w:customStyle="1" w:styleId="Byline">
    <w:name w:val="Byline"/>
    <w:rsid w:val="007A4A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4A66"/>
    <w:pPr>
      <w:tabs>
        <w:tab w:val="clear" w:pos="3600"/>
        <w:tab w:val="clear" w:pos="3958"/>
      </w:tabs>
      <w:jc w:val="right"/>
    </w:pPr>
  </w:style>
  <w:style w:type="character" w:styleId="Emphasis">
    <w:name w:val="Emphasis"/>
    <w:basedOn w:val="DefaultParagraphFont"/>
    <w:qFormat/>
    <w:rsid w:val="007A4A66"/>
    <w:rPr>
      <w:i/>
    </w:rPr>
  </w:style>
  <w:style w:type="paragraph" w:styleId="Caption">
    <w:name w:val="caption"/>
    <w:basedOn w:val="BodyText"/>
    <w:next w:val="Normal"/>
    <w:qFormat/>
    <w:rsid w:val="007A4A66"/>
    <w:pPr>
      <w:framePr w:w="2268" w:hSpace="181" w:vSpace="181" w:wrap="around" w:vAnchor="text" w:hAnchor="page" w:x="1135" w:y="285" w:anchorLock="1"/>
    </w:pPr>
    <w:rPr>
      <w:i/>
    </w:rPr>
  </w:style>
  <w:style w:type="paragraph" w:customStyle="1" w:styleId="MiniTOCTitle">
    <w:name w:val="MiniTOCTitle"/>
    <w:basedOn w:val="Heading4"/>
    <w:rsid w:val="007A4A66"/>
    <w:pPr>
      <w:spacing w:before="240"/>
      <w:outlineLvl w:val="9"/>
    </w:pPr>
    <w:rPr>
      <w:noProof/>
      <w:sz w:val="24"/>
    </w:rPr>
  </w:style>
  <w:style w:type="paragraph" w:customStyle="1" w:styleId="MiniTOCItem">
    <w:name w:val="MiniTOCItem"/>
    <w:basedOn w:val="ListBullet"/>
    <w:rsid w:val="007A4A66"/>
    <w:pPr>
      <w:numPr>
        <w:numId w:val="0"/>
      </w:numPr>
      <w:tabs>
        <w:tab w:val="right" w:leader="dot" w:pos="6521"/>
      </w:tabs>
      <w:spacing w:before="0" w:after="0"/>
    </w:pPr>
  </w:style>
  <w:style w:type="paragraph" w:customStyle="1" w:styleId="TOFTitle">
    <w:name w:val="TOFTitle"/>
    <w:basedOn w:val="TOCTitle"/>
    <w:rsid w:val="007A4A66"/>
  </w:style>
  <w:style w:type="paragraph" w:styleId="TableofFigures">
    <w:name w:val="table of figures"/>
    <w:basedOn w:val="Normal"/>
    <w:next w:val="Normal"/>
    <w:semiHidden/>
    <w:rsid w:val="007A4A66"/>
    <w:pPr>
      <w:tabs>
        <w:tab w:val="right" w:leader="dot" w:pos="9072"/>
      </w:tabs>
      <w:ind w:left="970" w:hanging="403"/>
    </w:pPr>
    <w:rPr>
      <w:rFonts w:ascii="Times New Roman" w:hAnsi="Times New Roman"/>
      <w:b/>
    </w:rPr>
  </w:style>
  <w:style w:type="paragraph" w:styleId="ListNumber">
    <w:name w:val="List Number"/>
    <w:basedOn w:val="List"/>
    <w:rsid w:val="007A4A66"/>
    <w:pPr>
      <w:numPr>
        <w:numId w:val="14"/>
      </w:numPr>
      <w:tabs>
        <w:tab w:val="clear" w:pos="340"/>
      </w:tabs>
    </w:pPr>
  </w:style>
  <w:style w:type="character" w:customStyle="1" w:styleId="WingdingSymbols">
    <w:name w:val="Wingding Symbols"/>
    <w:rsid w:val="007A4A66"/>
    <w:rPr>
      <w:rFonts w:ascii="Wingdings" w:hAnsi="Wingdings"/>
    </w:rPr>
  </w:style>
  <w:style w:type="character" w:customStyle="1" w:styleId="HotSpot">
    <w:name w:val="HotSpot"/>
    <w:rsid w:val="007A4A66"/>
    <w:rPr>
      <w:color w:val="0033CC"/>
      <w:u w:val="none"/>
    </w:rPr>
  </w:style>
  <w:style w:type="paragraph" w:customStyle="1" w:styleId="BodyTextRight">
    <w:name w:val="Body Text Right"/>
    <w:basedOn w:val="BodyText"/>
    <w:rsid w:val="007A4A66"/>
    <w:pPr>
      <w:spacing w:before="0" w:after="0"/>
      <w:jc w:val="right"/>
    </w:pPr>
  </w:style>
  <w:style w:type="paragraph" w:styleId="Index3">
    <w:name w:val="index 3"/>
    <w:basedOn w:val="ListNumber2"/>
    <w:next w:val="Normal"/>
    <w:semiHidden/>
    <w:rsid w:val="007A4A66"/>
    <w:pPr>
      <w:numPr>
        <w:numId w:val="0"/>
      </w:numPr>
      <w:tabs>
        <w:tab w:val="right" w:leader="dot" w:pos="4176"/>
      </w:tabs>
    </w:pPr>
  </w:style>
  <w:style w:type="paragraph" w:styleId="ListNumber2">
    <w:name w:val="List Number 2"/>
    <w:basedOn w:val="List2"/>
    <w:rsid w:val="007A4A66"/>
    <w:pPr>
      <w:numPr>
        <w:numId w:val="9"/>
      </w:numPr>
      <w:tabs>
        <w:tab w:val="clear" w:pos="1060"/>
      </w:tabs>
    </w:pPr>
  </w:style>
  <w:style w:type="paragraph" w:customStyle="1" w:styleId="MarginNote">
    <w:name w:val="Margin Note"/>
    <w:basedOn w:val="BodyText"/>
    <w:rsid w:val="007A4A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4A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4A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4A66"/>
    <w:rPr>
      <w:sz w:val="32"/>
    </w:rPr>
  </w:style>
  <w:style w:type="paragraph" w:customStyle="1" w:styleId="HeadingProcedure">
    <w:name w:val="Heading Procedure"/>
    <w:basedOn w:val="HeadingBase"/>
    <w:next w:val="Normal"/>
    <w:rsid w:val="007A4A66"/>
    <w:pPr>
      <w:tabs>
        <w:tab w:val="left" w:pos="0"/>
      </w:tabs>
      <w:spacing w:before="120" w:after="60"/>
    </w:pPr>
    <w:rPr>
      <w:i/>
      <w:color w:val="918585"/>
      <w:sz w:val="22"/>
    </w:rPr>
  </w:style>
  <w:style w:type="paragraph" w:customStyle="1" w:styleId="TableBodyText">
    <w:name w:val="Table Body Text"/>
    <w:basedOn w:val="BodyText"/>
    <w:rsid w:val="007A4A66"/>
    <w:pPr>
      <w:spacing w:before="60" w:after="60"/>
    </w:pPr>
  </w:style>
  <w:style w:type="paragraph" w:styleId="ListContinue">
    <w:name w:val="List Continue"/>
    <w:basedOn w:val="List"/>
    <w:rsid w:val="007A4A66"/>
    <w:pPr>
      <w:ind w:firstLine="0"/>
    </w:pPr>
  </w:style>
  <w:style w:type="paragraph" w:customStyle="1" w:styleId="ListNote">
    <w:name w:val="List Note"/>
    <w:basedOn w:val="List"/>
    <w:rsid w:val="007A4A66"/>
    <w:pPr>
      <w:pBdr>
        <w:top w:val="single" w:sz="6" w:space="2" w:color="918585"/>
        <w:bottom w:val="single" w:sz="6" w:space="2" w:color="918585"/>
      </w:pBdr>
      <w:tabs>
        <w:tab w:val="left" w:pos="1021"/>
      </w:tabs>
      <w:ind w:firstLine="0"/>
    </w:pPr>
  </w:style>
  <w:style w:type="paragraph" w:customStyle="1" w:styleId="Warning">
    <w:name w:val="Warning"/>
    <w:basedOn w:val="BodyText"/>
    <w:rsid w:val="007A4A66"/>
    <w:pPr>
      <w:shd w:val="clear" w:color="auto" w:fill="D9D9D9"/>
      <w:tabs>
        <w:tab w:val="left" w:pos="992"/>
      </w:tabs>
      <w:ind w:left="119" w:right="119"/>
    </w:pPr>
    <w:rPr>
      <w:sz w:val="20"/>
    </w:rPr>
  </w:style>
  <w:style w:type="paragraph" w:customStyle="1" w:styleId="MarginIcons">
    <w:name w:val="Margin Icons"/>
    <w:basedOn w:val="BodyText"/>
    <w:rsid w:val="007A4A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4A66"/>
    <w:rPr>
      <w:rFonts w:ascii="Courier New" w:hAnsi="Courier New"/>
    </w:rPr>
  </w:style>
  <w:style w:type="paragraph" w:customStyle="1" w:styleId="NoteBullet">
    <w:name w:val="Note Bullet"/>
    <w:basedOn w:val="Note"/>
    <w:rsid w:val="007A4A66"/>
    <w:pPr>
      <w:tabs>
        <w:tab w:val="clear" w:pos="680"/>
      </w:tabs>
      <w:spacing w:before="60" w:after="60"/>
    </w:pPr>
  </w:style>
  <w:style w:type="paragraph" w:customStyle="1" w:styleId="SubHeading2">
    <w:name w:val="SubHeading2"/>
    <w:basedOn w:val="HeadingBase"/>
    <w:rsid w:val="007A4A66"/>
    <w:pPr>
      <w:spacing w:before="240" w:after="60"/>
    </w:pPr>
    <w:rPr>
      <w:sz w:val="20"/>
    </w:rPr>
  </w:style>
  <w:style w:type="paragraph" w:customStyle="1" w:styleId="SubHeading1">
    <w:name w:val="SubHeading1"/>
    <w:basedOn w:val="HeadingBase"/>
    <w:rsid w:val="007A4A66"/>
    <w:pPr>
      <w:spacing w:before="240" w:after="60"/>
    </w:pPr>
    <w:rPr>
      <w:color w:val="918585"/>
      <w:sz w:val="22"/>
    </w:rPr>
  </w:style>
  <w:style w:type="paragraph" w:customStyle="1" w:styleId="SideHeading">
    <w:name w:val="Side Heading"/>
    <w:basedOn w:val="HeadingBase"/>
    <w:rsid w:val="007A4A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4A66"/>
    <w:pPr>
      <w:numPr>
        <w:numId w:val="10"/>
      </w:numPr>
    </w:pPr>
  </w:style>
  <w:style w:type="paragraph" w:styleId="PlainText">
    <w:name w:val="Plain Text"/>
    <w:basedOn w:val="Normal"/>
    <w:link w:val="PlainTextChar"/>
    <w:rsid w:val="007A4A66"/>
    <w:rPr>
      <w:sz w:val="20"/>
    </w:rPr>
  </w:style>
  <w:style w:type="character" w:customStyle="1" w:styleId="PlainTextChar">
    <w:name w:val="Plain Text Char"/>
    <w:basedOn w:val="DefaultParagraphFont"/>
    <w:link w:val="PlainText"/>
    <w:rsid w:val="007A4A66"/>
    <w:rPr>
      <w:rFonts w:ascii="Courier New" w:eastAsia="Times New Roman" w:hAnsi="Courier New" w:cs="Times New Roman"/>
      <w:sz w:val="20"/>
      <w:szCs w:val="20"/>
      <w:lang w:eastAsia="en-US"/>
    </w:rPr>
  </w:style>
  <w:style w:type="character" w:customStyle="1" w:styleId="MenuOption">
    <w:name w:val="Menu Option"/>
    <w:basedOn w:val="DefaultParagraphFont"/>
    <w:rsid w:val="007A4A66"/>
    <w:rPr>
      <w:b/>
      <w:smallCaps/>
    </w:rPr>
  </w:style>
  <w:style w:type="paragraph" w:customStyle="1" w:styleId="TableListNumber">
    <w:name w:val="Table List Number"/>
    <w:basedOn w:val="ListNumber"/>
    <w:rsid w:val="007A4A66"/>
    <w:pPr>
      <w:numPr>
        <w:numId w:val="0"/>
      </w:numPr>
    </w:pPr>
  </w:style>
  <w:style w:type="paragraph" w:styleId="TOC4">
    <w:name w:val="toc 4"/>
    <w:basedOn w:val="TOCBase"/>
    <w:next w:val="Normal"/>
    <w:semiHidden/>
    <w:rsid w:val="007A4A66"/>
    <w:pPr>
      <w:tabs>
        <w:tab w:val="right" w:leader="dot" w:pos="9071"/>
      </w:tabs>
      <w:ind w:left="1701"/>
    </w:pPr>
  </w:style>
  <w:style w:type="paragraph" w:customStyle="1" w:styleId="ListAlpha">
    <w:name w:val="List Alpha"/>
    <w:basedOn w:val="List"/>
    <w:rsid w:val="007A4A66"/>
    <w:pPr>
      <w:numPr>
        <w:numId w:val="8"/>
      </w:numPr>
    </w:pPr>
  </w:style>
  <w:style w:type="paragraph" w:customStyle="1" w:styleId="ListAlpha2">
    <w:name w:val="List Alpha 2"/>
    <w:basedOn w:val="List2"/>
    <w:rsid w:val="007A4A66"/>
    <w:pPr>
      <w:numPr>
        <w:numId w:val="7"/>
      </w:numPr>
    </w:pPr>
  </w:style>
  <w:style w:type="paragraph" w:styleId="List2">
    <w:name w:val="List 2"/>
    <w:basedOn w:val="BodyText"/>
    <w:rsid w:val="007A4A66"/>
    <w:pPr>
      <w:tabs>
        <w:tab w:val="left" w:pos="680"/>
      </w:tabs>
      <w:spacing w:before="60" w:after="60"/>
      <w:ind w:left="680" w:hanging="340"/>
    </w:pPr>
  </w:style>
  <w:style w:type="paragraph" w:styleId="List3">
    <w:name w:val="List 3"/>
    <w:basedOn w:val="BodyText"/>
    <w:rsid w:val="007A4A66"/>
    <w:pPr>
      <w:tabs>
        <w:tab w:val="left" w:pos="1021"/>
      </w:tabs>
      <w:spacing w:before="60" w:after="60"/>
      <w:ind w:left="1020" w:hanging="340"/>
    </w:pPr>
  </w:style>
  <w:style w:type="paragraph" w:styleId="List4">
    <w:name w:val="List 4"/>
    <w:basedOn w:val="BodyText"/>
    <w:rsid w:val="007A4A66"/>
    <w:pPr>
      <w:tabs>
        <w:tab w:val="left" w:pos="1361"/>
      </w:tabs>
      <w:spacing w:before="60" w:after="60"/>
      <w:ind w:left="1361" w:hanging="340"/>
    </w:pPr>
  </w:style>
  <w:style w:type="paragraph" w:styleId="List5">
    <w:name w:val="List 5"/>
    <w:basedOn w:val="BodyText"/>
    <w:rsid w:val="007A4A66"/>
    <w:pPr>
      <w:tabs>
        <w:tab w:val="left" w:pos="1701"/>
      </w:tabs>
      <w:spacing w:before="60" w:after="60"/>
      <w:ind w:left="1701" w:hanging="340"/>
    </w:pPr>
  </w:style>
  <w:style w:type="paragraph" w:styleId="ListBullet3">
    <w:name w:val="List Bullet 3"/>
    <w:basedOn w:val="List3"/>
    <w:rsid w:val="007A4A66"/>
    <w:pPr>
      <w:numPr>
        <w:numId w:val="13"/>
      </w:numPr>
      <w:tabs>
        <w:tab w:val="clear" w:pos="1021"/>
      </w:tabs>
      <w:ind w:left="1037" w:hanging="357"/>
    </w:pPr>
  </w:style>
  <w:style w:type="paragraph" w:styleId="ListBullet4">
    <w:name w:val="List Bullet 4"/>
    <w:basedOn w:val="List4"/>
    <w:rsid w:val="007A4A66"/>
    <w:pPr>
      <w:numPr>
        <w:numId w:val="2"/>
      </w:numPr>
      <w:tabs>
        <w:tab w:val="clear" w:pos="1361"/>
      </w:tabs>
    </w:pPr>
  </w:style>
  <w:style w:type="paragraph" w:styleId="ListBullet5">
    <w:name w:val="List Bullet 5"/>
    <w:basedOn w:val="List5"/>
    <w:rsid w:val="007A4A66"/>
    <w:pPr>
      <w:numPr>
        <w:numId w:val="3"/>
      </w:numPr>
    </w:pPr>
  </w:style>
  <w:style w:type="paragraph" w:styleId="ListContinue2">
    <w:name w:val="List Continue 2"/>
    <w:basedOn w:val="List2"/>
    <w:rsid w:val="007A4A66"/>
    <w:pPr>
      <w:ind w:firstLine="0"/>
    </w:pPr>
  </w:style>
  <w:style w:type="paragraph" w:styleId="ListContinue3">
    <w:name w:val="List Continue 3"/>
    <w:basedOn w:val="List3"/>
    <w:rsid w:val="007A4A66"/>
    <w:pPr>
      <w:ind w:left="1021" w:firstLine="0"/>
    </w:pPr>
  </w:style>
  <w:style w:type="paragraph" w:styleId="ListContinue4">
    <w:name w:val="List Continue 4"/>
    <w:basedOn w:val="List4"/>
    <w:rsid w:val="007A4A66"/>
    <w:pPr>
      <w:ind w:firstLine="0"/>
    </w:pPr>
  </w:style>
  <w:style w:type="paragraph" w:styleId="ListContinue5">
    <w:name w:val="List Continue 5"/>
    <w:basedOn w:val="List5"/>
    <w:rsid w:val="007A4A66"/>
    <w:pPr>
      <w:ind w:firstLine="0"/>
    </w:pPr>
  </w:style>
  <w:style w:type="paragraph" w:styleId="ListNumber3">
    <w:name w:val="List Number 3"/>
    <w:basedOn w:val="List3"/>
    <w:rsid w:val="007A4A66"/>
    <w:pPr>
      <w:numPr>
        <w:numId w:val="4"/>
      </w:numPr>
    </w:pPr>
  </w:style>
  <w:style w:type="paragraph" w:styleId="ListNumber4">
    <w:name w:val="List Number 4"/>
    <w:basedOn w:val="List4"/>
    <w:rsid w:val="007A4A66"/>
    <w:pPr>
      <w:numPr>
        <w:numId w:val="5"/>
      </w:numPr>
    </w:pPr>
  </w:style>
  <w:style w:type="paragraph" w:styleId="ListNumber5">
    <w:name w:val="List Number 5"/>
    <w:basedOn w:val="List5"/>
    <w:rsid w:val="007A4A66"/>
    <w:pPr>
      <w:numPr>
        <w:numId w:val="6"/>
      </w:numPr>
    </w:pPr>
  </w:style>
  <w:style w:type="paragraph" w:styleId="BlockText">
    <w:name w:val="Block Text"/>
    <w:basedOn w:val="Normal"/>
    <w:rsid w:val="007A4A66"/>
    <w:pPr>
      <w:spacing w:after="120"/>
      <w:ind w:left="1440" w:right="1440"/>
    </w:pPr>
  </w:style>
  <w:style w:type="character" w:customStyle="1" w:styleId="Subscript">
    <w:name w:val="Subscript"/>
    <w:basedOn w:val="DefaultParagraphFont"/>
    <w:rsid w:val="007A4A66"/>
    <w:rPr>
      <w:sz w:val="16"/>
      <w:vertAlign w:val="subscript"/>
    </w:rPr>
  </w:style>
  <w:style w:type="character" w:customStyle="1" w:styleId="Superscript">
    <w:name w:val="Superscript"/>
    <w:basedOn w:val="DefaultParagraphFont"/>
    <w:rsid w:val="007A4A66"/>
    <w:rPr>
      <w:sz w:val="16"/>
      <w:vertAlign w:val="superscript"/>
    </w:rPr>
  </w:style>
  <w:style w:type="character" w:customStyle="1" w:styleId="Symbols">
    <w:name w:val="Symbols"/>
    <w:basedOn w:val="DefaultParagraphFont"/>
    <w:rsid w:val="007A4A66"/>
    <w:rPr>
      <w:rFonts w:ascii="Symbol" w:hAnsi="Symbol"/>
    </w:rPr>
  </w:style>
  <w:style w:type="character" w:customStyle="1" w:styleId="MenuOptions">
    <w:name w:val="Menu Options"/>
    <w:basedOn w:val="DefaultParagraphFont"/>
    <w:rsid w:val="007A4A66"/>
    <w:rPr>
      <w:rFonts w:ascii="Arial Narrow" w:hAnsi="Arial Narrow"/>
      <w:smallCaps/>
    </w:rPr>
  </w:style>
  <w:style w:type="character" w:customStyle="1" w:styleId="Buttons">
    <w:name w:val="Buttons"/>
    <w:basedOn w:val="DefaultParagraphFont"/>
    <w:rsid w:val="007A4A66"/>
    <w:rPr>
      <w:b/>
    </w:rPr>
  </w:style>
  <w:style w:type="character" w:customStyle="1" w:styleId="Underlined">
    <w:name w:val="Underlined"/>
    <w:basedOn w:val="DefaultParagraphFont"/>
    <w:rsid w:val="007A4A66"/>
    <w:rPr>
      <w:u w:val="single"/>
    </w:rPr>
  </w:style>
  <w:style w:type="paragraph" w:customStyle="1" w:styleId="TableBodyTextRight">
    <w:name w:val="Table Body Text Right"/>
    <w:basedOn w:val="TableBodyText"/>
    <w:rsid w:val="007A4A66"/>
    <w:pPr>
      <w:widowControl w:val="0"/>
      <w:autoSpaceDE w:val="0"/>
      <w:autoSpaceDN w:val="0"/>
      <w:adjustRightInd w:val="0"/>
      <w:jc w:val="right"/>
    </w:pPr>
    <w:rPr>
      <w:rFonts w:cs="Arial"/>
      <w:szCs w:val="18"/>
    </w:rPr>
  </w:style>
  <w:style w:type="paragraph" w:customStyle="1" w:styleId="CopyrightText">
    <w:name w:val="Copyright Text"/>
    <w:basedOn w:val="BodyText"/>
    <w:rsid w:val="007A4A66"/>
    <w:rPr>
      <w:sz w:val="18"/>
    </w:rPr>
  </w:style>
  <w:style w:type="paragraph" w:customStyle="1" w:styleId="BodySmallRight">
    <w:name w:val="Body Small Right"/>
    <w:basedOn w:val="BodyTextRight"/>
    <w:rsid w:val="007A4A66"/>
    <w:rPr>
      <w:sz w:val="18"/>
      <w:szCs w:val="18"/>
    </w:rPr>
  </w:style>
  <w:style w:type="paragraph" w:customStyle="1" w:styleId="MarginEdition">
    <w:name w:val="Margin Edition"/>
    <w:basedOn w:val="MarginNote"/>
    <w:rsid w:val="007A4A66"/>
    <w:pPr>
      <w:spacing w:before="0" w:after="0"/>
    </w:pPr>
    <w:rPr>
      <w:rFonts w:ascii="Times New Roman" w:hAnsi="Times New Roman"/>
      <w:color w:val="999999"/>
    </w:rPr>
  </w:style>
  <w:style w:type="paragraph" w:customStyle="1" w:styleId="Spacer">
    <w:name w:val="Spacer"/>
    <w:basedOn w:val="Normal"/>
    <w:rsid w:val="007A4A66"/>
    <w:rPr>
      <w:sz w:val="2"/>
      <w:szCs w:val="2"/>
    </w:rPr>
  </w:style>
  <w:style w:type="character" w:customStyle="1" w:styleId="Small">
    <w:name w:val="Small"/>
    <w:basedOn w:val="DefaultParagraphFont"/>
    <w:rsid w:val="007A4A66"/>
    <w:rPr>
      <w:sz w:val="16"/>
    </w:rPr>
  </w:style>
  <w:style w:type="paragraph" w:customStyle="1" w:styleId="WideTable">
    <w:name w:val="Wide Table"/>
    <w:basedOn w:val="Normal"/>
    <w:rsid w:val="007A4A66"/>
    <w:pPr>
      <w:ind w:left="-1418"/>
    </w:pPr>
    <w:rPr>
      <w:sz w:val="2"/>
      <w:szCs w:val="2"/>
    </w:rPr>
  </w:style>
  <w:style w:type="character" w:styleId="PageNumber">
    <w:name w:val="page number"/>
    <w:basedOn w:val="DefaultParagraphFont"/>
    <w:rsid w:val="007A4A66"/>
  </w:style>
  <w:style w:type="paragraph" w:styleId="Quote">
    <w:name w:val="Quote"/>
    <w:basedOn w:val="Heading1"/>
    <w:link w:val="QuoteChar"/>
    <w:qFormat/>
    <w:rsid w:val="007A4A66"/>
    <w:rPr>
      <w:b w:val="0"/>
      <w:sz w:val="72"/>
      <w:szCs w:val="72"/>
      <w:lang w:val="en-NZ"/>
    </w:rPr>
  </w:style>
  <w:style w:type="character" w:customStyle="1" w:styleId="QuoteChar">
    <w:name w:val="Quote Char"/>
    <w:basedOn w:val="DefaultParagraphFont"/>
    <w:link w:val="Quote"/>
    <w:rsid w:val="007A4A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4A66"/>
    <w:pPr>
      <w:pageBreakBefore/>
    </w:pPr>
  </w:style>
  <w:style w:type="paragraph" w:customStyle="1" w:styleId="Border">
    <w:name w:val="Border"/>
    <w:basedOn w:val="Normal"/>
    <w:qFormat/>
    <w:rsid w:val="007A4A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4A66"/>
    <w:rPr>
      <w:b/>
      <w:bCs/>
      <w:i/>
      <w:iCs/>
      <w:color w:val="auto"/>
    </w:rPr>
  </w:style>
  <w:style w:type="paragraph" w:styleId="IntenseQuote">
    <w:name w:val="Intense Quote"/>
    <w:basedOn w:val="Normal"/>
    <w:next w:val="Normal"/>
    <w:link w:val="IntenseQuoteChar"/>
    <w:uiPriority w:val="30"/>
    <w:qFormat/>
    <w:rsid w:val="007A4A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4A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4A66"/>
    <w:rPr>
      <w:smallCaps/>
      <w:color w:val="auto"/>
      <w:u w:val="single"/>
    </w:rPr>
  </w:style>
  <w:style w:type="character" w:styleId="IntenseReference">
    <w:name w:val="Intense Reference"/>
    <w:basedOn w:val="DefaultParagraphFont"/>
    <w:uiPriority w:val="32"/>
    <w:qFormat/>
    <w:rsid w:val="007A4A66"/>
    <w:rPr>
      <w:b/>
      <w:bCs/>
      <w:smallCaps/>
      <w:color w:val="auto"/>
      <w:spacing w:val="5"/>
      <w:u w:val="single"/>
    </w:rPr>
  </w:style>
  <w:style w:type="paragraph" w:customStyle="1" w:styleId="2ColumnHeading">
    <w:name w:val="2Column Heading"/>
    <w:basedOn w:val="BodyText"/>
    <w:qFormat/>
    <w:rsid w:val="007A4A66"/>
    <w:pPr>
      <w:spacing w:after="60"/>
      <w:ind w:left="-2268"/>
    </w:pPr>
    <w:rPr>
      <w:b/>
    </w:rPr>
  </w:style>
  <w:style w:type="paragraph" w:customStyle="1" w:styleId="Heading1TOC">
    <w:name w:val="Heading1 TOC"/>
    <w:basedOn w:val="Normal"/>
    <w:qFormat/>
    <w:rsid w:val="007A4A66"/>
    <w:pPr>
      <w:spacing w:before="240" w:after="120"/>
    </w:pPr>
    <w:rPr>
      <w:rFonts w:ascii="Times New Roman" w:hAnsi="Times New Roman"/>
      <w:b/>
      <w:sz w:val="32"/>
    </w:rPr>
  </w:style>
  <w:style w:type="paragraph" w:customStyle="1" w:styleId="Heading2TOC">
    <w:name w:val="Heading2 TOC"/>
    <w:basedOn w:val="Normal"/>
    <w:qFormat/>
    <w:rsid w:val="007A4A66"/>
    <w:pPr>
      <w:spacing w:before="240" w:after="60"/>
    </w:pPr>
    <w:rPr>
      <w:rFonts w:ascii="Times New Roman" w:hAnsi="Times New Roman"/>
      <w:b/>
      <w:sz w:val="28"/>
    </w:rPr>
  </w:style>
  <w:style w:type="character" w:customStyle="1" w:styleId="Underline">
    <w:name w:val="Underline"/>
    <w:basedOn w:val="DefaultParagraphFont"/>
    <w:qFormat/>
    <w:rsid w:val="007A4A66"/>
    <w:rPr>
      <w:u w:val="single"/>
    </w:rPr>
  </w:style>
  <w:style w:type="character" w:customStyle="1" w:styleId="BoldandItalics">
    <w:name w:val="Bold and Italics"/>
    <w:qFormat/>
    <w:rsid w:val="007A4A66"/>
    <w:rPr>
      <w:b/>
      <w:i/>
      <w:u w:val="none"/>
    </w:rPr>
  </w:style>
  <w:style w:type="paragraph" w:styleId="BalloonText">
    <w:name w:val="Balloon Text"/>
    <w:basedOn w:val="Normal"/>
    <w:link w:val="BalloonTextChar"/>
    <w:rsid w:val="007A4A66"/>
    <w:rPr>
      <w:rFonts w:ascii="Tahoma" w:hAnsi="Tahoma" w:cs="Tahoma"/>
      <w:sz w:val="16"/>
      <w:szCs w:val="16"/>
    </w:rPr>
  </w:style>
  <w:style w:type="character" w:customStyle="1" w:styleId="BalloonTextChar">
    <w:name w:val="Balloon Text Char"/>
    <w:basedOn w:val="DefaultParagraphFont"/>
    <w:link w:val="BalloonText"/>
    <w:rsid w:val="007A4A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4A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4A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4A66"/>
    <w:rPr>
      <w:b/>
      <w:color w:val="660033"/>
      <w:spacing w:val="0"/>
    </w:rPr>
  </w:style>
  <w:style w:type="paragraph" w:customStyle="1" w:styleId="Nameditemlist">
    <w:name w:val="Named item list"/>
    <w:basedOn w:val="BodyText"/>
    <w:qFormat/>
    <w:rsid w:val="007A4A66"/>
    <w:pPr>
      <w:tabs>
        <w:tab w:val="left" w:pos="2835"/>
      </w:tabs>
      <w:ind w:left="2835" w:hanging="2835"/>
    </w:pPr>
  </w:style>
  <w:style w:type="paragraph" w:customStyle="1" w:styleId="BodyTextnopadding">
    <w:name w:val="Body Text no padding"/>
    <w:basedOn w:val="BodyText"/>
    <w:qFormat/>
    <w:rsid w:val="007A4A66"/>
    <w:pPr>
      <w:spacing w:before="0" w:after="0"/>
    </w:pPr>
  </w:style>
  <w:style w:type="paragraph" w:customStyle="1" w:styleId="BodyTextBold">
    <w:name w:val="Body Text Bold"/>
    <w:basedOn w:val="BodyText"/>
    <w:qFormat/>
    <w:rsid w:val="007A4A66"/>
    <w:rPr>
      <w:b/>
    </w:rPr>
  </w:style>
  <w:style w:type="character" w:styleId="Hyperlink">
    <w:name w:val="Hyperlink"/>
    <w:basedOn w:val="DefaultParagraphFont"/>
    <w:uiPriority w:val="99"/>
    <w:unhideWhenUsed/>
    <w:rsid w:val="008F5E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645</Words>
  <Characters>4101</Characters>
  <Application>Microsoft Office Word</Application>
  <DocSecurity>0</DocSecurity>
  <Lines>128</Lines>
  <Paragraphs>75</Paragraphs>
  <ScaleCrop>false</ScaleCrop>
  <Company>Author-it Software Corporation Ltd.</Company>
  <LinksUpToDate>false</LinksUpToDate>
  <CharactersWithSpaces>4671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POLFOR024 Detect, record and collect forensic evidence</dc:title>
  <dc:subject>Approved</dc:subject>
  <dc:creator>Public Skills Australia</dc:creator>
  <cp:keywords>Release: 1</cp:keywords>
  <dc:description>Review Date: 12 April 2008</dc:description>
  <cp:lastModifiedBy>HSD_TPCMSd.prod</cp:lastModifiedBy>
  <cp:revision>3</cp:revision>
  <dcterms:created xsi:type="dcterms:W3CDTF">2024-11-07T11:18:00Z</dcterms:created>
  <dcterms:modified xsi:type="dcterms:W3CDTF">2024-11-07T11:18:00Z</dcterms:modified>
</cp:coreProperties>
</file>