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780" w:rsidP="00542780">
      <w:pPr>
        <w:pStyle w:val="Title"/>
      </w:pPr>
      <w:r>
        <w:fldChar w:fldCharType="begin"/>
      </w:r>
      <w:r>
        <w:instrText xml:space="preserve"> TITLE   \* MERGEFORMAT </w:instrText>
      </w:r>
      <w:r>
        <w:fldChar w:fldCharType="separate"/>
      </w:r>
      <w:r>
        <w:t>POLFOR002 Conduct complex forensic crime and incident scene investigations</w:t>
      </w:r>
      <w:r>
        <w:fldChar w:fldCharType="end"/>
      </w:r>
    </w:p>
    <w:p w:rsidR="00542780" w:rsidP="00542780">
      <w:pPr>
        <w:pStyle w:val="Version"/>
        <w:sectPr w:rsidSect="00C97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D3F" w:rsidP="00C97D3F">
      <w:pPr>
        <w:pStyle w:val="SuperHeading"/>
      </w:pPr>
      <w:r w:rsidRPr="00C97D3F">
        <w:t>POLFOR002 Conduct complex forensic crime and incident scene investigations</w:t>
      </w:r>
    </w:p>
    <w:p w:rsidR="00000000" w:rsidRPr="00C97D3F" w:rsidP="00C97D3F">
      <w:pPr>
        <w:pStyle w:val="Heading1"/>
      </w:pPr>
      <w:bookmarkStart w:id="1" w:name="O_715365"/>
      <w:bookmarkEnd w:id="1"/>
      <w:r w:rsidRPr="00C97D3F">
        <w:t>Modification History</w:t>
      </w:r>
    </w:p>
    <w:tbl>
      <w:tblPr>
        <w:tblW w:w="0" w:type="auto"/>
        <w:tblLayout w:type="fixed"/>
        <w:tblCellMar>
          <w:left w:w="62" w:type="dxa"/>
          <w:right w:w="62" w:type="dxa"/>
        </w:tblCellMar>
        <w:tblLook w:val="0000"/>
      </w:tblPr>
      <w:tblGrid>
        <w:gridCol w:w="1134"/>
        <w:gridCol w:w="7937"/>
      </w:tblGrid>
      <w:tr w:rsidTr="005427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TableHeading"/>
              <w:rPr>
                <w:lang w:val="en-NZ"/>
              </w:rPr>
            </w:pPr>
            <w:r w:rsidRPr="00C97D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TableHeading"/>
              <w:rPr>
                <w:lang w:val="en-NZ"/>
              </w:rPr>
            </w:pPr>
            <w:r w:rsidRPr="00C97D3F">
              <w:t>Comments</w:t>
            </w:r>
          </w:p>
        </w:tc>
      </w:tr>
      <w:tr w:rsidTr="005427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BodyText"/>
              <w:rPr>
                <w:lang w:val="en-NZ"/>
              </w:rPr>
            </w:pPr>
            <w:r w:rsidRPr="00C97D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D3F" w:rsidP="00C97D3F">
            <w:pPr>
              <w:pStyle w:val="BodyText"/>
            </w:pPr>
            <w:r w:rsidRPr="00C97D3F">
              <w:t xml:space="preserve">This unit was released in POL Police Training Package release 1.0 and meets the Standards for Training Packages. </w:t>
            </w:r>
          </w:p>
          <w:p w:rsidR="00000000" w:rsidRPr="00C97D3F" w:rsidP="00C97D3F">
            <w:pPr>
              <w:pStyle w:val="BodyText"/>
            </w:pPr>
          </w:p>
          <w:p w:rsidR="00000000" w:rsidRPr="00C97D3F" w:rsidP="00C97D3F">
            <w:pPr>
              <w:pStyle w:val="BodyText"/>
            </w:pPr>
            <w:r w:rsidRPr="00C97D3F">
              <w:t>This unit supersedes and is equivalent to PUAPOL807 Conduct serious forensic crime and incident scene investigation.</w:t>
            </w:r>
          </w:p>
          <w:p w:rsidR="00000000" w:rsidRPr="00C97D3F" w:rsidP="00C97D3F">
            <w:pPr>
              <w:pStyle w:val="BodyText"/>
            </w:pPr>
          </w:p>
          <w:p w:rsidR="00000000" w:rsidRPr="00C97D3F" w:rsidP="00C97D3F">
            <w:pPr>
              <w:pStyle w:val="ListBullet"/>
            </w:pPr>
            <w:r w:rsidRPr="00C97D3F">
              <w:t>Content and formatting updated to comply with new standards</w:t>
            </w:r>
          </w:p>
          <w:p w:rsidR="00000000" w:rsidRPr="00C97D3F" w:rsidP="00C97D3F">
            <w:pPr>
              <w:pStyle w:val="ListBullet"/>
            </w:pPr>
            <w:r w:rsidRPr="00C97D3F">
              <w:t>Unit recoded POL</w:t>
            </w:r>
          </w:p>
          <w:p w:rsidR="00000000" w:rsidRPr="00C97D3F" w:rsidP="00C97D3F">
            <w:pPr>
              <w:pStyle w:val="ListBullet"/>
            </w:pPr>
            <w:r w:rsidRPr="00C97D3F">
              <w:t>Title updated</w:t>
            </w:r>
          </w:p>
          <w:p w:rsidR="00000000" w:rsidRPr="00C97D3F" w:rsidP="00C97D3F">
            <w:pPr>
              <w:pStyle w:val="ListBullet"/>
            </w:pPr>
            <w:r w:rsidRPr="00C97D3F">
              <w:t xml:space="preserve">Elements 1, 2 and 3 reworded. </w:t>
            </w:r>
          </w:p>
          <w:p w:rsidR="00000000" w:rsidRPr="00C97D3F" w:rsidP="00C97D3F">
            <w:pPr>
              <w:pStyle w:val="ListBullet"/>
            </w:pPr>
            <w:r w:rsidRPr="00C97D3F">
              <w:t>Element 1 all PC reordered</w:t>
            </w:r>
          </w:p>
          <w:p w:rsidR="00000000" w:rsidRPr="00C97D3F" w:rsidP="00C97D3F">
            <w:pPr>
              <w:pStyle w:val="ListBullet"/>
            </w:pPr>
            <w:r w:rsidRPr="00C97D3F">
              <w:t xml:space="preserve">New PC added to Element 2 </w:t>
            </w:r>
          </w:p>
          <w:p w:rsidR="00000000" w:rsidRPr="00C97D3F" w:rsidP="00C97D3F">
            <w:pPr>
              <w:pStyle w:val="ListBullet"/>
            </w:pPr>
            <w:r w:rsidRPr="00C97D3F">
              <w:t>Two new PC added to Element 4</w:t>
            </w:r>
          </w:p>
          <w:p w:rsidR="00000000" w:rsidRPr="00C97D3F" w:rsidP="00C97D3F">
            <w:pPr>
              <w:pStyle w:val="ListBullet"/>
            </w:pPr>
            <w:r w:rsidRPr="00C97D3F">
              <w:t>PC 1.2, 1.3, 1.4, 1.5, 2.6 and 2.8 revised</w:t>
            </w:r>
          </w:p>
          <w:p w:rsidR="00000000" w:rsidRPr="00C97D3F" w:rsidP="00C97D3F">
            <w:pPr>
              <w:pStyle w:val="ListBullet"/>
            </w:pPr>
            <w:r w:rsidRPr="00C97D3F">
              <w:t>PC 2.1 and 4.3 removed</w:t>
            </w:r>
          </w:p>
        </w:tc>
      </w:tr>
    </w:tbl>
    <w:p w:rsidR="00000000" w:rsidRPr="00C97D3F" w:rsidP="00C97D3F">
      <w:pPr>
        <w:pStyle w:val="BodyText"/>
      </w:pPr>
    </w:p>
    <w:p w:rsidR="00000000" w:rsidRPr="00C97D3F" w:rsidP="00C97D3F">
      <w:pPr>
        <w:pStyle w:val="AllowPageBreak"/>
      </w:pPr>
    </w:p>
    <w:p w:rsidR="00000000" w:rsidRPr="00C97D3F" w:rsidP="00C97D3F">
      <w:pPr>
        <w:pStyle w:val="Heading1"/>
      </w:pPr>
      <w:bookmarkStart w:id="2" w:name="O_715366"/>
      <w:bookmarkEnd w:id="2"/>
      <w:r w:rsidRPr="00C97D3F">
        <w:t>Application</w:t>
      </w:r>
    </w:p>
    <w:p w:rsidR="00000000" w:rsidRPr="00C97D3F" w:rsidP="00542780">
      <w:pPr>
        <w:pStyle w:val="BodyText"/>
      </w:pPr>
      <w:r w:rsidRPr="00C97D3F">
        <w:t>This unit describes the skills required to perform a detailed investigation</w:t>
      </w:r>
      <w:r w:rsidRPr="00C97D3F">
        <w:t xml:space="preserve"> of complex crime/incident scenes. This will include planning for and managing complex crime/incident scene investigations, examining evidence and reviewing the examination.</w:t>
      </w:r>
    </w:p>
    <w:p w:rsidR="00000000" w:rsidRPr="00C97D3F" w:rsidP="00542780">
      <w:pPr>
        <w:pStyle w:val="BodyText"/>
      </w:pPr>
      <w:r w:rsidRPr="00C97D3F">
        <w:t>This unit applies to specialist police staff as part of the forensic investigatio</w:t>
      </w:r>
      <w:r w:rsidRPr="00C97D3F">
        <w:t xml:space="preserve">n of complex crime or incident scenes. </w:t>
      </w:r>
    </w:p>
    <w:p w:rsidR="00000000" w:rsidRPr="00C97D3F" w:rsidP="00542780">
      <w:pPr>
        <w:pStyle w:val="BodyText"/>
      </w:pPr>
      <w:r w:rsidRPr="00C97D3F">
        <w:t>The skills and knowledge described in this unit must be applied within the legislative, regulatory and policy environment in which they are carried out. Organisational policies and procedures must be consulted and a</w:t>
      </w:r>
      <w:r w:rsidRPr="00C97D3F">
        <w:t>dhered to, particularly those related to quality management, forensic investigations, and work health and safety (WHS).</w:t>
      </w:r>
    </w:p>
    <w:p w:rsidR="00000000" w:rsidRPr="00C97D3F" w:rsidP="00542780">
      <w:pPr>
        <w:pStyle w:val="BodyText"/>
      </w:pPr>
      <w:r w:rsidRPr="00C97D3F">
        <w:t>Those undertaking this unit would be required to work autonomously and as part of a team. They would demonstrate the ability to critically analyse and evaluate crime scene related evidence to develop and test hypotheses. They would demonstrate knowledge of</w:t>
      </w:r>
      <w:r w:rsidRPr="00C97D3F">
        <w:t xml:space="preserve"> sciences as they apply to crime scene investigation while performing sophisticated tasks across a broad range of unpredictable contexts. </w:t>
      </w:r>
    </w:p>
    <w:p w:rsidR="00000000" w:rsidRPr="00C97D3F" w:rsidP="00542780">
      <w:pPr>
        <w:pStyle w:val="BodyText"/>
      </w:pPr>
      <w:r w:rsidRPr="00C97D3F">
        <w:t>No licensing, legislative or certification requirements apply to unit at the time of publication.</w:t>
      </w:r>
    </w:p>
    <w:p w:rsidR="00000000" w:rsidRPr="00C97D3F" w:rsidP="00C97D3F">
      <w:pPr>
        <w:pStyle w:val="Heading1"/>
      </w:pPr>
      <w:bookmarkStart w:id="3" w:name="O_715368"/>
      <w:bookmarkEnd w:id="3"/>
      <w:r w:rsidRPr="00C97D3F">
        <w:t>C</w:t>
      </w:r>
      <w:r w:rsidRPr="00C97D3F">
        <w:t>ompetency Field</w:t>
      </w:r>
    </w:p>
    <w:p w:rsidR="00000000" w:rsidRPr="00C97D3F" w:rsidP="00542780">
      <w:pPr>
        <w:pStyle w:val="BodyText"/>
      </w:pPr>
      <w:r w:rsidRPr="00C97D3F">
        <w:t>Forensics</w:t>
      </w:r>
    </w:p>
    <w:p w:rsidR="00000000" w:rsidRPr="00C97D3F" w:rsidP="00C97D3F">
      <w:pPr>
        <w:pStyle w:val="Heading1"/>
      </w:pPr>
      <w:bookmarkStart w:id="4" w:name="O_715370"/>
      <w:bookmarkEnd w:id="4"/>
      <w:r w:rsidRPr="00C97D3F">
        <w:t>Elements and Performance Criteria</w:t>
      </w:r>
    </w:p>
    <w:tbl>
      <w:tblPr>
        <w:tblW w:w="0" w:type="auto"/>
        <w:tblLayout w:type="fixed"/>
        <w:tblCellMar>
          <w:left w:w="62" w:type="dxa"/>
          <w:right w:w="62" w:type="dxa"/>
        </w:tblCellMar>
        <w:tblLook w:val="0000"/>
      </w:tblPr>
      <w:tblGrid>
        <w:gridCol w:w="2268"/>
        <w:gridCol w:w="6804"/>
      </w:tblGrid>
      <w:tr w:rsidTr="00C97D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TableHeading"/>
              <w:rPr>
                <w:lang w:val="en-NZ"/>
              </w:rPr>
            </w:pPr>
            <w:r w:rsidRPr="00C97D3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TableHeading"/>
              <w:rPr>
                <w:lang w:val="en-NZ"/>
              </w:rPr>
            </w:pPr>
            <w:r w:rsidRPr="00C97D3F">
              <w:t>PERFORMANCE CRITERIA</w:t>
            </w:r>
          </w:p>
        </w:tc>
      </w:tr>
      <w:tr w:rsidTr="00C97D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BodyText"/>
              <w:rPr>
                <w:lang w:val="en-NZ"/>
              </w:rPr>
            </w:pPr>
            <w:r w:rsidRPr="00C97D3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BodyText"/>
              <w:rPr>
                <w:lang w:val="en-NZ"/>
              </w:rPr>
            </w:pPr>
            <w:r w:rsidRPr="00C97D3F">
              <w:t xml:space="preserve">Performance criteria describe the performance needed to demonstrate achievement of the element. Where bold </w:t>
            </w:r>
            <w:r w:rsidRPr="00C97D3F">
              <w:t>italicised text is used, further information is detailed in the range of conditions section.</w:t>
            </w:r>
          </w:p>
        </w:tc>
      </w:tr>
      <w:tr w:rsidTr="00C97D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List"/>
              <w:rPr>
                <w:lang w:val="en-NZ"/>
              </w:rPr>
            </w:pPr>
            <w:r w:rsidRPr="00C97D3F">
              <w:rPr>
                <w:rStyle w:val="SpecialBold"/>
              </w:rPr>
              <w:t>1.</w:t>
            </w:r>
            <w:r w:rsidRPr="00C97D3F">
              <w:rPr>
                <w:rStyle w:val="SpecialBold"/>
              </w:rPr>
              <w:tab/>
              <w:t>Develop plan for complex crime/incident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D3F" w:rsidP="00C97D3F">
            <w:pPr>
              <w:pStyle w:val="List"/>
            </w:pPr>
            <w:r w:rsidRPr="00C97D3F">
              <w:t>1.1</w:t>
            </w:r>
            <w:r w:rsidRPr="00C97D3F">
              <w:tab/>
              <w:t>Establish type and nature of incident to determine the methodology and resource requirements.</w:t>
            </w:r>
          </w:p>
          <w:p w:rsidR="00000000" w:rsidRPr="00C97D3F" w:rsidP="00C97D3F">
            <w:pPr>
              <w:pStyle w:val="List"/>
            </w:pPr>
            <w:r w:rsidRPr="00C97D3F">
              <w:t>1</w:t>
            </w:r>
            <w:r w:rsidRPr="00C97D3F">
              <w:t>.2</w:t>
            </w:r>
            <w:r w:rsidRPr="00C97D3F">
              <w:tab/>
              <w:t>Conduct an initial assessment of the incident to identify potential risks.</w:t>
            </w:r>
          </w:p>
          <w:p w:rsidR="00000000" w:rsidRPr="00C97D3F" w:rsidP="00C97D3F">
            <w:pPr>
              <w:pStyle w:val="List"/>
            </w:pPr>
            <w:r w:rsidRPr="00C97D3F">
              <w:t>1.3</w:t>
            </w:r>
            <w:r w:rsidRPr="00C97D3F">
              <w:tab/>
              <w:t>Assess the incident to determine what additional services may be required to progress the investigation.</w:t>
            </w:r>
          </w:p>
          <w:p w:rsidR="00000000" w:rsidRPr="00C97D3F" w:rsidP="00C97D3F">
            <w:pPr>
              <w:pStyle w:val="List"/>
            </w:pPr>
            <w:r w:rsidRPr="00C97D3F">
              <w:t>1.4</w:t>
            </w:r>
            <w:r w:rsidRPr="00C97D3F">
              <w:tab/>
            </w:r>
            <w:r w:rsidRPr="00C97D3F">
              <w:t>Assess the forensic investigation plan continually to adjust to developments within the incident scene and/or new information.</w:t>
            </w:r>
          </w:p>
          <w:p w:rsidR="00000000" w:rsidP="00C97D3F">
            <w:pPr>
              <w:pStyle w:val="List"/>
              <w:rPr>
                <w:lang w:val="en-NZ"/>
              </w:rPr>
            </w:pPr>
            <w:r w:rsidRPr="00C97D3F">
              <w:t>1.5</w:t>
            </w:r>
            <w:r w:rsidRPr="00C97D3F">
              <w:tab/>
              <w:t>Analyse information to develop a forensic investigation plan.</w:t>
            </w:r>
          </w:p>
        </w:tc>
      </w:tr>
      <w:tr w:rsidTr="00C97D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List"/>
              <w:rPr>
                <w:lang w:val="en-NZ"/>
              </w:rPr>
            </w:pPr>
            <w:r w:rsidRPr="00C97D3F">
              <w:rPr>
                <w:rStyle w:val="SpecialBold"/>
              </w:rPr>
              <w:t>2.</w:t>
            </w:r>
            <w:r w:rsidRPr="00C97D3F">
              <w:rPr>
                <w:rStyle w:val="SpecialBold"/>
              </w:rPr>
              <w:tab/>
              <w:t>Manage complex crime/incident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D3F" w:rsidP="00C97D3F">
            <w:pPr>
              <w:pStyle w:val="List"/>
            </w:pPr>
            <w:r w:rsidRPr="00C97D3F">
              <w:t>2.1</w:t>
            </w:r>
            <w:r w:rsidRPr="00C97D3F">
              <w:tab/>
              <w:t>Condu</w:t>
            </w:r>
            <w:r w:rsidRPr="00C97D3F">
              <w:t>ct an initial assessment of scene/s to prioritise the order of examination and collection of evidence.</w:t>
            </w:r>
          </w:p>
          <w:p w:rsidR="00000000" w:rsidRPr="00C97D3F" w:rsidP="00C97D3F">
            <w:pPr>
              <w:pStyle w:val="List"/>
            </w:pPr>
            <w:r w:rsidRPr="00C97D3F">
              <w:t>2.2</w:t>
            </w:r>
            <w:r w:rsidRPr="00C97D3F">
              <w:tab/>
              <w:t>Perform a methodical search to identify and locate physical evidence.</w:t>
            </w:r>
          </w:p>
          <w:p w:rsidR="00000000" w:rsidRPr="00C97D3F" w:rsidP="00C97D3F">
            <w:pPr>
              <w:pStyle w:val="List"/>
            </w:pPr>
            <w:r w:rsidRPr="00C97D3F">
              <w:t>2.3</w:t>
            </w:r>
            <w:r w:rsidRPr="00C97D3F">
              <w:tab/>
              <w:t>Determine the sequencing of evidence collection and the use of resources to</w:t>
            </w:r>
            <w:r w:rsidRPr="00C97D3F">
              <w:t xml:space="preserve"> maximise evidentiary value.</w:t>
            </w:r>
          </w:p>
          <w:p w:rsidR="00000000" w:rsidRPr="00C97D3F" w:rsidP="00C97D3F">
            <w:pPr>
              <w:pStyle w:val="List"/>
            </w:pPr>
            <w:r w:rsidRPr="00C97D3F">
              <w:t>2.4</w:t>
            </w:r>
            <w:r w:rsidRPr="00C97D3F">
              <w:tab/>
              <w:t>Apply evidence collection techniques and sequencing to preserve evidence and prevent contamination.</w:t>
            </w:r>
          </w:p>
          <w:p w:rsidR="00000000" w:rsidRPr="00C97D3F" w:rsidP="00C97D3F">
            <w:pPr>
              <w:pStyle w:val="List"/>
            </w:pPr>
            <w:r w:rsidRPr="00C97D3F">
              <w:t>2.5</w:t>
            </w:r>
            <w:r w:rsidRPr="00C97D3F">
              <w:tab/>
              <w:t xml:space="preserve">Evaluate the evidence collection techniques to identify whether further evidence collection is required. </w:t>
            </w:r>
          </w:p>
          <w:p w:rsidR="00000000" w:rsidRPr="00C97D3F" w:rsidP="00C97D3F">
            <w:pPr>
              <w:pStyle w:val="List"/>
            </w:pPr>
            <w:r w:rsidRPr="00C97D3F">
              <w:t>2.6</w:t>
            </w:r>
            <w:r w:rsidRPr="00C97D3F">
              <w:tab/>
              <w:t>Interpret</w:t>
            </w:r>
            <w:r w:rsidRPr="00C97D3F">
              <w:t xml:space="preserve"> physical evidence and available information in order to develop a hypothesis. </w:t>
            </w:r>
          </w:p>
          <w:p w:rsidR="00000000" w:rsidRPr="00C97D3F" w:rsidP="00C97D3F">
            <w:pPr>
              <w:pStyle w:val="List"/>
            </w:pPr>
            <w:r w:rsidRPr="00C97D3F">
              <w:t>2.7</w:t>
            </w:r>
            <w:r w:rsidRPr="00C97D3F">
              <w:tab/>
              <w:t>Perform reconstructions and/or testing regimes to test hypothesis.</w:t>
            </w:r>
          </w:p>
          <w:p w:rsidR="00000000" w:rsidRPr="00C97D3F" w:rsidP="00C97D3F">
            <w:pPr>
              <w:pStyle w:val="List"/>
            </w:pPr>
            <w:r w:rsidRPr="00C97D3F">
              <w:t>2.8</w:t>
            </w:r>
            <w:r w:rsidRPr="00C97D3F">
              <w:tab/>
              <w:t xml:space="preserve">Negotiate stakeholder requirements throughout the forensic </w:t>
            </w:r>
            <w:r w:rsidRPr="00C97D3F">
              <w:t>investigation.</w:t>
            </w:r>
          </w:p>
          <w:p w:rsidR="00000000" w:rsidP="00C97D3F">
            <w:pPr>
              <w:pStyle w:val="List"/>
              <w:rPr>
                <w:lang w:val="en-NZ"/>
              </w:rPr>
            </w:pPr>
            <w:r w:rsidRPr="00C97D3F">
              <w:t>2.9</w:t>
            </w:r>
            <w:r w:rsidRPr="00C97D3F">
              <w:tab/>
              <w:t>Assess the incident con</w:t>
            </w:r>
            <w:r w:rsidRPr="00C97D3F">
              <w:t>tinually to identify and manage potential risks.</w:t>
            </w:r>
          </w:p>
        </w:tc>
      </w:tr>
      <w:tr w:rsidTr="00C97D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List"/>
              <w:rPr>
                <w:lang w:val="en-NZ"/>
              </w:rPr>
            </w:pPr>
            <w:r w:rsidRPr="00C97D3F">
              <w:rPr>
                <w:rStyle w:val="SpecialBold"/>
              </w:rPr>
              <w:t>3.</w:t>
            </w:r>
            <w:r w:rsidRPr="00C97D3F">
              <w:rPr>
                <w:rStyle w:val="SpecialBold"/>
              </w:rPr>
              <w:tab/>
              <w:t>Apply specialist forensic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D3F" w:rsidP="00C97D3F">
            <w:pPr>
              <w:pStyle w:val="List"/>
            </w:pPr>
            <w:r w:rsidRPr="00C97D3F">
              <w:t>3.1</w:t>
            </w:r>
            <w:r w:rsidRPr="00C97D3F">
              <w:tab/>
              <w:t>Assess evidence to determine whether specialist forensic techniques and evidence enhancement methods are required.</w:t>
            </w:r>
          </w:p>
          <w:p w:rsidR="00000000" w:rsidRPr="00C97D3F" w:rsidP="00C97D3F">
            <w:pPr>
              <w:pStyle w:val="List"/>
            </w:pPr>
            <w:r w:rsidRPr="00C97D3F">
              <w:t>3.2</w:t>
            </w:r>
            <w:r w:rsidRPr="00C97D3F">
              <w:tab/>
              <w:t>Select recording methods to maximise eviden</w:t>
            </w:r>
            <w:r w:rsidRPr="00C97D3F">
              <w:t>tiary value.</w:t>
            </w:r>
          </w:p>
          <w:p w:rsidR="00000000" w:rsidRPr="00C97D3F" w:rsidP="00C97D3F">
            <w:pPr>
              <w:pStyle w:val="List"/>
            </w:pPr>
            <w:r w:rsidRPr="00C97D3F">
              <w:t>3.3</w:t>
            </w:r>
            <w:r w:rsidRPr="00C97D3F">
              <w:tab/>
              <w:t>Record characteristics of evidence for further specialist analysis.</w:t>
            </w:r>
          </w:p>
          <w:p w:rsidR="00000000" w:rsidRPr="00C97D3F" w:rsidP="00C97D3F">
            <w:pPr>
              <w:pStyle w:val="List"/>
            </w:pPr>
            <w:r w:rsidRPr="00C97D3F">
              <w:t>3.4</w:t>
            </w:r>
            <w:r w:rsidRPr="00C97D3F">
              <w:tab/>
              <w:t>Select collection and preservation techniques to protect evidence and prevent loss or cross contamination.</w:t>
            </w:r>
          </w:p>
          <w:p w:rsidR="00000000" w:rsidRPr="00C97D3F" w:rsidP="00C97D3F">
            <w:pPr>
              <w:pStyle w:val="List"/>
            </w:pPr>
            <w:r w:rsidRPr="00C97D3F">
              <w:t>3.5</w:t>
            </w:r>
            <w:r w:rsidRPr="00C97D3F">
              <w:tab/>
              <w:t>Apply evidence enhancement methods to maximise evidentia</w:t>
            </w:r>
            <w:r w:rsidRPr="00C97D3F">
              <w:t>ry value.</w:t>
            </w:r>
          </w:p>
          <w:p w:rsidR="00000000" w:rsidP="00C97D3F">
            <w:pPr>
              <w:pStyle w:val="List"/>
              <w:rPr>
                <w:lang w:val="en-NZ"/>
              </w:rPr>
            </w:pPr>
            <w:r w:rsidRPr="00C97D3F">
              <w:t>3.6</w:t>
            </w:r>
            <w:r w:rsidRPr="00C97D3F">
              <w:tab/>
              <w:t>Facilitate the analysis of evidence by specialists for interpretation/identification purposes.</w:t>
            </w:r>
          </w:p>
        </w:tc>
      </w:tr>
      <w:tr w:rsidTr="00C97D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3F">
            <w:pPr>
              <w:pStyle w:val="List"/>
              <w:rPr>
                <w:lang w:val="en-NZ"/>
              </w:rPr>
            </w:pPr>
            <w:r w:rsidRPr="00C97D3F">
              <w:rPr>
                <w:rStyle w:val="SpecialBold"/>
              </w:rPr>
              <w:t>4.</w:t>
            </w:r>
            <w:r w:rsidRPr="00C97D3F">
              <w:rPr>
                <w:rStyle w:val="SpecialBold"/>
              </w:rPr>
              <w:tab/>
              <w:t>Review examination critically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D3F" w:rsidP="00C97D3F">
            <w:pPr>
              <w:pStyle w:val="List"/>
            </w:pPr>
            <w:r w:rsidRPr="00C97D3F">
              <w:t>4.1</w:t>
            </w:r>
            <w:r w:rsidRPr="00C97D3F">
              <w:tab/>
              <w:t>Summarise information gathered during the forensic investigation to develop initial interpretations.</w:t>
            </w:r>
          </w:p>
          <w:p w:rsidR="00000000" w:rsidRPr="00C97D3F" w:rsidP="00C97D3F">
            <w:pPr>
              <w:pStyle w:val="List"/>
            </w:pPr>
            <w:r w:rsidRPr="00C97D3F">
              <w:t>4.2</w:t>
            </w:r>
            <w:r w:rsidRPr="00C97D3F">
              <w:tab/>
            </w:r>
            <w:r w:rsidRPr="00C97D3F">
              <w:t>Assess the outcomes of the forensic investigation to reach a conclusion for recording and reporting purposes.</w:t>
            </w:r>
          </w:p>
          <w:p w:rsidR="00000000" w:rsidRPr="00C97D3F" w:rsidP="00C97D3F">
            <w:pPr>
              <w:pStyle w:val="List"/>
            </w:pPr>
            <w:r w:rsidRPr="00C97D3F">
              <w:t>4.3</w:t>
            </w:r>
            <w:r w:rsidRPr="00C97D3F">
              <w:tab/>
              <w:t>Analyse the outcomes of the examination to inform the current investigation.</w:t>
            </w:r>
          </w:p>
          <w:p w:rsidR="00000000" w:rsidRPr="00C97D3F" w:rsidP="00C97D3F">
            <w:pPr>
              <w:pStyle w:val="List"/>
            </w:pPr>
            <w:r w:rsidRPr="00C97D3F">
              <w:t>4.4</w:t>
            </w:r>
            <w:r w:rsidRPr="00C97D3F">
              <w:tab/>
              <w:t xml:space="preserve">Review forensic investigation and outcomes of examination to </w:t>
            </w:r>
            <w:r w:rsidRPr="00C97D3F">
              <w:t>determine whether investigative needs have been met.</w:t>
            </w:r>
          </w:p>
          <w:p w:rsidR="00000000" w:rsidRPr="00C97D3F" w:rsidP="00C97D3F">
            <w:pPr>
              <w:pStyle w:val="List"/>
            </w:pPr>
            <w:r w:rsidRPr="00C97D3F">
              <w:t>4.5</w:t>
            </w:r>
            <w:r w:rsidRPr="00C97D3F">
              <w:tab/>
              <w:t>Liaise with stakeholders to determine whether further forensic investigation is required.</w:t>
            </w:r>
          </w:p>
        </w:tc>
      </w:tr>
    </w:tbl>
    <w:p w:rsidR="00000000" w:rsidRPr="00C97D3F" w:rsidP="00C97D3F">
      <w:pPr>
        <w:pStyle w:val="BodyText"/>
      </w:pPr>
    </w:p>
    <w:p w:rsidR="00000000" w:rsidRPr="00C97D3F" w:rsidP="00C97D3F">
      <w:pPr>
        <w:pStyle w:val="AllowPageBreak"/>
      </w:pPr>
    </w:p>
    <w:p w:rsidR="00000000" w:rsidRPr="00C97D3F" w:rsidP="00C97D3F">
      <w:pPr>
        <w:pStyle w:val="Heading1"/>
      </w:pPr>
      <w:bookmarkStart w:id="5" w:name="O_715371"/>
      <w:bookmarkEnd w:id="5"/>
      <w:r w:rsidRPr="00C97D3F">
        <w:t>Foundation Skills</w:t>
      </w:r>
    </w:p>
    <w:p w:rsidR="00000000" w:rsidRPr="00C97D3F" w:rsidP="00542780">
      <w:pPr>
        <w:pStyle w:val="BodyText"/>
      </w:pPr>
      <w:r w:rsidRPr="00C97D3F">
        <w:t>The foundation skills demands of this unit have been mapped for alignmen</w:t>
      </w:r>
      <w:r w:rsidRPr="00C97D3F">
        <w:t>t with the Australian Core Skills Framework (ACSF). The following tables outline the performance levels indicated for successful attainment of the unit.</w:t>
      </w:r>
    </w:p>
    <w:p w:rsidR="00000000" w:rsidRPr="00C97D3F" w:rsidP="00C97D3F">
      <w:pPr>
        <w:pStyle w:val="BodyText"/>
        <w:keepNext/>
      </w:pPr>
    </w:p>
    <w:p w:rsidR="00000000" w:rsidRPr="00C97D3F" w:rsidP="00C97D3F">
      <w:pPr>
        <w:pStyle w:val="BodyText"/>
      </w:pPr>
      <w:bookmarkStart w:id="6" w:name="O_7266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9.5pt">
            <v:imagedata r:id="rId10" o:title=""/>
          </v:shape>
        </w:pict>
      </w:r>
      <w:bookmarkEnd w:id="6"/>
    </w:p>
    <w:p w:rsidR="00000000" w:rsidRPr="00C97D3F" w:rsidP="00C97D3F">
      <w:pPr>
        <w:pStyle w:val="BodyText"/>
      </w:pPr>
    </w:p>
    <w:p w:rsidR="00000000" w:rsidRPr="00C97D3F" w:rsidP="00542780">
      <w:pPr>
        <w:pStyle w:val="BodyText"/>
      </w:pPr>
      <w:r w:rsidRPr="00C97D3F">
        <w:t>Further information on ACSF and the foundation skills underpinning this unit can be found in the Foundation Skills Guide on the GSA website.</w:t>
      </w:r>
    </w:p>
    <w:p w:rsidR="00000000" w:rsidRPr="00C97D3F" w:rsidP="00C97D3F">
      <w:pPr>
        <w:pStyle w:val="Heading1"/>
      </w:pPr>
      <w:bookmarkStart w:id="7" w:name="O_715373"/>
      <w:bookmarkEnd w:id="7"/>
      <w:r w:rsidRPr="00C97D3F">
        <w:t>Unit Mapping Information</w:t>
      </w:r>
    </w:p>
    <w:p w:rsidR="00000000" w:rsidRPr="00C97D3F" w:rsidP="00542780">
      <w:pPr>
        <w:pStyle w:val="BodyText"/>
      </w:pPr>
      <w:r w:rsidRPr="00C97D3F">
        <w:t>This unit superse</w:t>
      </w:r>
      <w:r w:rsidRPr="00C97D3F">
        <w:t>des and is equivalent to PUAPOL807 Conduct serious forensic crime and incident scene investigation.</w:t>
      </w:r>
    </w:p>
    <w:p w:rsidR="00000000" w:rsidRPr="00C97D3F" w:rsidP="00C97D3F">
      <w:pPr>
        <w:pStyle w:val="Heading1"/>
      </w:pPr>
      <w:bookmarkStart w:id="8" w:name="O_715380"/>
      <w:bookmarkEnd w:id="8"/>
      <w:r w:rsidRPr="00C97D3F">
        <w:t>Links</w:t>
      </w:r>
    </w:p>
    <w:p w:rsidR="00000000" w:rsidRPr="00C97D3F" w:rsidP="00542780">
      <w:pPr>
        <w:pStyle w:val="BodyText"/>
      </w:pPr>
      <w:r w:rsidRPr="00C97D3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77EB8">
        <w:rPr>
          <w:rStyle w:val="Hyperlink"/>
        </w:rPr>
        <w:t>https://vetnet.gov.au/Pages/TrainingDocs.aspx?q=98c3984e-2cf1-48a8-8ed1-85e4b92e7351</w:t>
      </w:r>
      <w:r>
        <w:fldChar w:fldCharType="end"/>
      </w:r>
    </w:p>
    <w:p w:rsidR="00000000" w:rsidRPr="00C97D3F" w:rsidP="00542780">
      <w:pPr>
        <w:pStyle w:val="BodyText"/>
      </w:pPr>
      <w:r w:rsidRPr="00C97D3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77EB8">
        <w:rPr>
          <w:rStyle w:val="Hyperlink"/>
        </w:rPr>
        <w:t>https://vetnet.gov.au/Pages/TrainingDocs.aspx?q=98c3984e-2cf1-48a8-8ed1-85e4b92e7351</w:t>
      </w:r>
      <w:r>
        <w:fldChar w:fldCharType="end"/>
      </w:r>
    </w:p>
    <w:p w:rsidR="00000000" w:rsidRPr="00C97D3F" w:rsidP="00542780">
      <w:pPr>
        <w:pStyle w:val="BodyText"/>
      </w:pPr>
      <w:r w:rsidRPr="00C97D3F">
        <w:t>Com</w:t>
      </w:r>
      <w:r w:rsidRPr="00C97D3F">
        <w:t xml:space="preserve">panion Volume implementation guides are found in VETNet - </w:t>
      </w:r>
      <w:r>
        <w:fldChar w:fldCharType="begin"/>
      </w:r>
      <w:r>
        <w:instrText xml:space="preserve"> HYPERLINK "https://vetnet.gov.au/Pages/TrainingDocs.aspx?q=98c3984e-2cf1-48a8-8ed1-85e4b92e7351" </w:instrText>
      </w:r>
      <w:r>
        <w:fldChar w:fldCharType="separate"/>
      </w:r>
      <w:r w:rsidRPr="00D77EB8">
        <w:rPr>
          <w:rStyle w:val="Hyperlink"/>
        </w:rPr>
        <w:t>https://vetnet.gov.au/Pages/TrainingDocs.aspx?q=98c3984e-2cf1-48a8-8ed1-85e4b92e7351</w:t>
      </w:r>
      <w:r>
        <w:fldChar w:fldCharType="end"/>
      </w:r>
    </w:p>
    <w:p w:rsidR="00000000" w:rsidRPr="00C97D3F" w:rsidP="00C97D3F"/>
    <w:sectPr w:rsidSect="00C97D3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3F" w:rsidRPr="00542780" w:rsidP="00542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80" w:rsidP="00C97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780" w:rsidP="00C97D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2780" w:rsidP="00C97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D3F" w:rsidRPr="00542780" w:rsidP="00542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80" w:rsidRPr="002D2AF8" w:rsidP="00C97D3F">
    <w:pPr>
      <w:pStyle w:val="Header"/>
      <w:framePr w:wrap="around"/>
    </w:pPr>
    <w:r>
      <w:fldChar w:fldCharType="begin"/>
    </w:r>
    <w:r>
      <w:instrText xml:space="preserve"> TITLE   \* MERGEFORMAT </w:instrText>
    </w:r>
    <w:r>
      <w:fldChar w:fldCharType="separate"/>
    </w:r>
    <w:r>
      <w:t>POLFOR002 Conduct complex forensic crime and incident scene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542780" w:rsidP="00C97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6A7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CA7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D3F"/>
    <w:pPr>
      <w:spacing w:before="360" w:after="60"/>
      <w:outlineLvl w:val="0"/>
    </w:pPr>
    <w:rPr>
      <w:sz w:val="32"/>
    </w:rPr>
  </w:style>
  <w:style w:type="paragraph" w:styleId="Heading2">
    <w:name w:val="heading 2"/>
    <w:basedOn w:val="HeadingBase"/>
    <w:next w:val="BodyText"/>
    <w:link w:val="Heading2Char"/>
    <w:qFormat/>
    <w:rsid w:val="00C97D3F"/>
    <w:pPr>
      <w:keepLines/>
      <w:spacing w:before="240" w:after="120"/>
      <w:outlineLvl w:val="1"/>
    </w:pPr>
    <w:rPr>
      <w:sz w:val="28"/>
      <w:szCs w:val="40"/>
    </w:rPr>
  </w:style>
  <w:style w:type="paragraph" w:styleId="Heading3">
    <w:name w:val="heading 3"/>
    <w:basedOn w:val="HeadingBase"/>
    <w:next w:val="BodyText"/>
    <w:link w:val="Heading3Char"/>
    <w:qFormat/>
    <w:rsid w:val="00C97D3F"/>
    <w:pPr>
      <w:spacing w:before="180" w:after="120"/>
      <w:outlineLvl w:val="2"/>
    </w:pPr>
    <w:rPr>
      <w:spacing w:val="-10"/>
      <w:kern w:val="32"/>
    </w:rPr>
  </w:style>
  <w:style w:type="paragraph" w:styleId="Heading4">
    <w:name w:val="heading 4"/>
    <w:basedOn w:val="HeadingBase"/>
    <w:next w:val="BodyText"/>
    <w:link w:val="Heading4Char"/>
    <w:qFormat/>
    <w:rsid w:val="00C97D3F"/>
    <w:pPr>
      <w:spacing w:before="160" w:after="120"/>
      <w:outlineLvl w:val="3"/>
    </w:pPr>
    <w:rPr>
      <w:sz w:val="22"/>
    </w:rPr>
  </w:style>
  <w:style w:type="paragraph" w:styleId="Heading5">
    <w:name w:val="heading 5"/>
    <w:basedOn w:val="HeadingBase"/>
    <w:next w:val="Normal"/>
    <w:link w:val="Heading5Char"/>
    <w:qFormat/>
    <w:rsid w:val="00C97D3F"/>
    <w:pPr>
      <w:spacing w:before="80"/>
      <w:outlineLvl w:val="4"/>
    </w:pPr>
    <w:rPr>
      <w:color w:val="918585"/>
      <w:sz w:val="20"/>
    </w:rPr>
  </w:style>
  <w:style w:type="paragraph" w:styleId="Heading6">
    <w:name w:val="heading 6"/>
    <w:basedOn w:val="HeadingBase"/>
    <w:next w:val="Normal"/>
    <w:link w:val="Heading6Char"/>
    <w:qFormat/>
    <w:rsid w:val="00C97D3F"/>
    <w:pPr>
      <w:spacing w:before="60"/>
      <w:outlineLvl w:val="5"/>
    </w:pPr>
    <w:rPr>
      <w:color w:val="918585"/>
      <w:sz w:val="20"/>
    </w:rPr>
  </w:style>
  <w:style w:type="paragraph" w:styleId="Heading7">
    <w:name w:val="heading 7"/>
    <w:basedOn w:val="Normal"/>
    <w:next w:val="Normal"/>
    <w:link w:val="Heading7Char"/>
    <w:qFormat/>
    <w:rsid w:val="00C97D3F"/>
    <w:pPr>
      <w:ind w:left="720"/>
      <w:outlineLvl w:val="6"/>
    </w:pPr>
    <w:rPr>
      <w:i/>
    </w:rPr>
  </w:style>
  <w:style w:type="paragraph" w:styleId="Heading8">
    <w:name w:val="heading 8"/>
    <w:basedOn w:val="Normal"/>
    <w:next w:val="Normal"/>
    <w:link w:val="Heading8Char"/>
    <w:qFormat/>
    <w:rsid w:val="00C97D3F"/>
    <w:pPr>
      <w:ind w:left="720"/>
      <w:outlineLvl w:val="7"/>
    </w:pPr>
    <w:rPr>
      <w:i/>
    </w:rPr>
  </w:style>
  <w:style w:type="paragraph" w:styleId="Heading9">
    <w:name w:val="heading 9"/>
    <w:basedOn w:val="Normal"/>
    <w:next w:val="Normal"/>
    <w:link w:val="Heading9Char"/>
    <w:qFormat/>
    <w:rsid w:val="00C97D3F"/>
    <w:pPr>
      <w:ind w:left="720"/>
      <w:outlineLvl w:val="8"/>
    </w:pPr>
    <w:rPr>
      <w:i/>
    </w:rPr>
  </w:style>
  <w:style w:type="character" w:default="1" w:styleId="DefaultParagraphFont">
    <w:name w:val="Default Paragraph Font"/>
    <w:uiPriority w:val="1"/>
    <w:unhideWhenUsed/>
    <w:rsid w:val="00C97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D3F"/>
  </w:style>
  <w:style w:type="character" w:customStyle="1" w:styleId="Heading1Char">
    <w:name w:val="Heading 1 Char"/>
    <w:basedOn w:val="DefaultParagraphFont"/>
    <w:link w:val="Heading1"/>
    <w:rsid w:val="00C97D3F"/>
    <w:rPr>
      <w:rFonts w:ascii="Times New Roman" w:eastAsia="Times New Roman" w:hAnsi="Times New Roman" w:cs="Times New Roman"/>
      <w:b/>
      <w:sz w:val="32"/>
      <w:szCs w:val="20"/>
      <w:lang w:eastAsia="en-US"/>
    </w:rPr>
  </w:style>
  <w:style w:type="paragraph" w:styleId="BodyText">
    <w:name w:val="Body Text"/>
    <w:basedOn w:val="Normal"/>
    <w:link w:val="BodyTextChar"/>
    <w:rsid w:val="00C97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D3F"/>
    <w:rPr>
      <w:rFonts w:ascii="Times New Roman" w:eastAsia="Times New Roman" w:hAnsi="Times New Roman" w:cs="Times New Roman"/>
      <w:sz w:val="24"/>
      <w:lang w:eastAsia="en-US"/>
    </w:rPr>
  </w:style>
  <w:style w:type="paragraph" w:styleId="List">
    <w:name w:val="List"/>
    <w:basedOn w:val="BodyText"/>
    <w:next w:val="BodyText"/>
    <w:rsid w:val="00C97D3F"/>
    <w:pPr>
      <w:tabs>
        <w:tab w:val="left" w:pos="340"/>
      </w:tabs>
      <w:spacing w:before="60" w:after="60"/>
      <w:ind w:left="340" w:hanging="340"/>
    </w:pPr>
  </w:style>
  <w:style w:type="paragraph" w:styleId="ListBullet">
    <w:name w:val="List Bullet"/>
    <w:basedOn w:val="List"/>
    <w:rsid w:val="00C97D3F"/>
    <w:pPr>
      <w:numPr>
        <w:numId w:val="11"/>
      </w:numPr>
      <w:tabs>
        <w:tab w:val="clear" w:pos="340"/>
      </w:tabs>
      <w:spacing w:before="40" w:after="40"/>
    </w:pPr>
  </w:style>
  <w:style w:type="character" w:customStyle="1" w:styleId="SpecialBold">
    <w:name w:val="Special Bold"/>
    <w:basedOn w:val="DefaultParagraphFont"/>
    <w:rsid w:val="00C97D3F"/>
    <w:rPr>
      <w:b/>
      <w:spacing w:val="0"/>
    </w:rPr>
  </w:style>
  <w:style w:type="paragraph" w:customStyle="1" w:styleId="SuperHeading">
    <w:name w:val="SuperHeading"/>
    <w:basedOn w:val="Normal"/>
    <w:rsid w:val="00C97D3F"/>
    <w:pPr>
      <w:spacing w:before="240" w:after="120"/>
      <w:outlineLvl w:val="0"/>
    </w:pPr>
    <w:rPr>
      <w:rFonts w:ascii="Times New Roman" w:hAnsi="Times New Roman"/>
      <w:b/>
      <w:sz w:val="32"/>
    </w:rPr>
  </w:style>
  <w:style w:type="paragraph" w:customStyle="1" w:styleId="TableHeading">
    <w:name w:val="Table Heading"/>
    <w:basedOn w:val="HeadingBase"/>
    <w:rsid w:val="00C97D3F"/>
    <w:pPr>
      <w:keepLines/>
      <w:pBdr>
        <w:bottom w:val="single" w:sz="6" w:space="1" w:color="918585"/>
      </w:pBdr>
      <w:spacing w:before="240"/>
    </w:pPr>
  </w:style>
  <w:style w:type="paragraph" w:customStyle="1" w:styleId="AllowPageBreak">
    <w:name w:val="AllowPageBreak"/>
    <w:rsid w:val="00C97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D3F"/>
    <w:rPr>
      <w:rFonts w:ascii="Courier New" w:eastAsia="Times New Roman" w:hAnsi="Courier New" w:cs="Times New Roman"/>
      <w:i/>
      <w:szCs w:val="20"/>
      <w:lang w:eastAsia="en-US"/>
    </w:rPr>
  </w:style>
  <w:style w:type="paragraph" w:customStyle="1" w:styleId="HeadingBase">
    <w:name w:val="Heading Base"/>
    <w:rsid w:val="00C97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D3F"/>
    <w:pPr>
      <w:tabs>
        <w:tab w:val="right" w:leader="dot" w:pos="9072"/>
      </w:tabs>
      <w:ind w:left="567"/>
    </w:pPr>
    <w:rPr>
      <w:szCs w:val="22"/>
    </w:rPr>
  </w:style>
  <w:style w:type="paragraph" w:customStyle="1" w:styleId="TOCBase">
    <w:name w:val="TOC Base"/>
    <w:rsid w:val="00C97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D3F"/>
    <w:pPr>
      <w:tabs>
        <w:tab w:val="right" w:leader="dot" w:pos="9072"/>
      </w:tabs>
      <w:spacing w:before="40" w:after="40"/>
      <w:ind w:left="284"/>
    </w:pPr>
    <w:rPr>
      <w:rFonts w:ascii="Times New Roman" w:hAnsi="Times New Roman"/>
    </w:rPr>
  </w:style>
  <w:style w:type="paragraph" w:styleId="TOC1">
    <w:name w:val="toc 1"/>
    <w:basedOn w:val="TOCBase"/>
    <w:next w:val="Normal"/>
    <w:rsid w:val="00C97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D3F"/>
    <w:rPr>
      <w:rFonts w:ascii="Times New Roman" w:eastAsia="Times New Roman" w:hAnsi="Times New Roman" w:cs="Times New Roman"/>
      <w:sz w:val="16"/>
      <w:lang w:eastAsia="en-US"/>
    </w:rPr>
  </w:style>
  <w:style w:type="paragraph" w:styleId="Title">
    <w:name w:val="Title"/>
    <w:basedOn w:val="HeadingBase"/>
    <w:link w:val="TitleChar"/>
    <w:qFormat/>
    <w:rsid w:val="00C97D3F"/>
    <w:pPr>
      <w:spacing w:before="5040"/>
      <w:jc w:val="center"/>
    </w:pPr>
    <w:rPr>
      <w:sz w:val="48"/>
      <w:szCs w:val="72"/>
      <w:lang w:val="en-US"/>
    </w:rPr>
  </w:style>
  <w:style w:type="character" w:customStyle="1" w:styleId="TitleChar">
    <w:name w:val="Title Char"/>
    <w:basedOn w:val="DefaultParagraphFont"/>
    <w:link w:val="Title"/>
    <w:rsid w:val="00C97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D3F"/>
    <w:pPr>
      <w:tabs>
        <w:tab w:val="left" w:pos="3600"/>
        <w:tab w:val="left" w:pos="3958"/>
      </w:tabs>
    </w:pPr>
  </w:style>
  <w:style w:type="paragraph" w:customStyle="1" w:styleId="Note">
    <w:name w:val="Note"/>
    <w:basedOn w:val="BodyText"/>
    <w:rsid w:val="00C97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D3F"/>
    <w:pPr>
      <w:framePr w:wrap="auto" w:hAnchor="text" w:y="6049"/>
    </w:pPr>
    <w:rPr>
      <w:color w:val="000000"/>
      <w:sz w:val="40"/>
    </w:rPr>
  </w:style>
  <w:style w:type="paragraph" w:customStyle="1" w:styleId="TOCTitle">
    <w:name w:val="TOCTitle"/>
    <w:basedOn w:val="Heading1"/>
    <w:rsid w:val="00C97D3F"/>
    <w:pPr>
      <w:spacing w:after="240"/>
      <w:jc w:val="center"/>
      <w:outlineLvl w:val="9"/>
    </w:pPr>
    <w:rPr>
      <w:caps/>
    </w:rPr>
  </w:style>
  <w:style w:type="paragraph" w:customStyle="1" w:styleId="Version">
    <w:name w:val="Version"/>
    <w:rsid w:val="00C97D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D3F"/>
    <w:pPr>
      <w:numPr>
        <w:numId w:val="12"/>
      </w:numPr>
      <w:tabs>
        <w:tab w:val="clear" w:pos="680"/>
      </w:tabs>
    </w:pPr>
  </w:style>
  <w:style w:type="paragraph" w:styleId="Index1">
    <w:name w:val="index 1"/>
    <w:basedOn w:val="Normal"/>
    <w:next w:val="Normal"/>
    <w:semiHidden/>
    <w:rsid w:val="00C97D3F"/>
    <w:pPr>
      <w:keepNext w:val="0"/>
      <w:tabs>
        <w:tab w:val="right" w:pos="4176"/>
      </w:tabs>
      <w:ind w:left="198" w:hanging="198"/>
    </w:pPr>
    <w:rPr>
      <w:rFonts w:ascii="Garamond" w:hAnsi="Garamond"/>
    </w:rPr>
  </w:style>
  <w:style w:type="paragraph" w:styleId="IndexHeading">
    <w:name w:val="index heading"/>
    <w:basedOn w:val="Normal"/>
    <w:next w:val="Index1"/>
    <w:semiHidden/>
    <w:rsid w:val="00C97D3F"/>
    <w:pPr>
      <w:spacing w:before="120" w:after="120"/>
    </w:pPr>
    <w:rPr>
      <w:rFonts w:ascii="Arial" w:hAnsi="Arial"/>
      <w:b/>
      <w:color w:val="918585"/>
      <w:sz w:val="24"/>
    </w:rPr>
  </w:style>
  <w:style w:type="paragraph" w:styleId="Header">
    <w:name w:val="header"/>
    <w:basedOn w:val="Normal"/>
    <w:link w:val="HeaderChar"/>
    <w:rsid w:val="00C97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D3F"/>
    <w:rPr>
      <w:rFonts w:ascii="Times New Roman" w:eastAsia="Times New Roman" w:hAnsi="Times New Roman" w:cs="Times New Roman"/>
      <w:sz w:val="16"/>
      <w:szCs w:val="20"/>
      <w:lang w:val="en-GB" w:eastAsia="en-US"/>
    </w:rPr>
  </w:style>
  <w:style w:type="paragraph" w:customStyle="1" w:styleId="Chapter">
    <w:name w:val="Chapter"/>
    <w:basedOn w:val="Normal"/>
    <w:rsid w:val="00C97D3F"/>
    <w:pPr>
      <w:spacing w:before="240"/>
    </w:pPr>
    <w:rPr>
      <w:rFonts w:ascii="Times New Roman" w:hAnsi="Times New Roman"/>
      <w:smallCaps/>
      <w:spacing w:val="80"/>
      <w:sz w:val="28"/>
    </w:rPr>
  </w:style>
  <w:style w:type="paragraph" w:customStyle="1" w:styleId="InChapter">
    <w:name w:val="InChapter"/>
    <w:basedOn w:val="Heading3"/>
    <w:rsid w:val="00C97D3F"/>
    <w:pPr>
      <w:spacing w:after="240"/>
      <w:outlineLvl w:val="9"/>
    </w:pPr>
    <w:rPr>
      <w:noProof/>
    </w:rPr>
  </w:style>
  <w:style w:type="paragraph" w:styleId="Index2">
    <w:name w:val="index 2"/>
    <w:basedOn w:val="Normal"/>
    <w:next w:val="Normal"/>
    <w:semiHidden/>
    <w:rsid w:val="00C97D3F"/>
    <w:pPr>
      <w:tabs>
        <w:tab w:val="right" w:pos="4176"/>
      </w:tabs>
      <w:ind w:left="568" w:hanging="284"/>
    </w:pPr>
    <w:rPr>
      <w:rFonts w:ascii="Garamond" w:hAnsi="Garamond"/>
    </w:rPr>
  </w:style>
  <w:style w:type="paragraph" w:customStyle="1" w:styleId="Byline">
    <w:name w:val="Byline"/>
    <w:rsid w:val="00C97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D3F"/>
    <w:pPr>
      <w:tabs>
        <w:tab w:val="clear" w:pos="3600"/>
        <w:tab w:val="clear" w:pos="3958"/>
      </w:tabs>
      <w:jc w:val="right"/>
    </w:pPr>
  </w:style>
  <w:style w:type="character" w:styleId="Emphasis">
    <w:name w:val="Emphasis"/>
    <w:basedOn w:val="DefaultParagraphFont"/>
    <w:qFormat/>
    <w:rsid w:val="00C97D3F"/>
    <w:rPr>
      <w:i/>
    </w:rPr>
  </w:style>
  <w:style w:type="paragraph" w:styleId="Caption">
    <w:name w:val="caption"/>
    <w:basedOn w:val="BodyText"/>
    <w:next w:val="Normal"/>
    <w:qFormat/>
    <w:rsid w:val="00C97D3F"/>
    <w:pPr>
      <w:framePr w:w="2268" w:hSpace="181" w:vSpace="181" w:wrap="around" w:vAnchor="text" w:hAnchor="page" w:x="1135" w:y="285" w:anchorLock="1"/>
    </w:pPr>
    <w:rPr>
      <w:i/>
    </w:rPr>
  </w:style>
  <w:style w:type="paragraph" w:customStyle="1" w:styleId="MiniTOCTitle">
    <w:name w:val="MiniTOCTitle"/>
    <w:basedOn w:val="Heading4"/>
    <w:rsid w:val="00C97D3F"/>
    <w:pPr>
      <w:spacing w:before="240"/>
      <w:outlineLvl w:val="9"/>
    </w:pPr>
    <w:rPr>
      <w:noProof/>
      <w:sz w:val="24"/>
    </w:rPr>
  </w:style>
  <w:style w:type="paragraph" w:customStyle="1" w:styleId="MiniTOCItem">
    <w:name w:val="MiniTOCItem"/>
    <w:basedOn w:val="ListBullet"/>
    <w:rsid w:val="00C97D3F"/>
    <w:pPr>
      <w:numPr>
        <w:numId w:val="0"/>
      </w:numPr>
      <w:tabs>
        <w:tab w:val="right" w:leader="dot" w:pos="6521"/>
      </w:tabs>
      <w:spacing w:before="0" w:after="0"/>
    </w:pPr>
  </w:style>
  <w:style w:type="paragraph" w:customStyle="1" w:styleId="TOFTitle">
    <w:name w:val="TOFTitle"/>
    <w:basedOn w:val="TOCTitle"/>
    <w:rsid w:val="00C97D3F"/>
  </w:style>
  <w:style w:type="paragraph" w:styleId="TableofFigures">
    <w:name w:val="table of figures"/>
    <w:basedOn w:val="Normal"/>
    <w:next w:val="Normal"/>
    <w:semiHidden/>
    <w:rsid w:val="00C97D3F"/>
    <w:pPr>
      <w:tabs>
        <w:tab w:val="right" w:leader="dot" w:pos="9072"/>
      </w:tabs>
      <w:ind w:left="970" w:hanging="403"/>
    </w:pPr>
    <w:rPr>
      <w:rFonts w:ascii="Times New Roman" w:hAnsi="Times New Roman"/>
      <w:b/>
    </w:rPr>
  </w:style>
  <w:style w:type="paragraph" w:styleId="ListNumber">
    <w:name w:val="List Number"/>
    <w:basedOn w:val="List"/>
    <w:rsid w:val="00C97D3F"/>
    <w:pPr>
      <w:numPr>
        <w:numId w:val="14"/>
      </w:numPr>
      <w:tabs>
        <w:tab w:val="clear" w:pos="340"/>
      </w:tabs>
    </w:pPr>
  </w:style>
  <w:style w:type="character" w:customStyle="1" w:styleId="WingdingSymbols">
    <w:name w:val="Wingding Symbols"/>
    <w:rsid w:val="00C97D3F"/>
    <w:rPr>
      <w:rFonts w:ascii="Wingdings" w:hAnsi="Wingdings"/>
    </w:rPr>
  </w:style>
  <w:style w:type="character" w:customStyle="1" w:styleId="HotSpot">
    <w:name w:val="HotSpot"/>
    <w:rsid w:val="00C97D3F"/>
    <w:rPr>
      <w:color w:val="0033CC"/>
      <w:u w:val="none"/>
    </w:rPr>
  </w:style>
  <w:style w:type="paragraph" w:customStyle="1" w:styleId="BodyTextRight">
    <w:name w:val="Body Text Right"/>
    <w:basedOn w:val="BodyText"/>
    <w:rsid w:val="00C97D3F"/>
    <w:pPr>
      <w:spacing w:before="0" w:after="0"/>
      <w:jc w:val="right"/>
    </w:pPr>
  </w:style>
  <w:style w:type="paragraph" w:styleId="Index3">
    <w:name w:val="index 3"/>
    <w:basedOn w:val="ListNumber2"/>
    <w:next w:val="Normal"/>
    <w:semiHidden/>
    <w:rsid w:val="00C97D3F"/>
    <w:pPr>
      <w:numPr>
        <w:numId w:val="0"/>
      </w:numPr>
      <w:tabs>
        <w:tab w:val="right" w:leader="dot" w:pos="4176"/>
      </w:tabs>
    </w:pPr>
  </w:style>
  <w:style w:type="paragraph" w:styleId="ListNumber2">
    <w:name w:val="List Number 2"/>
    <w:basedOn w:val="List2"/>
    <w:rsid w:val="00C97D3F"/>
    <w:pPr>
      <w:numPr>
        <w:numId w:val="9"/>
      </w:numPr>
      <w:tabs>
        <w:tab w:val="clear" w:pos="1060"/>
      </w:tabs>
    </w:pPr>
  </w:style>
  <w:style w:type="paragraph" w:customStyle="1" w:styleId="MarginNote">
    <w:name w:val="Margin Note"/>
    <w:basedOn w:val="BodyText"/>
    <w:rsid w:val="00C97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D3F"/>
    <w:rPr>
      <w:sz w:val="32"/>
    </w:rPr>
  </w:style>
  <w:style w:type="paragraph" w:customStyle="1" w:styleId="HeadingProcedure">
    <w:name w:val="Heading Procedure"/>
    <w:basedOn w:val="HeadingBase"/>
    <w:next w:val="Normal"/>
    <w:rsid w:val="00C97D3F"/>
    <w:pPr>
      <w:tabs>
        <w:tab w:val="left" w:pos="0"/>
      </w:tabs>
      <w:spacing w:before="120" w:after="60"/>
    </w:pPr>
    <w:rPr>
      <w:i/>
      <w:color w:val="918585"/>
      <w:sz w:val="22"/>
    </w:rPr>
  </w:style>
  <w:style w:type="paragraph" w:customStyle="1" w:styleId="TableBodyText">
    <w:name w:val="Table Body Text"/>
    <w:basedOn w:val="BodyText"/>
    <w:rsid w:val="00C97D3F"/>
    <w:pPr>
      <w:spacing w:before="60" w:after="60"/>
    </w:pPr>
  </w:style>
  <w:style w:type="paragraph" w:styleId="ListContinue">
    <w:name w:val="List Continue"/>
    <w:basedOn w:val="List"/>
    <w:rsid w:val="00C97D3F"/>
    <w:pPr>
      <w:ind w:firstLine="0"/>
    </w:pPr>
  </w:style>
  <w:style w:type="paragraph" w:customStyle="1" w:styleId="ListNote">
    <w:name w:val="List Note"/>
    <w:basedOn w:val="List"/>
    <w:rsid w:val="00C97D3F"/>
    <w:pPr>
      <w:pBdr>
        <w:top w:val="single" w:sz="6" w:space="2" w:color="918585"/>
        <w:bottom w:val="single" w:sz="6" w:space="2" w:color="918585"/>
      </w:pBdr>
      <w:tabs>
        <w:tab w:val="left" w:pos="1021"/>
      </w:tabs>
      <w:ind w:firstLine="0"/>
    </w:pPr>
  </w:style>
  <w:style w:type="paragraph" w:customStyle="1" w:styleId="Warning">
    <w:name w:val="Warning"/>
    <w:basedOn w:val="BodyText"/>
    <w:rsid w:val="00C97D3F"/>
    <w:pPr>
      <w:shd w:val="clear" w:color="auto" w:fill="D9D9D9"/>
      <w:tabs>
        <w:tab w:val="left" w:pos="992"/>
      </w:tabs>
      <w:ind w:left="119" w:right="119"/>
    </w:pPr>
    <w:rPr>
      <w:sz w:val="20"/>
    </w:rPr>
  </w:style>
  <w:style w:type="paragraph" w:customStyle="1" w:styleId="MarginIcons">
    <w:name w:val="Margin Icons"/>
    <w:basedOn w:val="BodyText"/>
    <w:rsid w:val="00C97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D3F"/>
    <w:rPr>
      <w:rFonts w:ascii="Courier New" w:hAnsi="Courier New"/>
    </w:rPr>
  </w:style>
  <w:style w:type="paragraph" w:customStyle="1" w:styleId="NoteBullet">
    <w:name w:val="Note Bullet"/>
    <w:basedOn w:val="Note"/>
    <w:rsid w:val="00C97D3F"/>
    <w:pPr>
      <w:tabs>
        <w:tab w:val="clear" w:pos="680"/>
      </w:tabs>
      <w:spacing w:before="60" w:after="60"/>
    </w:pPr>
  </w:style>
  <w:style w:type="paragraph" w:customStyle="1" w:styleId="SubHeading2">
    <w:name w:val="SubHeading2"/>
    <w:basedOn w:val="HeadingBase"/>
    <w:rsid w:val="00C97D3F"/>
    <w:pPr>
      <w:spacing w:before="240" w:after="60"/>
    </w:pPr>
    <w:rPr>
      <w:sz w:val="20"/>
    </w:rPr>
  </w:style>
  <w:style w:type="paragraph" w:customStyle="1" w:styleId="SubHeading1">
    <w:name w:val="SubHeading1"/>
    <w:basedOn w:val="HeadingBase"/>
    <w:rsid w:val="00C97D3F"/>
    <w:pPr>
      <w:spacing w:before="240" w:after="60"/>
    </w:pPr>
    <w:rPr>
      <w:color w:val="918585"/>
      <w:sz w:val="22"/>
    </w:rPr>
  </w:style>
  <w:style w:type="paragraph" w:customStyle="1" w:styleId="SideHeading">
    <w:name w:val="Side Heading"/>
    <w:basedOn w:val="HeadingBase"/>
    <w:rsid w:val="00C97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D3F"/>
    <w:pPr>
      <w:numPr>
        <w:numId w:val="10"/>
      </w:numPr>
    </w:pPr>
  </w:style>
  <w:style w:type="paragraph" w:styleId="PlainText">
    <w:name w:val="Plain Text"/>
    <w:basedOn w:val="Normal"/>
    <w:link w:val="PlainTextChar"/>
    <w:rsid w:val="00C97D3F"/>
    <w:rPr>
      <w:sz w:val="20"/>
    </w:rPr>
  </w:style>
  <w:style w:type="character" w:customStyle="1" w:styleId="PlainTextChar">
    <w:name w:val="Plain Text Char"/>
    <w:basedOn w:val="DefaultParagraphFont"/>
    <w:link w:val="PlainText"/>
    <w:rsid w:val="00C97D3F"/>
    <w:rPr>
      <w:rFonts w:ascii="Courier New" w:eastAsia="Times New Roman" w:hAnsi="Courier New" w:cs="Times New Roman"/>
      <w:sz w:val="20"/>
      <w:szCs w:val="20"/>
      <w:lang w:eastAsia="en-US"/>
    </w:rPr>
  </w:style>
  <w:style w:type="character" w:customStyle="1" w:styleId="MenuOption">
    <w:name w:val="Menu Option"/>
    <w:basedOn w:val="DefaultParagraphFont"/>
    <w:rsid w:val="00C97D3F"/>
    <w:rPr>
      <w:b/>
      <w:smallCaps/>
    </w:rPr>
  </w:style>
  <w:style w:type="paragraph" w:customStyle="1" w:styleId="TableListNumber">
    <w:name w:val="Table List Number"/>
    <w:basedOn w:val="ListNumber"/>
    <w:rsid w:val="00C97D3F"/>
    <w:pPr>
      <w:numPr>
        <w:numId w:val="0"/>
      </w:numPr>
    </w:pPr>
  </w:style>
  <w:style w:type="paragraph" w:styleId="TOC4">
    <w:name w:val="toc 4"/>
    <w:basedOn w:val="TOCBase"/>
    <w:next w:val="Normal"/>
    <w:semiHidden/>
    <w:rsid w:val="00C97D3F"/>
    <w:pPr>
      <w:tabs>
        <w:tab w:val="right" w:leader="dot" w:pos="9071"/>
      </w:tabs>
      <w:ind w:left="1701"/>
    </w:pPr>
  </w:style>
  <w:style w:type="paragraph" w:customStyle="1" w:styleId="ListAlpha">
    <w:name w:val="List Alpha"/>
    <w:basedOn w:val="List"/>
    <w:rsid w:val="00C97D3F"/>
    <w:pPr>
      <w:numPr>
        <w:numId w:val="8"/>
      </w:numPr>
    </w:pPr>
  </w:style>
  <w:style w:type="paragraph" w:customStyle="1" w:styleId="ListAlpha2">
    <w:name w:val="List Alpha 2"/>
    <w:basedOn w:val="List2"/>
    <w:rsid w:val="00C97D3F"/>
    <w:pPr>
      <w:numPr>
        <w:numId w:val="7"/>
      </w:numPr>
    </w:pPr>
  </w:style>
  <w:style w:type="paragraph" w:styleId="List2">
    <w:name w:val="List 2"/>
    <w:basedOn w:val="BodyText"/>
    <w:rsid w:val="00C97D3F"/>
    <w:pPr>
      <w:tabs>
        <w:tab w:val="left" w:pos="680"/>
      </w:tabs>
      <w:spacing w:before="60" w:after="60"/>
      <w:ind w:left="680" w:hanging="340"/>
    </w:pPr>
  </w:style>
  <w:style w:type="paragraph" w:styleId="List3">
    <w:name w:val="List 3"/>
    <w:basedOn w:val="BodyText"/>
    <w:rsid w:val="00C97D3F"/>
    <w:pPr>
      <w:tabs>
        <w:tab w:val="left" w:pos="1021"/>
      </w:tabs>
      <w:spacing w:before="60" w:after="60"/>
      <w:ind w:left="1020" w:hanging="340"/>
    </w:pPr>
  </w:style>
  <w:style w:type="paragraph" w:styleId="List4">
    <w:name w:val="List 4"/>
    <w:basedOn w:val="BodyText"/>
    <w:rsid w:val="00C97D3F"/>
    <w:pPr>
      <w:tabs>
        <w:tab w:val="left" w:pos="1361"/>
      </w:tabs>
      <w:spacing w:before="60" w:after="60"/>
      <w:ind w:left="1361" w:hanging="340"/>
    </w:pPr>
  </w:style>
  <w:style w:type="paragraph" w:styleId="List5">
    <w:name w:val="List 5"/>
    <w:basedOn w:val="BodyText"/>
    <w:rsid w:val="00C97D3F"/>
    <w:pPr>
      <w:tabs>
        <w:tab w:val="left" w:pos="1701"/>
      </w:tabs>
      <w:spacing w:before="60" w:after="60"/>
      <w:ind w:left="1701" w:hanging="340"/>
    </w:pPr>
  </w:style>
  <w:style w:type="paragraph" w:styleId="ListBullet3">
    <w:name w:val="List Bullet 3"/>
    <w:basedOn w:val="List3"/>
    <w:rsid w:val="00C97D3F"/>
    <w:pPr>
      <w:numPr>
        <w:numId w:val="13"/>
      </w:numPr>
      <w:tabs>
        <w:tab w:val="clear" w:pos="1021"/>
      </w:tabs>
      <w:ind w:left="1037" w:hanging="357"/>
    </w:pPr>
  </w:style>
  <w:style w:type="paragraph" w:styleId="ListBullet4">
    <w:name w:val="List Bullet 4"/>
    <w:basedOn w:val="List4"/>
    <w:rsid w:val="00C97D3F"/>
    <w:pPr>
      <w:numPr>
        <w:numId w:val="2"/>
      </w:numPr>
      <w:tabs>
        <w:tab w:val="clear" w:pos="1361"/>
      </w:tabs>
    </w:pPr>
  </w:style>
  <w:style w:type="paragraph" w:styleId="ListBullet5">
    <w:name w:val="List Bullet 5"/>
    <w:basedOn w:val="List5"/>
    <w:rsid w:val="00C97D3F"/>
    <w:pPr>
      <w:numPr>
        <w:numId w:val="3"/>
      </w:numPr>
    </w:pPr>
  </w:style>
  <w:style w:type="paragraph" w:styleId="ListContinue2">
    <w:name w:val="List Continue 2"/>
    <w:basedOn w:val="List2"/>
    <w:rsid w:val="00C97D3F"/>
    <w:pPr>
      <w:ind w:firstLine="0"/>
    </w:pPr>
  </w:style>
  <w:style w:type="paragraph" w:styleId="ListContinue3">
    <w:name w:val="List Continue 3"/>
    <w:basedOn w:val="List3"/>
    <w:rsid w:val="00C97D3F"/>
    <w:pPr>
      <w:ind w:left="1021" w:firstLine="0"/>
    </w:pPr>
  </w:style>
  <w:style w:type="paragraph" w:styleId="ListContinue4">
    <w:name w:val="List Continue 4"/>
    <w:basedOn w:val="List4"/>
    <w:rsid w:val="00C97D3F"/>
    <w:pPr>
      <w:ind w:firstLine="0"/>
    </w:pPr>
  </w:style>
  <w:style w:type="paragraph" w:styleId="ListContinue5">
    <w:name w:val="List Continue 5"/>
    <w:basedOn w:val="List5"/>
    <w:rsid w:val="00C97D3F"/>
    <w:pPr>
      <w:ind w:firstLine="0"/>
    </w:pPr>
  </w:style>
  <w:style w:type="paragraph" w:styleId="ListNumber3">
    <w:name w:val="List Number 3"/>
    <w:basedOn w:val="List3"/>
    <w:rsid w:val="00C97D3F"/>
    <w:pPr>
      <w:numPr>
        <w:numId w:val="4"/>
      </w:numPr>
    </w:pPr>
  </w:style>
  <w:style w:type="paragraph" w:styleId="ListNumber4">
    <w:name w:val="List Number 4"/>
    <w:basedOn w:val="List4"/>
    <w:rsid w:val="00C97D3F"/>
    <w:pPr>
      <w:numPr>
        <w:numId w:val="5"/>
      </w:numPr>
    </w:pPr>
  </w:style>
  <w:style w:type="paragraph" w:styleId="ListNumber5">
    <w:name w:val="List Number 5"/>
    <w:basedOn w:val="List5"/>
    <w:rsid w:val="00C97D3F"/>
    <w:pPr>
      <w:numPr>
        <w:numId w:val="6"/>
      </w:numPr>
    </w:pPr>
  </w:style>
  <w:style w:type="paragraph" w:styleId="BlockText">
    <w:name w:val="Block Text"/>
    <w:basedOn w:val="Normal"/>
    <w:rsid w:val="00C97D3F"/>
    <w:pPr>
      <w:spacing w:after="120"/>
      <w:ind w:left="1440" w:right="1440"/>
    </w:pPr>
  </w:style>
  <w:style w:type="character" w:customStyle="1" w:styleId="Subscript">
    <w:name w:val="Subscript"/>
    <w:basedOn w:val="DefaultParagraphFont"/>
    <w:rsid w:val="00C97D3F"/>
    <w:rPr>
      <w:sz w:val="16"/>
      <w:vertAlign w:val="subscript"/>
    </w:rPr>
  </w:style>
  <w:style w:type="character" w:customStyle="1" w:styleId="Superscript">
    <w:name w:val="Superscript"/>
    <w:basedOn w:val="DefaultParagraphFont"/>
    <w:rsid w:val="00C97D3F"/>
    <w:rPr>
      <w:sz w:val="16"/>
      <w:vertAlign w:val="superscript"/>
    </w:rPr>
  </w:style>
  <w:style w:type="character" w:customStyle="1" w:styleId="Symbols">
    <w:name w:val="Symbols"/>
    <w:basedOn w:val="DefaultParagraphFont"/>
    <w:rsid w:val="00C97D3F"/>
    <w:rPr>
      <w:rFonts w:ascii="Symbol" w:hAnsi="Symbol"/>
    </w:rPr>
  </w:style>
  <w:style w:type="character" w:customStyle="1" w:styleId="MenuOptions">
    <w:name w:val="Menu Options"/>
    <w:basedOn w:val="DefaultParagraphFont"/>
    <w:rsid w:val="00C97D3F"/>
    <w:rPr>
      <w:rFonts w:ascii="Arial Narrow" w:hAnsi="Arial Narrow"/>
      <w:smallCaps/>
    </w:rPr>
  </w:style>
  <w:style w:type="character" w:customStyle="1" w:styleId="Buttons">
    <w:name w:val="Buttons"/>
    <w:basedOn w:val="DefaultParagraphFont"/>
    <w:rsid w:val="00C97D3F"/>
    <w:rPr>
      <w:b/>
    </w:rPr>
  </w:style>
  <w:style w:type="character" w:customStyle="1" w:styleId="Underlined">
    <w:name w:val="Underlined"/>
    <w:basedOn w:val="DefaultParagraphFont"/>
    <w:rsid w:val="00C97D3F"/>
    <w:rPr>
      <w:u w:val="single"/>
    </w:rPr>
  </w:style>
  <w:style w:type="paragraph" w:customStyle="1" w:styleId="TableBodyTextRight">
    <w:name w:val="Table Body Text Right"/>
    <w:basedOn w:val="TableBodyText"/>
    <w:rsid w:val="00C97D3F"/>
    <w:pPr>
      <w:widowControl w:val="0"/>
      <w:autoSpaceDE w:val="0"/>
      <w:autoSpaceDN w:val="0"/>
      <w:adjustRightInd w:val="0"/>
      <w:jc w:val="right"/>
    </w:pPr>
    <w:rPr>
      <w:rFonts w:cs="Arial"/>
      <w:szCs w:val="18"/>
    </w:rPr>
  </w:style>
  <w:style w:type="paragraph" w:customStyle="1" w:styleId="CopyrightText">
    <w:name w:val="Copyright Text"/>
    <w:basedOn w:val="BodyText"/>
    <w:rsid w:val="00C97D3F"/>
    <w:rPr>
      <w:sz w:val="18"/>
    </w:rPr>
  </w:style>
  <w:style w:type="paragraph" w:customStyle="1" w:styleId="BodySmallRight">
    <w:name w:val="Body Small Right"/>
    <w:basedOn w:val="BodyTextRight"/>
    <w:rsid w:val="00C97D3F"/>
    <w:rPr>
      <w:sz w:val="18"/>
      <w:szCs w:val="18"/>
    </w:rPr>
  </w:style>
  <w:style w:type="paragraph" w:customStyle="1" w:styleId="MarginEdition">
    <w:name w:val="Margin Edition"/>
    <w:basedOn w:val="MarginNote"/>
    <w:rsid w:val="00C97D3F"/>
    <w:pPr>
      <w:spacing w:before="0" w:after="0"/>
    </w:pPr>
    <w:rPr>
      <w:rFonts w:ascii="Times New Roman" w:hAnsi="Times New Roman"/>
      <w:color w:val="999999"/>
    </w:rPr>
  </w:style>
  <w:style w:type="paragraph" w:customStyle="1" w:styleId="Spacer">
    <w:name w:val="Spacer"/>
    <w:basedOn w:val="Normal"/>
    <w:rsid w:val="00C97D3F"/>
    <w:rPr>
      <w:sz w:val="2"/>
      <w:szCs w:val="2"/>
    </w:rPr>
  </w:style>
  <w:style w:type="character" w:customStyle="1" w:styleId="Small">
    <w:name w:val="Small"/>
    <w:basedOn w:val="DefaultParagraphFont"/>
    <w:rsid w:val="00C97D3F"/>
    <w:rPr>
      <w:sz w:val="16"/>
    </w:rPr>
  </w:style>
  <w:style w:type="paragraph" w:customStyle="1" w:styleId="WideTable">
    <w:name w:val="Wide Table"/>
    <w:basedOn w:val="Normal"/>
    <w:rsid w:val="00C97D3F"/>
    <w:pPr>
      <w:ind w:left="-1418"/>
    </w:pPr>
    <w:rPr>
      <w:sz w:val="2"/>
      <w:szCs w:val="2"/>
    </w:rPr>
  </w:style>
  <w:style w:type="character" w:styleId="PageNumber">
    <w:name w:val="page number"/>
    <w:basedOn w:val="DefaultParagraphFont"/>
    <w:rsid w:val="00C97D3F"/>
  </w:style>
  <w:style w:type="paragraph" w:styleId="Quote">
    <w:name w:val="Quote"/>
    <w:basedOn w:val="Heading1"/>
    <w:link w:val="QuoteChar"/>
    <w:qFormat/>
    <w:rsid w:val="00C97D3F"/>
    <w:rPr>
      <w:b w:val="0"/>
      <w:sz w:val="72"/>
      <w:szCs w:val="72"/>
      <w:lang w:val="en-NZ"/>
    </w:rPr>
  </w:style>
  <w:style w:type="character" w:customStyle="1" w:styleId="QuoteChar">
    <w:name w:val="Quote Char"/>
    <w:basedOn w:val="DefaultParagraphFont"/>
    <w:link w:val="Quote"/>
    <w:rsid w:val="00C97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D3F"/>
    <w:pPr>
      <w:pageBreakBefore/>
    </w:pPr>
  </w:style>
  <w:style w:type="paragraph" w:customStyle="1" w:styleId="Border">
    <w:name w:val="Border"/>
    <w:basedOn w:val="Normal"/>
    <w:qFormat/>
    <w:rsid w:val="00C97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D3F"/>
    <w:rPr>
      <w:b/>
      <w:bCs/>
      <w:i/>
      <w:iCs/>
      <w:color w:val="auto"/>
    </w:rPr>
  </w:style>
  <w:style w:type="paragraph" w:styleId="IntenseQuote">
    <w:name w:val="Intense Quote"/>
    <w:basedOn w:val="Normal"/>
    <w:next w:val="Normal"/>
    <w:link w:val="IntenseQuoteChar"/>
    <w:uiPriority w:val="30"/>
    <w:qFormat/>
    <w:rsid w:val="00C97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D3F"/>
    <w:rPr>
      <w:smallCaps/>
      <w:color w:val="auto"/>
      <w:u w:val="single"/>
    </w:rPr>
  </w:style>
  <w:style w:type="character" w:styleId="IntenseReference">
    <w:name w:val="Intense Reference"/>
    <w:basedOn w:val="DefaultParagraphFont"/>
    <w:uiPriority w:val="32"/>
    <w:qFormat/>
    <w:rsid w:val="00C97D3F"/>
    <w:rPr>
      <w:b/>
      <w:bCs/>
      <w:smallCaps/>
      <w:color w:val="auto"/>
      <w:spacing w:val="5"/>
      <w:u w:val="single"/>
    </w:rPr>
  </w:style>
  <w:style w:type="paragraph" w:customStyle="1" w:styleId="2ColumnHeading">
    <w:name w:val="2Column Heading"/>
    <w:basedOn w:val="BodyText"/>
    <w:qFormat/>
    <w:rsid w:val="00C97D3F"/>
    <w:pPr>
      <w:spacing w:after="60"/>
      <w:ind w:left="-2268"/>
    </w:pPr>
    <w:rPr>
      <w:b/>
    </w:rPr>
  </w:style>
  <w:style w:type="paragraph" w:customStyle="1" w:styleId="Heading1TOC">
    <w:name w:val="Heading1 TOC"/>
    <w:basedOn w:val="Normal"/>
    <w:qFormat/>
    <w:rsid w:val="00C97D3F"/>
    <w:pPr>
      <w:spacing w:before="240" w:after="120"/>
    </w:pPr>
    <w:rPr>
      <w:rFonts w:ascii="Times New Roman" w:hAnsi="Times New Roman"/>
      <w:b/>
      <w:sz w:val="32"/>
    </w:rPr>
  </w:style>
  <w:style w:type="paragraph" w:customStyle="1" w:styleId="Heading2TOC">
    <w:name w:val="Heading2 TOC"/>
    <w:basedOn w:val="Normal"/>
    <w:qFormat/>
    <w:rsid w:val="00C97D3F"/>
    <w:pPr>
      <w:spacing w:before="240" w:after="60"/>
    </w:pPr>
    <w:rPr>
      <w:rFonts w:ascii="Times New Roman" w:hAnsi="Times New Roman"/>
      <w:b/>
      <w:sz w:val="28"/>
    </w:rPr>
  </w:style>
  <w:style w:type="character" w:customStyle="1" w:styleId="Underline">
    <w:name w:val="Underline"/>
    <w:basedOn w:val="DefaultParagraphFont"/>
    <w:qFormat/>
    <w:rsid w:val="00C97D3F"/>
    <w:rPr>
      <w:u w:val="single"/>
    </w:rPr>
  </w:style>
  <w:style w:type="character" w:customStyle="1" w:styleId="BoldandItalics">
    <w:name w:val="Bold and Italics"/>
    <w:qFormat/>
    <w:rsid w:val="00C97D3F"/>
    <w:rPr>
      <w:b/>
      <w:i/>
      <w:u w:val="none"/>
    </w:rPr>
  </w:style>
  <w:style w:type="paragraph" w:styleId="BalloonText">
    <w:name w:val="Balloon Text"/>
    <w:basedOn w:val="Normal"/>
    <w:link w:val="BalloonTextChar"/>
    <w:rsid w:val="00C97D3F"/>
    <w:rPr>
      <w:rFonts w:ascii="Tahoma" w:hAnsi="Tahoma" w:cs="Tahoma"/>
      <w:sz w:val="16"/>
      <w:szCs w:val="16"/>
    </w:rPr>
  </w:style>
  <w:style w:type="character" w:customStyle="1" w:styleId="BalloonTextChar">
    <w:name w:val="Balloon Text Char"/>
    <w:basedOn w:val="DefaultParagraphFont"/>
    <w:link w:val="BalloonText"/>
    <w:rsid w:val="00C97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D3F"/>
    <w:rPr>
      <w:b/>
      <w:color w:val="660033"/>
      <w:spacing w:val="0"/>
    </w:rPr>
  </w:style>
  <w:style w:type="paragraph" w:customStyle="1" w:styleId="Nameditemlist">
    <w:name w:val="Named item list"/>
    <w:basedOn w:val="BodyText"/>
    <w:qFormat/>
    <w:rsid w:val="00C97D3F"/>
    <w:pPr>
      <w:tabs>
        <w:tab w:val="left" w:pos="2835"/>
      </w:tabs>
      <w:ind w:left="2835" w:hanging="2835"/>
    </w:pPr>
  </w:style>
  <w:style w:type="paragraph" w:customStyle="1" w:styleId="BodyTextnopadding">
    <w:name w:val="Body Text no padding"/>
    <w:basedOn w:val="BodyText"/>
    <w:qFormat/>
    <w:rsid w:val="00C97D3F"/>
    <w:pPr>
      <w:spacing w:before="0" w:after="0"/>
    </w:pPr>
  </w:style>
  <w:style w:type="paragraph" w:customStyle="1" w:styleId="BodyTextBold">
    <w:name w:val="Body Text Bold"/>
    <w:basedOn w:val="BodyText"/>
    <w:qFormat/>
    <w:rsid w:val="00C97D3F"/>
    <w:rPr>
      <w:b/>
    </w:rPr>
  </w:style>
  <w:style w:type="character" w:styleId="Hyperlink">
    <w:name w:val="Hyperlink"/>
    <w:basedOn w:val="DefaultParagraphFont"/>
    <w:uiPriority w:val="99"/>
    <w:unhideWhenUsed/>
    <w:rsid w:val="00542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5321</Characters>
  <Application>Microsoft Office Word</Application>
  <DocSecurity>0</DocSecurity>
  <Lines>156</Lines>
  <Paragraphs>84</Paragraphs>
  <ScaleCrop>false</ScaleCrop>
  <Company>Author-it Software Corporation Ltd.</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POLFOR002 Conduct complex forensic crime and incident scene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2022-12-05T22:50:00Z</dcterms:created>
  <dcterms:modified xsi:type="dcterms:W3CDTF">2022-12-05T22:50:00Z</dcterms:modified>
</cp:coreProperties>
</file>