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POLEXP006 Analyse and respond to an explosive device incident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POLEXP006"/>
      <w:r w:rsidRPr="00F31CE3">
        <w:t>POLEXP006 Analyse and respond to an explosive device incident</w:t>
      </w:r>
    </w:p>
    <w:p w:rsidR="00D44002" w:rsidRPr="00F31CE3" w:rsidP="00F31CE3">
      <w:pPr>
        <w:pStyle w:val="Heading1"/>
      </w:pPr>
      <w:bookmarkEnd w:id="2"/>
      <w:r w:rsidRPr="00F31CE3">
        <w:t>Confidential Content</w:t>
      </w:r>
    </w:p>
    <w:p w:rsidR="00D44002" w:rsidRPr="00F31CE3" w:rsidP="00F31CE3">
      <w:r w:rsidRPr="00F31CE3">
        <w:t>Confidential - content not available</w:t>
      </w:r>
    </w:p>
    <w:p w:rsidR="00D44002" w:rsidRPr="00F31CE3" w:rsidP="00F31CE3"/>
    <w:sectPr w:rsidSect="00F315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Public 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POLEXP006 Analyse and respond to an explosive device incident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30 July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POLEXP006 Analyse and respond to an explosive device incident</dc:title>
  <dc:subject>Release: 2</dc:subject>
  <dc:creator>Public Skills Australia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2026-07-30T02:35:37Z</dcterms:created>
  <dcterms:modified xsi:type="dcterms:W3CDTF">2026-07-30T02:35:37Z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