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C2D" w:rsidP="00EA1C2D">
      <w:pPr>
        <w:pStyle w:val="Title"/>
      </w:pPr>
      <w:r>
        <w:fldChar w:fldCharType="begin"/>
      </w:r>
      <w:r>
        <w:instrText xml:space="preserve"> TITLE   \* MERGEFORMAT </w:instrText>
      </w:r>
      <w:r>
        <w:fldChar w:fldCharType="separate"/>
      </w:r>
      <w:r>
        <w:t>POLAUX026 Promote engagement in a policing environment</w:t>
      </w:r>
      <w:r>
        <w:fldChar w:fldCharType="end"/>
      </w:r>
    </w:p>
    <w:p w:rsidR="00EA1C2D" w:rsidP="00EA1C2D">
      <w:pPr>
        <w:pStyle w:val="Version"/>
        <w:sectPr w:rsidSect="00BE6E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EDF" w:rsidP="00BE6EDF">
      <w:pPr>
        <w:pStyle w:val="SuperHeading"/>
      </w:pPr>
      <w:r w:rsidRPr="00BE6EDF">
        <w:t>POLAUX026 Promote engagement in a policing environment</w:t>
      </w:r>
    </w:p>
    <w:p w:rsidR="00000000" w:rsidRPr="00BE6EDF" w:rsidP="00BE6EDF">
      <w:pPr>
        <w:pStyle w:val="Heading1"/>
      </w:pPr>
      <w:bookmarkStart w:id="1" w:name="O_1245809"/>
      <w:bookmarkEnd w:id="1"/>
      <w:r w:rsidRPr="00BE6EDF">
        <w:t>Modification History</w:t>
      </w:r>
    </w:p>
    <w:tbl>
      <w:tblPr>
        <w:tblW w:w="9497" w:type="dxa"/>
        <w:tblLayout w:type="fixed"/>
        <w:tblCellMar>
          <w:left w:w="62" w:type="dxa"/>
          <w:right w:w="62" w:type="dxa"/>
        </w:tblCellMar>
        <w:tblLook w:val="0000"/>
      </w:tblPr>
      <w:tblGrid>
        <w:gridCol w:w="9497"/>
      </w:tblGrid>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t>Release 1. This is the first release of this unit of competency in the POL Police Training Package release 7.0.</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2" w:name="O_1245810"/>
      <w:bookmarkEnd w:id="2"/>
      <w:r w:rsidRPr="00BE6EDF">
        <w:t>Application</w:t>
      </w:r>
    </w:p>
    <w:tbl>
      <w:tblPr>
        <w:tblW w:w="9497" w:type="dxa"/>
        <w:tblLayout w:type="fixed"/>
        <w:tblCellMar>
          <w:left w:w="62" w:type="dxa"/>
          <w:right w:w="62" w:type="dxa"/>
        </w:tblCellMar>
        <w:tblLook w:val="0000"/>
      </w:tblPr>
      <w:tblGrid>
        <w:gridCol w:w="9497"/>
      </w:tblGrid>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t>This unit describes the skills and knowledge required to engage with com</w:t>
            </w:r>
            <w:r w:rsidRPr="00BE6EDF">
              <w:t>munities in a policing environment, focusing on demonstrating relationship building skills, building consensus among stakeholders and using communication options.</w:t>
            </w:r>
          </w:p>
          <w:p w:rsidR="00000000" w:rsidRPr="00BE6EDF" w:rsidP="00BE6EDF">
            <w:pPr>
              <w:pStyle w:val="BodyText"/>
            </w:pPr>
            <w:r w:rsidRPr="00BE6EDF">
              <w:t>This unit applies to those working as community policing staff, in metropolitan and/or remote</w:t>
            </w:r>
            <w:r w:rsidRPr="00BE6EDF">
              <w:t xml:space="preserve"> areas.</w:t>
            </w:r>
          </w:p>
          <w:p w:rsidR="00000000" w:rsidRPr="00BE6EDF" w:rsidP="00BE6EDF">
            <w:pPr>
              <w:pStyle w:val="BodyText"/>
            </w:pPr>
            <w:r w:rsidRPr="00BE6EDF">
              <w:t>The skills and knowledge described in this unit must be applied within the current legislative, regulatory and policy environment in which they are carried out. Organisational policies and procedures must be consulted and adhered to, particularly t</w:t>
            </w:r>
            <w:r w:rsidRPr="00BE6EDF">
              <w:t>hose related to customer service, codes of ethics and conduct and anti-discrimination.</w:t>
            </w:r>
          </w:p>
          <w:p w:rsidR="00000000" w:rsidRPr="00BE6EDF" w:rsidP="00BE6EDF">
            <w:pPr>
              <w:pStyle w:val="BodyText"/>
            </w:pPr>
            <w:r w:rsidRPr="00BE6EDF">
              <w:t>Those undertaking this unit would demonstrate autonomy, judgement and limited responsibility within established parameters. They would complete routine and non-routine t</w:t>
            </w:r>
            <w:r w:rsidRPr="00BE6EDF">
              <w:t>asks in an unpredictable context.</w:t>
            </w:r>
          </w:p>
          <w:p w:rsidR="00000000" w:rsidRPr="00BE6EDF" w:rsidP="00BE6EDF">
            <w:pPr>
              <w:pStyle w:val="BodyText"/>
            </w:pPr>
            <w:r w:rsidRPr="00BE6EDF">
              <w:t>No licensing, legislative or certification requirements apply to unit at the time of publication.</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3" w:name="O_1245811"/>
      <w:bookmarkEnd w:id="3"/>
      <w:r w:rsidRPr="00BE6EDF">
        <w:t>Pre-requisite Unit</w:t>
      </w:r>
    </w:p>
    <w:tbl>
      <w:tblPr>
        <w:tblW w:w="9497" w:type="dxa"/>
        <w:tblLayout w:type="fixed"/>
        <w:tblCellMar>
          <w:left w:w="62" w:type="dxa"/>
          <w:right w:w="62" w:type="dxa"/>
        </w:tblCellMar>
        <w:tblLook w:val="0000"/>
      </w:tblPr>
      <w:tblGrid>
        <w:gridCol w:w="9497"/>
      </w:tblGrid>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t>Not applicable.</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4" w:name="O_1245812"/>
      <w:bookmarkEnd w:id="4"/>
      <w:r w:rsidRPr="00BE6EDF">
        <w:t>Competency Field</w:t>
      </w:r>
    </w:p>
    <w:tbl>
      <w:tblPr>
        <w:tblW w:w="9497" w:type="dxa"/>
        <w:tblLayout w:type="fixed"/>
        <w:tblCellMar>
          <w:left w:w="62" w:type="dxa"/>
          <w:right w:w="62" w:type="dxa"/>
        </w:tblCellMar>
        <w:tblLook w:val="0000"/>
      </w:tblPr>
      <w:tblGrid>
        <w:gridCol w:w="9497"/>
      </w:tblGrid>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t>Auxiliary</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5" w:name="O_1245813"/>
      <w:bookmarkEnd w:id="5"/>
      <w:r w:rsidRPr="00BE6EDF">
        <w:t>Unit Sector</w:t>
      </w:r>
    </w:p>
    <w:tbl>
      <w:tblPr>
        <w:tblW w:w="9497" w:type="dxa"/>
        <w:tblLayout w:type="fixed"/>
        <w:tblCellMar>
          <w:left w:w="62" w:type="dxa"/>
          <w:right w:w="62" w:type="dxa"/>
        </w:tblCellMar>
        <w:tblLook w:val="0000"/>
      </w:tblPr>
      <w:tblGrid>
        <w:gridCol w:w="9497"/>
      </w:tblGrid>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t>Not applicable.</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6" w:name="O_1245814"/>
      <w:bookmarkEnd w:id="6"/>
      <w:r w:rsidRPr="00BE6EDF">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BE6EDF">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rPr>
                <w:rStyle w:val="SpecialBold"/>
              </w:rPr>
              <w:t>PERFORMANCE CRITERIA</w:t>
            </w:r>
          </w:p>
        </w:tc>
      </w:tr>
      <w:tr w:rsidTr="00BE6EDF">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t xml:space="preserve">Elements describe the essential </w:t>
            </w:r>
            <w:r w:rsidRPr="00BE6EDF">
              <w:t>outcomes.</w:t>
            </w:r>
          </w:p>
        </w:tc>
        <w:tc>
          <w:tcPr>
            <w:tcW w:w="6239" w:type="dxa"/>
            <w:gridSpan w:val="2"/>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t xml:space="preserve">Performance criteria describe the performance needed to </w:t>
            </w:r>
            <w:r w:rsidRPr="00BE6EDF">
              <w:t>demonstrate achievement of the element.</w:t>
            </w:r>
          </w:p>
        </w:tc>
      </w:tr>
      <w:tr w:rsidTr="00BE6E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rPr>
                <w:rStyle w:val="SpecialBold"/>
              </w:rPr>
              <w:t>Engage target audience</w:t>
            </w:r>
          </w:p>
        </w:tc>
        <w:tc>
          <w:tcPr>
            <w:tcW w:w="697"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t>Assess organisational information to identify messages that meet the needs of a community or group</w:t>
            </w:r>
          </w:p>
        </w:tc>
      </w:tr>
      <w:tr w:rsidTr="00BE6E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6E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t>Apply engagement techni</w:t>
            </w:r>
            <w:r w:rsidRPr="00BE6EDF">
              <w:t>ques to inform target audience</w:t>
            </w:r>
          </w:p>
        </w:tc>
      </w:tr>
      <w:tr w:rsidTr="00BE6E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6E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t>Communicate messages in a clear, concise and accurate manner</w:t>
            </w:r>
          </w:p>
        </w:tc>
      </w:tr>
      <w:tr w:rsidTr="00BE6E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6E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t>Evaluate engagement strategies to determine effective engagement with a specific community or group</w:t>
            </w:r>
          </w:p>
        </w:tc>
      </w:tr>
      <w:tr w:rsidTr="00BE6E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rPr>
                <w:rStyle w:val="SpecialBold"/>
              </w:rPr>
              <w:t>Build relationships</w:t>
            </w:r>
          </w:p>
        </w:tc>
        <w:tc>
          <w:tcPr>
            <w:tcW w:w="697"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t>Identify community members and other stakeholders to initiate and facilitate engagement</w:t>
            </w:r>
          </w:p>
        </w:tc>
      </w:tr>
      <w:tr w:rsidTr="00BE6E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6E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t>Develop positive relationships with community members and other stakeholders to improve policing service delivery</w:t>
            </w:r>
          </w:p>
        </w:tc>
      </w:tr>
      <w:tr w:rsidTr="00BE6E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rPr>
                <w:rStyle w:val="SpecialBold"/>
              </w:rPr>
              <w:t>Develop consensus</w:t>
            </w:r>
          </w:p>
        </w:tc>
        <w:tc>
          <w:tcPr>
            <w:tcW w:w="697"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t xml:space="preserve">Identify the </w:t>
            </w:r>
            <w:r w:rsidRPr="00BE6EDF">
              <w:t>cultural context and potential conflicts to address perceptions and needs of the community and stakeholders</w:t>
            </w:r>
          </w:p>
        </w:tc>
      </w:tr>
      <w:tr w:rsidTr="00BE6E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6E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t>Support collaboration to negotiate consensus between community and stakeholder groups</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7" w:name="O_1245815"/>
      <w:bookmarkEnd w:id="7"/>
      <w:r w:rsidRPr="00BE6EDF">
        <w:t>Foundation Skills</w:t>
      </w:r>
    </w:p>
    <w:tbl>
      <w:tblPr>
        <w:tblW w:w="9497" w:type="dxa"/>
        <w:tblLayout w:type="fixed"/>
        <w:tblCellMar>
          <w:left w:w="62" w:type="dxa"/>
          <w:right w:w="62" w:type="dxa"/>
        </w:tblCellMar>
        <w:tblLook w:val="0000"/>
      </w:tblPr>
      <w:tblGrid>
        <w:gridCol w:w="9497"/>
      </w:tblGrid>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t>Foundation skills essential to performance are explicit in the performance criteria of this unit of competency.</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8" w:name="O_1245816"/>
      <w:bookmarkEnd w:id="8"/>
      <w:r w:rsidRPr="00BE6EDF">
        <w:t>Range of Conditions</w:t>
      </w:r>
    </w:p>
    <w:tbl>
      <w:tblPr>
        <w:tblW w:w="9497" w:type="dxa"/>
        <w:tblLayout w:type="fixed"/>
        <w:tblCellMar>
          <w:left w:w="62" w:type="dxa"/>
          <w:right w:w="62" w:type="dxa"/>
        </w:tblCellMar>
        <w:tblLook w:val="0000"/>
      </w:tblPr>
      <w:tblGrid>
        <w:gridCol w:w="9497"/>
      </w:tblGrid>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t>Range is restricted to essential operating conditions and any other variables essential to the work env</w:t>
            </w:r>
            <w:r w:rsidRPr="00BE6EDF">
              <w:t>ironment.</w:t>
            </w:r>
          </w:p>
          <w:p w:rsidR="00000000" w:rsidRPr="00BE6EDF" w:rsidP="00BE6EDF">
            <w:pPr>
              <w:pStyle w:val="BodyText"/>
            </w:pPr>
            <w:r w:rsidRPr="00BE6EDF">
              <w:t>Non-essential conditions may be found in the Police Training Package Companion Volume Implementation Guide.</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9" w:name="O_1245817"/>
      <w:bookmarkEnd w:id="9"/>
      <w:r w:rsidRPr="00BE6EDF">
        <w:t>Unit Mapping Information</w:t>
      </w:r>
    </w:p>
    <w:tbl>
      <w:tblPr>
        <w:tblW w:w="9497" w:type="dxa"/>
        <w:tblLayout w:type="fixed"/>
        <w:tblCellMar>
          <w:left w:w="62" w:type="dxa"/>
          <w:right w:w="62" w:type="dxa"/>
        </w:tblCellMar>
        <w:tblLook w:val="0000"/>
      </w:tblPr>
      <w:tblGrid>
        <w:gridCol w:w="9497"/>
      </w:tblGrid>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t>This unit replaces and is equivalent to POLAUX014 Promote engagement in a policing environment.</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10" w:name="O_1245824"/>
      <w:bookmarkEnd w:id="10"/>
      <w:r w:rsidRPr="00BE6EDF">
        <w:t>Links</w:t>
      </w:r>
    </w:p>
    <w:p w:rsidR="00000000" w:rsidRPr="00BE6EDF" w:rsidP="00EA1C2D">
      <w:pPr>
        <w:pStyle w:val="BodyText"/>
      </w:pPr>
      <w:r w:rsidRPr="00BE6EDF">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576296">
        <w:rPr>
          <w:rStyle w:val="Hyperlink"/>
        </w:rPr>
        <w:t>https://vetnet.gov.au/Pages/TrainingDocs.aspx?q=98c3984e-2cf1-48a8-8ed1-85e4b92e7351</w:t>
      </w:r>
      <w:r>
        <w:fldChar w:fldCharType="end"/>
      </w:r>
    </w:p>
    <w:p w:rsidR="00000000" w:rsidRPr="00BE6EDF" w:rsidP="00EA1C2D">
      <w:pPr>
        <w:pStyle w:val="BodyText"/>
        <w:sectPr w:rsidSect="00BE6EDF">
          <w:headerReference w:type="default" r:id="rId10"/>
          <w:footerReference w:type="default" r:id="rId11"/>
          <w:pgSz w:w="11908" w:h="16833"/>
          <w:pgMar w:top="1702" w:right="1418" w:bottom="1702" w:left="1418" w:header="992" w:footer="992" w:gutter="0"/>
          <w:cols w:space="720"/>
          <w:noEndnote/>
          <w:docGrid w:linePitch="299"/>
        </w:sectPr>
      </w:pPr>
    </w:p>
    <w:p w:rsidR="00000000" w:rsidRPr="00BE6EDF" w:rsidP="00BE6EDF">
      <w:pPr>
        <w:pStyle w:val="SuperHeading"/>
      </w:pPr>
      <w:r w:rsidRPr="00BE6EDF">
        <w:t>Assessment Requirements for POLAUX026 Promote engagement in a policing environment</w:t>
      </w:r>
    </w:p>
    <w:p w:rsidR="00000000" w:rsidRPr="00BE6EDF" w:rsidP="00BE6EDF">
      <w:pPr>
        <w:pStyle w:val="Heading1"/>
      </w:pPr>
      <w:bookmarkStart w:id="11" w:name="O_1245819"/>
      <w:bookmarkEnd w:id="11"/>
      <w:r w:rsidRPr="00BE6EDF">
        <w:t>Modification History</w:t>
      </w:r>
    </w:p>
    <w:tbl>
      <w:tblPr>
        <w:tblW w:w="9497" w:type="dxa"/>
        <w:tblLayout w:type="fixed"/>
        <w:tblCellMar>
          <w:left w:w="62" w:type="dxa"/>
          <w:right w:w="62" w:type="dxa"/>
        </w:tblCellMar>
        <w:tblLook w:val="0000"/>
      </w:tblPr>
      <w:tblGrid>
        <w:gridCol w:w="9497"/>
      </w:tblGrid>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t>Release 1. This is the first release of this unit of competency in th</w:t>
            </w:r>
            <w:r w:rsidRPr="00BE6EDF">
              <w:t>e POL Police Training Package release 7.0.</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12" w:name="O_1245820"/>
      <w:bookmarkEnd w:id="12"/>
      <w:r w:rsidRPr="00BE6EDF">
        <w:t>Performance Evidence</w:t>
      </w:r>
    </w:p>
    <w:tbl>
      <w:tblPr>
        <w:tblW w:w="9497" w:type="dxa"/>
        <w:tblLayout w:type="fixed"/>
        <w:tblCellMar>
          <w:left w:w="62" w:type="dxa"/>
          <w:right w:w="62" w:type="dxa"/>
        </w:tblCellMar>
        <w:tblLook w:val="0000"/>
      </w:tblPr>
      <w:tblGrid>
        <w:gridCol w:w="9497"/>
      </w:tblGrid>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t xml:space="preserve">Evidence required to demonstrate competence in this unit must be relevant to and satisfy all of the requirements of the elements and performance criteria on </w:t>
            </w:r>
            <w:r w:rsidRPr="00BE6EDF">
              <w:t xml:space="preserve">at least one occasion and include: </w:t>
            </w:r>
          </w:p>
        </w:tc>
      </w:tr>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EDF" w:rsidP="00BE6EDF">
            <w:pPr>
              <w:pStyle w:val="ListBullet"/>
            </w:pPr>
            <w:r w:rsidRPr="00BE6EDF">
              <w:t>building positive relationships with community members or groups</w:t>
            </w:r>
          </w:p>
          <w:p w:rsidR="00000000" w:rsidRPr="00BE6EDF" w:rsidP="00BE6EDF">
            <w:pPr>
              <w:pStyle w:val="ListBullet"/>
            </w:pPr>
            <w:r w:rsidRPr="00BE6EDF">
              <w:t>identifying cultural diversity issues and challenges</w:t>
            </w:r>
          </w:p>
          <w:p w:rsidR="00000000" w:rsidRPr="00BE6EDF" w:rsidP="00BE6EDF">
            <w:pPr>
              <w:pStyle w:val="ListBullet"/>
            </w:pPr>
            <w:r w:rsidRPr="00BE6EDF">
              <w:t>identifying the needs and expectations of communities</w:t>
            </w:r>
          </w:p>
          <w:p w:rsidR="00000000" w:rsidRPr="00BE6EDF" w:rsidP="00BE6EDF">
            <w:pPr>
              <w:pStyle w:val="ListBullet"/>
            </w:pPr>
            <w:r w:rsidRPr="00BE6EDF">
              <w:t>demonstrating mediation and negotiation skills</w:t>
            </w:r>
            <w:r w:rsidRPr="00BE6EDF">
              <w:t xml:space="preserve"> to support collaboration and mutual problem solving between community and stakeholders.</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13" w:name="O_1245821"/>
      <w:bookmarkEnd w:id="13"/>
      <w:r w:rsidRPr="00BE6EDF">
        <w:t>Knowledge Evidence</w:t>
      </w:r>
    </w:p>
    <w:tbl>
      <w:tblPr>
        <w:tblW w:w="9497" w:type="dxa"/>
        <w:tblLayout w:type="fixed"/>
        <w:tblCellMar>
          <w:left w:w="62" w:type="dxa"/>
          <w:right w:w="62" w:type="dxa"/>
        </w:tblCellMar>
        <w:tblLook w:val="0000"/>
      </w:tblPr>
      <w:tblGrid>
        <w:gridCol w:w="9497"/>
      </w:tblGrid>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6EDF">
            <w:pPr>
              <w:pStyle w:val="BodyText"/>
              <w:rPr>
                <w:lang w:val="en-NZ"/>
              </w:rPr>
            </w:pPr>
            <w:r w:rsidRPr="00BE6EDF">
              <w:t>Evidence required to demonstrate competence in this unit must be relevant to and satisfy all of the requirements of the element</w:t>
            </w:r>
            <w:r w:rsidRPr="00BE6EDF">
              <w:t xml:space="preserve">s and performance criteria and include knowledge of: </w:t>
            </w:r>
          </w:p>
        </w:tc>
      </w:tr>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EDF" w:rsidP="00BE6EDF">
            <w:pPr>
              <w:pStyle w:val="ListBullet"/>
            </w:pPr>
            <w:r w:rsidRPr="00BE6EDF">
              <w:t>key features of cultural, linguistic and religious diversity within relevant communities and groups</w:t>
            </w:r>
          </w:p>
          <w:p w:rsidR="00000000" w:rsidRPr="00BE6EDF" w:rsidP="00BE6EDF">
            <w:pPr>
              <w:pStyle w:val="ListBullet"/>
            </w:pPr>
            <w:r w:rsidRPr="00BE6EDF">
              <w:t>current Commonwealth, state or territory legislation pertaining to discrimination</w:t>
            </w:r>
          </w:p>
          <w:p w:rsidR="00000000" w:rsidRPr="00BE6EDF" w:rsidP="00BE6EDF">
            <w:pPr>
              <w:pStyle w:val="ListBullet"/>
            </w:pPr>
            <w:r w:rsidRPr="00BE6EDF">
              <w:t>external support agencies, their powers and services</w:t>
            </w:r>
          </w:p>
          <w:p w:rsidR="00000000" w:rsidRPr="00BE6EDF" w:rsidP="00BE6EDF">
            <w:pPr>
              <w:pStyle w:val="ListBullet"/>
            </w:pPr>
            <w:r w:rsidRPr="00BE6EDF">
              <w:t>jurisdictional customer service charters, codes of ethics and codes of conduct</w:t>
            </w:r>
          </w:p>
          <w:p w:rsidR="00000000" w:rsidRPr="00BE6EDF" w:rsidP="00BE6EDF">
            <w:pPr>
              <w:pStyle w:val="ListBullet"/>
            </w:pPr>
            <w:r w:rsidRPr="00BE6EDF">
              <w:t xml:space="preserve">effective communication and engagement strategies </w:t>
            </w:r>
          </w:p>
          <w:p w:rsidR="00000000" w:rsidRPr="00BE6EDF" w:rsidP="00BE6EDF">
            <w:pPr>
              <w:pStyle w:val="ListBullet"/>
            </w:pPr>
            <w:r w:rsidRPr="00BE6EDF">
              <w:t>relevant community members and groups</w:t>
            </w:r>
          </w:p>
          <w:p w:rsidR="00000000" w:rsidRPr="00BE6EDF" w:rsidP="00BE6EDF">
            <w:pPr>
              <w:pStyle w:val="ListBullet"/>
            </w:pPr>
            <w:r w:rsidRPr="00BE6EDF">
              <w:t xml:space="preserve">conflict resolution techniques </w:t>
            </w:r>
          </w:p>
          <w:p w:rsidR="00000000" w:rsidRPr="00BE6EDF" w:rsidP="00BE6EDF">
            <w:pPr>
              <w:pStyle w:val="ListBullet"/>
            </w:pPr>
            <w:r w:rsidRPr="00BE6EDF">
              <w:t>str</w:t>
            </w:r>
            <w:r w:rsidRPr="00BE6EDF">
              <w:t xml:space="preserve">ategies for collaboration and negotiation. </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14" w:name="O_1245822"/>
      <w:bookmarkEnd w:id="14"/>
      <w:r w:rsidRPr="00BE6EDF">
        <w:t>Assessment Conditions</w:t>
      </w:r>
    </w:p>
    <w:tbl>
      <w:tblPr>
        <w:tblW w:w="9497" w:type="dxa"/>
        <w:tblLayout w:type="fixed"/>
        <w:tblCellMar>
          <w:left w:w="62" w:type="dxa"/>
          <w:right w:w="62" w:type="dxa"/>
        </w:tblCellMar>
        <w:tblLook w:val="0000"/>
      </w:tblPr>
      <w:tblGrid>
        <w:gridCol w:w="9497"/>
      </w:tblGrid>
      <w:tr w:rsidTr="00BE6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EDF" w:rsidP="00BE6EDF">
            <w:pPr>
              <w:pStyle w:val="BodyText"/>
            </w:pPr>
            <w:r w:rsidRPr="00BE6EDF">
              <w:t>Assessors must hold credentials specified within the Standards for Registered Training Organisations current at the time of assessment.</w:t>
            </w:r>
          </w:p>
          <w:p w:rsidR="00000000" w:rsidRPr="00BE6EDF" w:rsidP="00BE6EDF">
            <w:pPr>
              <w:pStyle w:val="BodyText"/>
            </w:pPr>
            <w:r w:rsidRPr="00BE6EDF">
              <w:t>Assessment must satisfy the Principles of Assessment and Rules of Evidence and all regulatory requirements included within the Standards for Registered Training Organisations current at the time of assessment.</w:t>
            </w:r>
          </w:p>
          <w:p w:rsidR="00000000" w:rsidRPr="00BE6EDF" w:rsidP="00BE6EDF">
            <w:pPr>
              <w:pStyle w:val="BodyText"/>
            </w:pPr>
            <w:r w:rsidRPr="00BE6EDF">
              <w:t>Assessment processes and techniques must be ap</w:t>
            </w:r>
            <w:r w:rsidRPr="00BE6EDF">
              <w:t>propriate to the language, literacy and numeracy requirements of the work being performed and the needs of the candidate.</w:t>
            </w:r>
          </w:p>
          <w:p w:rsidR="00000000" w:rsidRPr="00BE6EDF" w:rsidP="00BE6EDF">
            <w:pPr>
              <w:pStyle w:val="BodyText"/>
            </w:pPr>
            <w:r w:rsidRPr="00BE6EDF">
              <w:t>Assessment must occur in workplace operational situations. Where this is not appropriate, such as in situations that can affect safety</w:t>
            </w:r>
            <w:r w:rsidRPr="00BE6EDF">
              <w:t xml:space="preserve"> or occur only rarely, assessment can occur in simulated workplace operational situations that reflect workplace conditions.</w:t>
            </w:r>
          </w:p>
          <w:p w:rsidR="00000000" w:rsidRPr="00BE6EDF" w:rsidP="00BE6EDF">
            <w:pPr>
              <w:pStyle w:val="BodyText"/>
            </w:pPr>
            <w:r w:rsidRPr="00BE6EDF">
              <w:t>Resources for assessment must include access to:</w:t>
            </w:r>
          </w:p>
          <w:p w:rsidR="00000000" w:rsidRPr="00BE6EDF" w:rsidP="00BE6EDF">
            <w:pPr>
              <w:pStyle w:val="ListBullet"/>
            </w:pPr>
            <w:r w:rsidRPr="00BE6EDF">
              <w:t>a range of relevant exercises, case studies and/or other simulations</w:t>
            </w:r>
          </w:p>
          <w:p w:rsidR="00000000" w:rsidRPr="00BE6EDF" w:rsidP="00BE6EDF">
            <w:pPr>
              <w:pStyle w:val="ListBullet"/>
            </w:pPr>
            <w:r w:rsidRPr="00BE6EDF">
              <w:t>relevant and</w:t>
            </w:r>
            <w:r w:rsidRPr="00BE6EDF">
              <w:t xml:space="preserve"> appropriate materials, tools, equipment and personal protective equipment (PPE) currently used in industry</w:t>
            </w:r>
          </w:p>
          <w:p w:rsidR="00000000" w:rsidRPr="00BE6EDF" w:rsidP="00BE6EDF">
            <w:pPr>
              <w:pStyle w:val="ListBullet"/>
            </w:pPr>
            <w:r w:rsidRPr="00BE6EDF">
              <w:t>applicable documentation, including workplace procedures, regulations, codes of practice and operation manuals.</w:t>
            </w:r>
          </w:p>
        </w:tc>
      </w:tr>
    </w:tbl>
    <w:p w:rsidR="00000000" w:rsidRPr="00BE6EDF" w:rsidP="00BE6EDF">
      <w:pPr>
        <w:pStyle w:val="NoPaddingFontSize1"/>
      </w:pPr>
    </w:p>
    <w:p w:rsidR="00000000" w:rsidRPr="00BE6EDF" w:rsidP="00BE6EDF">
      <w:pPr>
        <w:pStyle w:val="AllowPageBreak"/>
      </w:pPr>
    </w:p>
    <w:p w:rsidR="00000000" w:rsidRPr="00BE6EDF" w:rsidP="00BE6EDF">
      <w:pPr>
        <w:pStyle w:val="Heading1"/>
      </w:pPr>
      <w:bookmarkStart w:id="15" w:name="O_1245825"/>
      <w:bookmarkEnd w:id="15"/>
      <w:r w:rsidRPr="00BE6EDF">
        <w:t>Links</w:t>
      </w:r>
    </w:p>
    <w:p w:rsidR="00000000" w:rsidRPr="00BE6EDF" w:rsidP="00EA1C2D">
      <w:pPr>
        <w:pStyle w:val="BodyText"/>
      </w:pPr>
      <w:r w:rsidRPr="00BE6EDF">
        <w:t>Companion</w:t>
      </w:r>
      <w:r w:rsidRPr="00BE6EDF">
        <w:t xml:space="preserve"> Volume Implementation Guides can be found on VETNet - - </w:t>
      </w:r>
      <w:r>
        <w:fldChar w:fldCharType="begin"/>
      </w:r>
      <w:r>
        <w:instrText xml:space="preserve"> HYPERLINK "https://vetnet.gov.au/Pages/TrainingDocs.aspx?q=98c3984e-2cf1-48a8-8ed1-85e4b92e7351" </w:instrText>
      </w:r>
      <w:r>
        <w:fldChar w:fldCharType="separate"/>
      </w:r>
      <w:r w:rsidRPr="00576296">
        <w:rPr>
          <w:rStyle w:val="Hyperlink"/>
        </w:rPr>
        <w:t>https://vetnet.gov.au/Pages/TrainingDocs.aspx?q=98c3984e-2cf1-48a8-8ed1-85e4b92e7351</w:t>
      </w:r>
      <w:r>
        <w:fldChar w:fldCharType="end"/>
      </w:r>
    </w:p>
    <w:p w:rsidR="00000000" w:rsidRPr="00BE6EDF" w:rsidP="00BE6EDF"/>
    <w:sectPr w:rsidSect="00BE6E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EDF" w:rsidRPr="00EA1C2D" w:rsidP="00EA1C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C2D" w:rsidP="00BE6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C2D" w:rsidP="00BE6E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A1C2D" w:rsidP="00BE6E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EDF" w:rsidP="00BE6EDF">
    <w:pPr>
      <w:pStyle w:val="Footer"/>
      <w:framePr w:wrap="around"/>
    </w:pPr>
    <w:r>
      <w:fldChar w:fldCharType="begin"/>
    </w:r>
    <w:r>
      <w:instrText xml:space="preserve"> DOCPROPERTY  Subject  \* MERGEFORMAT </w:instrText>
    </w:r>
    <w:r>
      <w:fldChar w:fldCharType="separate"/>
    </w:r>
    <w:r w:rsidR="00EA1C2D">
      <w:t>Approved</w:t>
    </w:r>
    <w:r w:rsidR="00EA1C2D">
      <w:fldChar w:fldCharType="end"/>
    </w:r>
    <w:r>
      <w:tab/>
      <w:t xml:space="preserve">Page </w:t>
    </w:r>
    <w:r>
      <w:fldChar w:fldCharType="begin"/>
    </w:r>
    <w:r>
      <w:instrText xml:space="preserve"> PAGE  \* Arabic  \* MERGEFORMAT </w:instrText>
    </w:r>
    <w:r>
      <w:fldChar w:fldCharType="separate"/>
    </w:r>
    <w:r w:rsidR="00EA1C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1C2D">
      <w:rPr>
        <w:noProof/>
      </w:rPr>
      <w:t>4</w:t>
    </w:r>
    <w:r>
      <w:rPr>
        <w:noProof/>
      </w:rPr>
      <w:fldChar w:fldCharType="end"/>
    </w:r>
  </w:p>
  <w:p w:rsidR="00BE6EDF" w:rsidP="00BE6EDF">
    <w:pPr>
      <w:pStyle w:val="Footer"/>
      <w:framePr w:wrap="around"/>
    </w:pPr>
    <w:r>
      <w:t xml:space="preserve">© Commonwealth of Australia, </w:t>
    </w:r>
    <w:r>
      <w:fldChar w:fldCharType="begin"/>
    </w:r>
    <w:r>
      <w:instrText xml:space="preserve"> DATE  \@ "yyyy"  \* MERGEFORMAT </w:instrText>
    </w:r>
    <w:r>
      <w:fldChar w:fldCharType="separate"/>
    </w:r>
    <w:r w:rsidR="00EA1C2D">
      <w:rPr>
        <w:noProof/>
      </w:rPr>
      <w:t>2025</w:t>
    </w:r>
    <w:r>
      <w:fldChar w:fldCharType="end"/>
    </w:r>
    <w:r>
      <w:tab/>
    </w:r>
    <w:r>
      <w:fldChar w:fldCharType="begin"/>
    </w:r>
    <w:r>
      <w:instrText xml:space="preserve"> DOCPROPERTY  Author  \* MERGEFORMAT </w:instrText>
    </w:r>
    <w:r>
      <w:fldChar w:fldCharType="separate"/>
    </w:r>
    <w:r w:rsidR="00EA1C2D">
      <w:t>Public Skills Australia</w:t>
    </w:r>
    <w:r w:rsidR="00EA1C2D">
      <w:fldChar w:fldCharType="end"/>
    </w:r>
  </w:p>
  <w:p w:rsidR="00BE6EDF" w:rsidP="00BE6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C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EDF" w:rsidRPr="00EA1C2D" w:rsidP="00EA1C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C2D" w:rsidRPr="002D2AF8" w:rsidP="00BE6EDF">
    <w:pPr>
      <w:pStyle w:val="Header"/>
      <w:framePr w:wrap="around"/>
    </w:pPr>
    <w:r>
      <w:fldChar w:fldCharType="begin"/>
    </w:r>
    <w:r>
      <w:instrText xml:space="preserve"> TITLE   \* MERGEFORMAT </w:instrText>
    </w:r>
    <w:r>
      <w:fldChar w:fldCharType="separate"/>
    </w:r>
    <w:r>
      <w:t>POLAUX026 Promote engagement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1C2D" w:rsidP="00BE6E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EDF" w:rsidRPr="002D2AF8" w:rsidP="00BE6EDF">
    <w:pPr>
      <w:pStyle w:val="Header"/>
      <w:framePr w:wrap="around"/>
    </w:pPr>
    <w:r>
      <w:fldChar w:fldCharType="begin"/>
    </w:r>
    <w:r>
      <w:instrText xml:space="preserve"> TITLE   \* MERGEFORMAT </w:instrText>
    </w:r>
    <w:r>
      <w:fldChar w:fldCharType="separate"/>
    </w:r>
    <w:r w:rsidR="00EA1C2D">
      <w:t>POLAUX026 Promote engagement in a policing environment</w:t>
    </w:r>
    <w:r w:rsidR="00EA1C2D">
      <w:fldChar w:fldCharType="end"/>
    </w:r>
    <w:r>
      <w:tab/>
      <w:t xml:space="preserve">Date this document was generated: </w:t>
    </w:r>
    <w:r>
      <w:fldChar w:fldCharType="begin"/>
    </w:r>
    <w:r>
      <w:instrText xml:space="preserve"> CREATEDATE  \@ "d MMMM yyyy"  \* MERGEFORMAT </w:instrText>
    </w:r>
    <w:r>
      <w:fldChar w:fldCharType="separate"/>
    </w:r>
    <w:r w:rsidR="00EA1C2D">
      <w:rPr>
        <w:noProof/>
      </w:rPr>
      <w:t>2 March 2025</w:t>
    </w:r>
    <w:r>
      <w:fldChar w:fldCharType="end"/>
    </w:r>
  </w:p>
  <w:p w:rsidR="00BE6EDF" w:rsidP="00BE6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2885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0812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EDF"/>
    <w:pPr>
      <w:spacing w:before="360" w:after="60"/>
      <w:outlineLvl w:val="0"/>
    </w:pPr>
    <w:rPr>
      <w:sz w:val="32"/>
    </w:rPr>
  </w:style>
  <w:style w:type="paragraph" w:styleId="Heading2">
    <w:name w:val="heading 2"/>
    <w:basedOn w:val="HeadingBase"/>
    <w:next w:val="BodyText"/>
    <w:link w:val="Heading2Char"/>
    <w:qFormat/>
    <w:rsid w:val="00BE6EDF"/>
    <w:pPr>
      <w:keepLines/>
      <w:spacing w:before="240" w:after="120"/>
      <w:outlineLvl w:val="1"/>
    </w:pPr>
    <w:rPr>
      <w:sz w:val="28"/>
      <w:szCs w:val="40"/>
    </w:rPr>
  </w:style>
  <w:style w:type="paragraph" w:styleId="Heading3">
    <w:name w:val="heading 3"/>
    <w:basedOn w:val="HeadingBase"/>
    <w:next w:val="BodyText"/>
    <w:link w:val="Heading3Char"/>
    <w:qFormat/>
    <w:rsid w:val="00BE6EDF"/>
    <w:pPr>
      <w:spacing w:before="180" w:after="120"/>
      <w:outlineLvl w:val="2"/>
    </w:pPr>
    <w:rPr>
      <w:spacing w:val="-10"/>
      <w:kern w:val="32"/>
    </w:rPr>
  </w:style>
  <w:style w:type="paragraph" w:styleId="Heading4">
    <w:name w:val="heading 4"/>
    <w:basedOn w:val="HeadingBase"/>
    <w:next w:val="BodyText"/>
    <w:link w:val="Heading4Char"/>
    <w:qFormat/>
    <w:rsid w:val="00BE6EDF"/>
    <w:pPr>
      <w:spacing w:before="160" w:after="120"/>
      <w:outlineLvl w:val="3"/>
    </w:pPr>
    <w:rPr>
      <w:sz w:val="22"/>
    </w:rPr>
  </w:style>
  <w:style w:type="paragraph" w:styleId="Heading5">
    <w:name w:val="heading 5"/>
    <w:basedOn w:val="HeadingBase"/>
    <w:next w:val="Normal"/>
    <w:link w:val="Heading5Char"/>
    <w:qFormat/>
    <w:rsid w:val="00BE6EDF"/>
    <w:pPr>
      <w:spacing w:before="80"/>
      <w:outlineLvl w:val="4"/>
    </w:pPr>
    <w:rPr>
      <w:color w:val="918585"/>
      <w:sz w:val="20"/>
    </w:rPr>
  </w:style>
  <w:style w:type="paragraph" w:styleId="Heading6">
    <w:name w:val="heading 6"/>
    <w:basedOn w:val="HeadingBase"/>
    <w:next w:val="Normal"/>
    <w:link w:val="Heading6Char"/>
    <w:qFormat/>
    <w:rsid w:val="00BE6EDF"/>
    <w:pPr>
      <w:spacing w:before="60"/>
      <w:outlineLvl w:val="5"/>
    </w:pPr>
    <w:rPr>
      <w:color w:val="918585"/>
      <w:sz w:val="20"/>
    </w:rPr>
  </w:style>
  <w:style w:type="paragraph" w:styleId="Heading7">
    <w:name w:val="heading 7"/>
    <w:basedOn w:val="Normal"/>
    <w:next w:val="Normal"/>
    <w:link w:val="Heading7Char"/>
    <w:qFormat/>
    <w:rsid w:val="00BE6EDF"/>
    <w:pPr>
      <w:ind w:left="720"/>
      <w:outlineLvl w:val="6"/>
    </w:pPr>
    <w:rPr>
      <w:i/>
    </w:rPr>
  </w:style>
  <w:style w:type="paragraph" w:styleId="Heading8">
    <w:name w:val="heading 8"/>
    <w:basedOn w:val="Normal"/>
    <w:next w:val="Normal"/>
    <w:link w:val="Heading8Char"/>
    <w:qFormat/>
    <w:rsid w:val="00BE6EDF"/>
    <w:pPr>
      <w:ind w:left="720"/>
      <w:outlineLvl w:val="7"/>
    </w:pPr>
    <w:rPr>
      <w:i/>
    </w:rPr>
  </w:style>
  <w:style w:type="paragraph" w:styleId="Heading9">
    <w:name w:val="heading 9"/>
    <w:basedOn w:val="Normal"/>
    <w:next w:val="Normal"/>
    <w:link w:val="Heading9Char"/>
    <w:qFormat/>
    <w:rsid w:val="00BE6EDF"/>
    <w:pPr>
      <w:ind w:left="720"/>
      <w:outlineLvl w:val="8"/>
    </w:pPr>
    <w:rPr>
      <w:i/>
    </w:rPr>
  </w:style>
  <w:style w:type="character" w:default="1" w:styleId="DefaultParagraphFont">
    <w:name w:val="Default Paragraph Font"/>
    <w:uiPriority w:val="1"/>
    <w:unhideWhenUsed/>
    <w:rsid w:val="00BE6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EDF"/>
  </w:style>
  <w:style w:type="character" w:customStyle="1" w:styleId="Heading1Char">
    <w:name w:val="Heading 1 Char"/>
    <w:basedOn w:val="DefaultParagraphFont"/>
    <w:link w:val="Heading1"/>
    <w:rsid w:val="00BE6EDF"/>
    <w:rPr>
      <w:rFonts w:ascii="Times New Roman" w:eastAsia="Times New Roman" w:hAnsi="Times New Roman" w:cs="Times New Roman"/>
      <w:b/>
      <w:sz w:val="32"/>
      <w:szCs w:val="20"/>
      <w:lang w:eastAsia="en-US"/>
    </w:rPr>
  </w:style>
  <w:style w:type="paragraph" w:styleId="BodyText">
    <w:name w:val="Body Text"/>
    <w:basedOn w:val="Normal"/>
    <w:link w:val="BodyTextChar"/>
    <w:rsid w:val="00BE6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EDF"/>
    <w:rPr>
      <w:rFonts w:ascii="Times New Roman" w:eastAsia="Times New Roman" w:hAnsi="Times New Roman" w:cs="Times New Roman"/>
      <w:sz w:val="24"/>
      <w:lang w:eastAsia="en-US"/>
    </w:rPr>
  </w:style>
  <w:style w:type="paragraph" w:styleId="ListBullet">
    <w:name w:val="List Bullet"/>
    <w:basedOn w:val="List"/>
    <w:rsid w:val="00BE6EDF"/>
    <w:pPr>
      <w:numPr>
        <w:numId w:val="11"/>
      </w:numPr>
      <w:tabs>
        <w:tab w:val="clear" w:pos="340"/>
      </w:tabs>
      <w:spacing w:before="40" w:after="40"/>
    </w:pPr>
  </w:style>
  <w:style w:type="character" w:customStyle="1" w:styleId="SpecialBold">
    <w:name w:val="Special Bold"/>
    <w:basedOn w:val="DefaultParagraphFont"/>
    <w:rsid w:val="00BE6EDF"/>
    <w:rPr>
      <w:b/>
      <w:spacing w:val="0"/>
    </w:rPr>
  </w:style>
  <w:style w:type="paragraph" w:customStyle="1" w:styleId="SuperHeading">
    <w:name w:val="SuperHeading"/>
    <w:basedOn w:val="Normal"/>
    <w:rsid w:val="00BE6EDF"/>
    <w:pPr>
      <w:spacing w:before="240" w:after="120"/>
      <w:outlineLvl w:val="0"/>
    </w:pPr>
    <w:rPr>
      <w:rFonts w:ascii="Times New Roman" w:hAnsi="Times New Roman"/>
      <w:b/>
      <w:sz w:val="32"/>
    </w:rPr>
  </w:style>
  <w:style w:type="paragraph" w:customStyle="1" w:styleId="AllowPageBreak">
    <w:name w:val="AllowPageBreak"/>
    <w:rsid w:val="00BE6E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6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EDF"/>
    <w:rPr>
      <w:rFonts w:ascii="Courier New" w:eastAsia="Times New Roman" w:hAnsi="Courier New" w:cs="Times New Roman"/>
      <w:i/>
      <w:szCs w:val="20"/>
      <w:lang w:eastAsia="en-US"/>
    </w:rPr>
  </w:style>
  <w:style w:type="paragraph" w:customStyle="1" w:styleId="HeadingBase">
    <w:name w:val="Heading Base"/>
    <w:rsid w:val="00BE6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EDF"/>
    <w:pPr>
      <w:tabs>
        <w:tab w:val="right" w:leader="dot" w:pos="9072"/>
      </w:tabs>
      <w:ind w:left="567"/>
    </w:pPr>
    <w:rPr>
      <w:szCs w:val="22"/>
    </w:rPr>
  </w:style>
  <w:style w:type="paragraph" w:customStyle="1" w:styleId="TOCBase">
    <w:name w:val="TOC Base"/>
    <w:rsid w:val="00BE6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EDF"/>
    <w:pPr>
      <w:tabs>
        <w:tab w:val="right" w:leader="dot" w:pos="9072"/>
      </w:tabs>
      <w:spacing w:before="40" w:after="40"/>
      <w:ind w:left="284"/>
    </w:pPr>
    <w:rPr>
      <w:rFonts w:ascii="Times New Roman" w:hAnsi="Times New Roman"/>
    </w:rPr>
  </w:style>
  <w:style w:type="paragraph" w:styleId="TOC1">
    <w:name w:val="toc 1"/>
    <w:basedOn w:val="TOCBase"/>
    <w:next w:val="Normal"/>
    <w:rsid w:val="00BE6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EDF"/>
    <w:rPr>
      <w:rFonts w:ascii="Times New Roman" w:eastAsia="Times New Roman" w:hAnsi="Times New Roman" w:cs="Times New Roman"/>
      <w:sz w:val="16"/>
      <w:lang w:eastAsia="en-US"/>
    </w:rPr>
  </w:style>
  <w:style w:type="paragraph" w:styleId="Title">
    <w:name w:val="Title"/>
    <w:basedOn w:val="HeadingBase"/>
    <w:link w:val="TitleChar"/>
    <w:qFormat/>
    <w:rsid w:val="00BE6EDF"/>
    <w:pPr>
      <w:spacing w:before="5040"/>
      <w:jc w:val="center"/>
    </w:pPr>
    <w:rPr>
      <w:sz w:val="48"/>
      <w:szCs w:val="72"/>
      <w:lang w:val="en-US"/>
    </w:rPr>
  </w:style>
  <w:style w:type="character" w:customStyle="1" w:styleId="TitleChar">
    <w:name w:val="Title Char"/>
    <w:basedOn w:val="DefaultParagraphFont"/>
    <w:link w:val="Title"/>
    <w:rsid w:val="00BE6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EDF"/>
    <w:pPr>
      <w:tabs>
        <w:tab w:val="left" w:pos="3600"/>
        <w:tab w:val="left" w:pos="3958"/>
      </w:tabs>
    </w:pPr>
  </w:style>
  <w:style w:type="paragraph" w:styleId="List">
    <w:name w:val="List"/>
    <w:basedOn w:val="BodyText"/>
    <w:next w:val="BodyText"/>
    <w:rsid w:val="00BE6EDF"/>
    <w:pPr>
      <w:tabs>
        <w:tab w:val="left" w:pos="340"/>
      </w:tabs>
      <w:spacing w:before="60" w:after="60"/>
      <w:ind w:left="340" w:hanging="340"/>
    </w:pPr>
  </w:style>
  <w:style w:type="paragraph" w:customStyle="1" w:styleId="Note">
    <w:name w:val="Note"/>
    <w:basedOn w:val="BodyText"/>
    <w:rsid w:val="00BE6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EDF"/>
    <w:pPr>
      <w:framePr w:wrap="auto" w:hAnchor="text" w:y="6049"/>
    </w:pPr>
    <w:rPr>
      <w:color w:val="000000"/>
      <w:sz w:val="40"/>
    </w:rPr>
  </w:style>
  <w:style w:type="paragraph" w:customStyle="1" w:styleId="TOCTitle">
    <w:name w:val="TOCTitle"/>
    <w:basedOn w:val="Heading1"/>
    <w:rsid w:val="00BE6EDF"/>
    <w:pPr>
      <w:spacing w:after="240"/>
      <w:jc w:val="center"/>
      <w:outlineLvl w:val="9"/>
    </w:pPr>
    <w:rPr>
      <w:caps/>
    </w:rPr>
  </w:style>
  <w:style w:type="paragraph" w:customStyle="1" w:styleId="Version">
    <w:name w:val="Version"/>
    <w:rsid w:val="00BE6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6EDF"/>
    <w:pPr>
      <w:numPr>
        <w:numId w:val="12"/>
      </w:numPr>
      <w:tabs>
        <w:tab w:val="clear" w:pos="680"/>
      </w:tabs>
    </w:pPr>
  </w:style>
  <w:style w:type="paragraph" w:styleId="Index1">
    <w:name w:val="index 1"/>
    <w:basedOn w:val="Normal"/>
    <w:next w:val="Normal"/>
    <w:semiHidden/>
    <w:rsid w:val="00BE6EDF"/>
    <w:pPr>
      <w:keepNext w:val="0"/>
      <w:tabs>
        <w:tab w:val="right" w:pos="4176"/>
      </w:tabs>
      <w:ind w:left="198" w:hanging="198"/>
    </w:pPr>
    <w:rPr>
      <w:rFonts w:ascii="Garamond" w:hAnsi="Garamond"/>
    </w:rPr>
  </w:style>
  <w:style w:type="paragraph" w:styleId="IndexHeading">
    <w:name w:val="index heading"/>
    <w:basedOn w:val="Normal"/>
    <w:next w:val="Index1"/>
    <w:semiHidden/>
    <w:rsid w:val="00BE6EDF"/>
    <w:pPr>
      <w:spacing w:before="120" w:after="120"/>
    </w:pPr>
    <w:rPr>
      <w:rFonts w:ascii="Arial" w:hAnsi="Arial"/>
      <w:b/>
      <w:color w:val="918585"/>
      <w:sz w:val="24"/>
    </w:rPr>
  </w:style>
  <w:style w:type="paragraph" w:styleId="Header">
    <w:name w:val="header"/>
    <w:basedOn w:val="Normal"/>
    <w:link w:val="HeaderChar"/>
    <w:rsid w:val="00BE6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EDF"/>
    <w:rPr>
      <w:rFonts w:ascii="Times New Roman" w:eastAsia="Times New Roman" w:hAnsi="Times New Roman" w:cs="Times New Roman"/>
      <w:sz w:val="16"/>
      <w:szCs w:val="20"/>
      <w:lang w:val="en-GB" w:eastAsia="en-US"/>
    </w:rPr>
  </w:style>
  <w:style w:type="paragraph" w:customStyle="1" w:styleId="Chapter">
    <w:name w:val="Chapter"/>
    <w:basedOn w:val="Normal"/>
    <w:rsid w:val="00BE6EDF"/>
    <w:pPr>
      <w:spacing w:before="240"/>
    </w:pPr>
    <w:rPr>
      <w:rFonts w:ascii="Times New Roman" w:hAnsi="Times New Roman"/>
      <w:smallCaps/>
      <w:spacing w:val="80"/>
      <w:sz w:val="28"/>
    </w:rPr>
  </w:style>
  <w:style w:type="paragraph" w:customStyle="1" w:styleId="InChapter">
    <w:name w:val="InChapter"/>
    <w:basedOn w:val="Heading3"/>
    <w:rsid w:val="00BE6EDF"/>
    <w:pPr>
      <w:spacing w:after="240"/>
      <w:outlineLvl w:val="9"/>
    </w:pPr>
    <w:rPr>
      <w:noProof/>
    </w:rPr>
  </w:style>
  <w:style w:type="paragraph" w:styleId="Index2">
    <w:name w:val="index 2"/>
    <w:basedOn w:val="Normal"/>
    <w:next w:val="Normal"/>
    <w:semiHidden/>
    <w:rsid w:val="00BE6EDF"/>
    <w:pPr>
      <w:tabs>
        <w:tab w:val="right" w:pos="4176"/>
      </w:tabs>
      <w:ind w:left="568" w:hanging="284"/>
    </w:pPr>
    <w:rPr>
      <w:rFonts w:ascii="Garamond" w:hAnsi="Garamond"/>
    </w:rPr>
  </w:style>
  <w:style w:type="paragraph" w:customStyle="1" w:styleId="Byline">
    <w:name w:val="Byline"/>
    <w:rsid w:val="00BE6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EDF"/>
    <w:pPr>
      <w:tabs>
        <w:tab w:val="clear" w:pos="3600"/>
        <w:tab w:val="clear" w:pos="3958"/>
      </w:tabs>
      <w:jc w:val="right"/>
    </w:pPr>
  </w:style>
  <w:style w:type="character" w:styleId="Emphasis">
    <w:name w:val="Emphasis"/>
    <w:basedOn w:val="DefaultParagraphFont"/>
    <w:qFormat/>
    <w:rsid w:val="00BE6EDF"/>
    <w:rPr>
      <w:i/>
    </w:rPr>
  </w:style>
  <w:style w:type="paragraph" w:styleId="Caption">
    <w:name w:val="caption"/>
    <w:basedOn w:val="BodyText"/>
    <w:next w:val="Normal"/>
    <w:qFormat/>
    <w:rsid w:val="00BE6EDF"/>
    <w:pPr>
      <w:framePr w:w="2268" w:hSpace="181" w:vSpace="181" w:wrap="around" w:vAnchor="text" w:hAnchor="page" w:x="1135" w:y="285" w:anchorLock="1"/>
    </w:pPr>
    <w:rPr>
      <w:i/>
    </w:rPr>
  </w:style>
  <w:style w:type="paragraph" w:customStyle="1" w:styleId="MiniTOCTitle">
    <w:name w:val="MiniTOCTitle"/>
    <w:basedOn w:val="Heading4"/>
    <w:rsid w:val="00BE6EDF"/>
    <w:pPr>
      <w:spacing w:before="240"/>
      <w:outlineLvl w:val="9"/>
    </w:pPr>
    <w:rPr>
      <w:noProof/>
      <w:sz w:val="24"/>
    </w:rPr>
  </w:style>
  <w:style w:type="paragraph" w:customStyle="1" w:styleId="MiniTOCItem">
    <w:name w:val="MiniTOCItem"/>
    <w:basedOn w:val="ListBullet"/>
    <w:rsid w:val="00BE6EDF"/>
    <w:pPr>
      <w:numPr>
        <w:numId w:val="0"/>
      </w:numPr>
      <w:tabs>
        <w:tab w:val="right" w:leader="dot" w:pos="6521"/>
      </w:tabs>
      <w:spacing w:before="0" w:after="0"/>
    </w:pPr>
  </w:style>
  <w:style w:type="paragraph" w:customStyle="1" w:styleId="TOFTitle">
    <w:name w:val="TOFTitle"/>
    <w:basedOn w:val="TOCTitle"/>
    <w:rsid w:val="00BE6EDF"/>
  </w:style>
  <w:style w:type="paragraph" w:styleId="TableofFigures">
    <w:name w:val="table of figures"/>
    <w:basedOn w:val="Normal"/>
    <w:next w:val="Normal"/>
    <w:semiHidden/>
    <w:rsid w:val="00BE6EDF"/>
    <w:pPr>
      <w:tabs>
        <w:tab w:val="right" w:leader="dot" w:pos="9072"/>
      </w:tabs>
      <w:ind w:left="970" w:hanging="403"/>
    </w:pPr>
    <w:rPr>
      <w:rFonts w:ascii="Times New Roman" w:hAnsi="Times New Roman"/>
      <w:b/>
    </w:rPr>
  </w:style>
  <w:style w:type="paragraph" w:styleId="ListNumber">
    <w:name w:val="List Number"/>
    <w:basedOn w:val="List"/>
    <w:rsid w:val="00BE6EDF"/>
    <w:pPr>
      <w:numPr>
        <w:numId w:val="14"/>
      </w:numPr>
      <w:tabs>
        <w:tab w:val="clear" w:pos="340"/>
      </w:tabs>
    </w:pPr>
  </w:style>
  <w:style w:type="character" w:customStyle="1" w:styleId="WingdingSymbols">
    <w:name w:val="Wingding Symbols"/>
    <w:rsid w:val="00BE6EDF"/>
    <w:rPr>
      <w:rFonts w:ascii="Wingdings" w:hAnsi="Wingdings"/>
    </w:rPr>
  </w:style>
  <w:style w:type="paragraph" w:customStyle="1" w:styleId="TableHeading">
    <w:name w:val="Table Heading"/>
    <w:basedOn w:val="HeadingBase"/>
    <w:rsid w:val="00BE6EDF"/>
    <w:pPr>
      <w:keepLines/>
      <w:pBdr>
        <w:bottom w:val="single" w:sz="6" w:space="1" w:color="918585"/>
      </w:pBdr>
      <w:spacing w:before="240"/>
    </w:pPr>
  </w:style>
  <w:style w:type="character" w:customStyle="1" w:styleId="HotSpot">
    <w:name w:val="HotSpot"/>
    <w:rsid w:val="00BE6EDF"/>
    <w:rPr>
      <w:color w:val="0033CC"/>
      <w:u w:val="none"/>
    </w:rPr>
  </w:style>
  <w:style w:type="paragraph" w:customStyle="1" w:styleId="BodyTextRight">
    <w:name w:val="Body Text Right"/>
    <w:basedOn w:val="BodyText"/>
    <w:rsid w:val="00BE6EDF"/>
    <w:pPr>
      <w:spacing w:before="0" w:after="0"/>
      <w:jc w:val="right"/>
    </w:pPr>
  </w:style>
  <w:style w:type="paragraph" w:styleId="Index3">
    <w:name w:val="index 3"/>
    <w:basedOn w:val="ListNumber2"/>
    <w:next w:val="Normal"/>
    <w:semiHidden/>
    <w:rsid w:val="00BE6EDF"/>
    <w:pPr>
      <w:numPr>
        <w:numId w:val="0"/>
      </w:numPr>
      <w:tabs>
        <w:tab w:val="right" w:leader="dot" w:pos="4176"/>
      </w:tabs>
    </w:pPr>
  </w:style>
  <w:style w:type="paragraph" w:styleId="ListNumber2">
    <w:name w:val="List Number 2"/>
    <w:basedOn w:val="List2"/>
    <w:rsid w:val="00BE6EDF"/>
    <w:pPr>
      <w:numPr>
        <w:numId w:val="9"/>
      </w:numPr>
      <w:tabs>
        <w:tab w:val="clear" w:pos="1060"/>
      </w:tabs>
    </w:pPr>
  </w:style>
  <w:style w:type="paragraph" w:customStyle="1" w:styleId="MarginNote">
    <w:name w:val="Margin Note"/>
    <w:basedOn w:val="BodyText"/>
    <w:rsid w:val="00BE6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EDF"/>
    <w:rPr>
      <w:sz w:val="32"/>
    </w:rPr>
  </w:style>
  <w:style w:type="paragraph" w:customStyle="1" w:styleId="HeadingProcedure">
    <w:name w:val="Heading Procedure"/>
    <w:basedOn w:val="HeadingBase"/>
    <w:next w:val="Normal"/>
    <w:rsid w:val="00BE6EDF"/>
    <w:pPr>
      <w:tabs>
        <w:tab w:val="left" w:pos="0"/>
      </w:tabs>
      <w:spacing w:before="120" w:after="60"/>
    </w:pPr>
    <w:rPr>
      <w:i/>
      <w:color w:val="918585"/>
      <w:sz w:val="22"/>
    </w:rPr>
  </w:style>
  <w:style w:type="paragraph" w:customStyle="1" w:styleId="TableBodyText">
    <w:name w:val="Table Body Text"/>
    <w:basedOn w:val="BodyText"/>
    <w:rsid w:val="00BE6EDF"/>
    <w:pPr>
      <w:spacing w:before="60" w:after="60"/>
    </w:pPr>
  </w:style>
  <w:style w:type="paragraph" w:styleId="ListContinue">
    <w:name w:val="List Continue"/>
    <w:basedOn w:val="List"/>
    <w:rsid w:val="00BE6EDF"/>
    <w:pPr>
      <w:ind w:firstLine="0"/>
    </w:pPr>
  </w:style>
  <w:style w:type="paragraph" w:customStyle="1" w:styleId="ListNote">
    <w:name w:val="List Note"/>
    <w:basedOn w:val="List"/>
    <w:rsid w:val="00BE6EDF"/>
    <w:pPr>
      <w:pBdr>
        <w:top w:val="single" w:sz="6" w:space="2" w:color="918585"/>
        <w:bottom w:val="single" w:sz="6" w:space="2" w:color="918585"/>
      </w:pBdr>
      <w:tabs>
        <w:tab w:val="left" w:pos="1021"/>
      </w:tabs>
      <w:ind w:firstLine="0"/>
    </w:pPr>
  </w:style>
  <w:style w:type="paragraph" w:customStyle="1" w:styleId="Warning">
    <w:name w:val="Warning"/>
    <w:basedOn w:val="BodyText"/>
    <w:rsid w:val="00BE6EDF"/>
    <w:pPr>
      <w:shd w:val="clear" w:color="auto" w:fill="D9D9D9"/>
      <w:tabs>
        <w:tab w:val="left" w:pos="992"/>
      </w:tabs>
      <w:ind w:left="119" w:right="119"/>
    </w:pPr>
    <w:rPr>
      <w:sz w:val="20"/>
    </w:rPr>
  </w:style>
  <w:style w:type="paragraph" w:customStyle="1" w:styleId="MarginIcons">
    <w:name w:val="Margin Icons"/>
    <w:basedOn w:val="BodyText"/>
    <w:rsid w:val="00BE6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EDF"/>
    <w:rPr>
      <w:rFonts w:ascii="Courier New" w:hAnsi="Courier New"/>
    </w:rPr>
  </w:style>
  <w:style w:type="paragraph" w:customStyle="1" w:styleId="NoteBullet">
    <w:name w:val="Note Bullet"/>
    <w:basedOn w:val="Note"/>
    <w:rsid w:val="00BE6EDF"/>
    <w:pPr>
      <w:tabs>
        <w:tab w:val="clear" w:pos="680"/>
      </w:tabs>
      <w:spacing w:before="60" w:after="60"/>
    </w:pPr>
  </w:style>
  <w:style w:type="paragraph" w:customStyle="1" w:styleId="SubHeading2">
    <w:name w:val="SubHeading2"/>
    <w:basedOn w:val="HeadingBase"/>
    <w:rsid w:val="00BE6EDF"/>
    <w:pPr>
      <w:spacing w:before="240" w:after="60"/>
    </w:pPr>
    <w:rPr>
      <w:sz w:val="20"/>
    </w:rPr>
  </w:style>
  <w:style w:type="paragraph" w:customStyle="1" w:styleId="SubHeading1">
    <w:name w:val="SubHeading1"/>
    <w:basedOn w:val="HeadingBase"/>
    <w:rsid w:val="00BE6EDF"/>
    <w:pPr>
      <w:spacing w:before="240" w:after="60"/>
    </w:pPr>
    <w:rPr>
      <w:color w:val="918585"/>
      <w:sz w:val="22"/>
    </w:rPr>
  </w:style>
  <w:style w:type="paragraph" w:customStyle="1" w:styleId="SideHeading">
    <w:name w:val="Side Heading"/>
    <w:basedOn w:val="HeadingBase"/>
    <w:rsid w:val="00BE6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EDF"/>
    <w:pPr>
      <w:numPr>
        <w:numId w:val="10"/>
      </w:numPr>
    </w:pPr>
  </w:style>
  <w:style w:type="paragraph" w:styleId="PlainText">
    <w:name w:val="Plain Text"/>
    <w:basedOn w:val="Normal"/>
    <w:link w:val="PlainTextChar"/>
    <w:rsid w:val="00BE6EDF"/>
    <w:rPr>
      <w:sz w:val="20"/>
    </w:rPr>
  </w:style>
  <w:style w:type="character" w:customStyle="1" w:styleId="PlainTextChar">
    <w:name w:val="Plain Text Char"/>
    <w:basedOn w:val="DefaultParagraphFont"/>
    <w:link w:val="PlainText"/>
    <w:rsid w:val="00BE6EDF"/>
    <w:rPr>
      <w:rFonts w:ascii="Courier New" w:eastAsia="Times New Roman" w:hAnsi="Courier New" w:cs="Times New Roman"/>
      <w:sz w:val="20"/>
      <w:szCs w:val="20"/>
      <w:lang w:eastAsia="en-US"/>
    </w:rPr>
  </w:style>
  <w:style w:type="character" w:customStyle="1" w:styleId="MenuOption">
    <w:name w:val="Menu Option"/>
    <w:basedOn w:val="DefaultParagraphFont"/>
    <w:rsid w:val="00BE6EDF"/>
    <w:rPr>
      <w:b/>
      <w:smallCaps/>
    </w:rPr>
  </w:style>
  <w:style w:type="paragraph" w:customStyle="1" w:styleId="TableListNumber">
    <w:name w:val="Table List Number"/>
    <w:basedOn w:val="ListNumber"/>
    <w:rsid w:val="00BE6EDF"/>
    <w:pPr>
      <w:numPr>
        <w:numId w:val="0"/>
      </w:numPr>
    </w:pPr>
  </w:style>
  <w:style w:type="paragraph" w:styleId="TOC4">
    <w:name w:val="toc 4"/>
    <w:basedOn w:val="TOCBase"/>
    <w:next w:val="Normal"/>
    <w:semiHidden/>
    <w:rsid w:val="00BE6EDF"/>
    <w:pPr>
      <w:tabs>
        <w:tab w:val="right" w:leader="dot" w:pos="9071"/>
      </w:tabs>
      <w:ind w:left="1701"/>
    </w:pPr>
  </w:style>
  <w:style w:type="paragraph" w:customStyle="1" w:styleId="ListAlpha">
    <w:name w:val="List Alpha"/>
    <w:basedOn w:val="List"/>
    <w:rsid w:val="00BE6EDF"/>
    <w:pPr>
      <w:numPr>
        <w:numId w:val="8"/>
      </w:numPr>
    </w:pPr>
  </w:style>
  <w:style w:type="paragraph" w:customStyle="1" w:styleId="ListAlpha2">
    <w:name w:val="List Alpha 2"/>
    <w:basedOn w:val="List2"/>
    <w:rsid w:val="00BE6EDF"/>
    <w:pPr>
      <w:numPr>
        <w:numId w:val="7"/>
      </w:numPr>
    </w:pPr>
  </w:style>
  <w:style w:type="paragraph" w:styleId="List2">
    <w:name w:val="List 2"/>
    <w:basedOn w:val="BodyText"/>
    <w:rsid w:val="00BE6EDF"/>
    <w:pPr>
      <w:tabs>
        <w:tab w:val="left" w:pos="680"/>
      </w:tabs>
      <w:spacing w:before="60" w:after="60"/>
      <w:ind w:left="680" w:hanging="340"/>
    </w:pPr>
  </w:style>
  <w:style w:type="paragraph" w:styleId="List3">
    <w:name w:val="List 3"/>
    <w:basedOn w:val="BodyText"/>
    <w:rsid w:val="00BE6EDF"/>
    <w:pPr>
      <w:tabs>
        <w:tab w:val="left" w:pos="1021"/>
      </w:tabs>
      <w:spacing w:before="60" w:after="60"/>
      <w:ind w:left="1020" w:hanging="340"/>
    </w:pPr>
  </w:style>
  <w:style w:type="paragraph" w:styleId="List4">
    <w:name w:val="List 4"/>
    <w:basedOn w:val="BodyText"/>
    <w:rsid w:val="00BE6EDF"/>
    <w:pPr>
      <w:tabs>
        <w:tab w:val="left" w:pos="1361"/>
      </w:tabs>
      <w:spacing w:before="60" w:after="60"/>
      <w:ind w:left="1361" w:hanging="340"/>
    </w:pPr>
  </w:style>
  <w:style w:type="paragraph" w:styleId="List5">
    <w:name w:val="List 5"/>
    <w:basedOn w:val="BodyText"/>
    <w:rsid w:val="00BE6EDF"/>
    <w:pPr>
      <w:tabs>
        <w:tab w:val="left" w:pos="1701"/>
      </w:tabs>
      <w:spacing w:before="60" w:after="60"/>
      <w:ind w:left="1701" w:hanging="340"/>
    </w:pPr>
  </w:style>
  <w:style w:type="paragraph" w:styleId="ListBullet3">
    <w:name w:val="List Bullet 3"/>
    <w:basedOn w:val="List3"/>
    <w:rsid w:val="00BE6EDF"/>
    <w:pPr>
      <w:numPr>
        <w:numId w:val="13"/>
      </w:numPr>
      <w:tabs>
        <w:tab w:val="clear" w:pos="1021"/>
      </w:tabs>
      <w:ind w:left="1037" w:hanging="357"/>
    </w:pPr>
  </w:style>
  <w:style w:type="paragraph" w:styleId="ListBullet4">
    <w:name w:val="List Bullet 4"/>
    <w:basedOn w:val="List4"/>
    <w:rsid w:val="00BE6EDF"/>
    <w:pPr>
      <w:numPr>
        <w:numId w:val="2"/>
      </w:numPr>
      <w:tabs>
        <w:tab w:val="clear" w:pos="1361"/>
      </w:tabs>
    </w:pPr>
  </w:style>
  <w:style w:type="paragraph" w:styleId="ListBullet5">
    <w:name w:val="List Bullet 5"/>
    <w:basedOn w:val="List5"/>
    <w:rsid w:val="00BE6EDF"/>
    <w:pPr>
      <w:numPr>
        <w:numId w:val="3"/>
      </w:numPr>
    </w:pPr>
  </w:style>
  <w:style w:type="paragraph" w:styleId="ListContinue2">
    <w:name w:val="List Continue 2"/>
    <w:basedOn w:val="List2"/>
    <w:rsid w:val="00BE6EDF"/>
    <w:pPr>
      <w:ind w:firstLine="0"/>
    </w:pPr>
  </w:style>
  <w:style w:type="paragraph" w:styleId="ListContinue3">
    <w:name w:val="List Continue 3"/>
    <w:basedOn w:val="List3"/>
    <w:rsid w:val="00BE6EDF"/>
    <w:pPr>
      <w:ind w:left="1021" w:firstLine="0"/>
    </w:pPr>
  </w:style>
  <w:style w:type="paragraph" w:styleId="ListContinue4">
    <w:name w:val="List Continue 4"/>
    <w:basedOn w:val="List4"/>
    <w:rsid w:val="00BE6EDF"/>
    <w:pPr>
      <w:ind w:firstLine="0"/>
    </w:pPr>
  </w:style>
  <w:style w:type="paragraph" w:styleId="ListContinue5">
    <w:name w:val="List Continue 5"/>
    <w:basedOn w:val="List5"/>
    <w:rsid w:val="00BE6EDF"/>
    <w:pPr>
      <w:ind w:firstLine="0"/>
    </w:pPr>
  </w:style>
  <w:style w:type="paragraph" w:styleId="ListNumber3">
    <w:name w:val="List Number 3"/>
    <w:basedOn w:val="List3"/>
    <w:rsid w:val="00BE6EDF"/>
    <w:pPr>
      <w:numPr>
        <w:numId w:val="4"/>
      </w:numPr>
    </w:pPr>
  </w:style>
  <w:style w:type="paragraph" w:styleId="ListNumber4">
    <w:name w:val="List Number 4"/>
    <w:basedOn w:val="List4"/>
    <w:rsid w:val="00BE6EDF"/>
    <w:pPr>
      <w:numPr>
        <w:numId w:val="5"/>
      </w:numPr>
    </w:pPr>
  </w:style>
  <w:style w:type="paragraph" w:styleId="ListNumber5">
    <w:name w:val="List Number 5"/>
    <w:basedOn w:val="List5"/>
    <w:rsid w:val="00BE6EDF"/>
    <w:pPr>
      <w:numPr>
        <w:numId w:val="6"/>
      </w:numPr>
    </w:pPr>
  </w:style>
  <w:style w:type="paragraph" w:styleId="BlockText">
    <w:name w:val="Block Text"/>
    <w:basedOn w:val="Normal"/>
    <w:rsid w:val="00BE6EDF"/>
    <w:pPr>
      <w:spacing w:after="120"/>
      <w:ind w:left="1440" w:right="1440"/>
    </w:pPr>
  </w:style>
  <w:style w:type="character" w:customStyle="1" w:styleId="Subscript">
    <w:name w:val="Subscript"/>
    <w:basedOn w:val="DefaultParagraphFont"/>
    <w:rsid w:val="00BE6EDF"/>
    <w:rPr>
      <w:sz w:val="16"/>
      <w:vertAlign w:val="subscript"/>
    </w:rPr>
  </w:style>
  <w:style w:type="character" w:customStyle="1" w:styleId="Superscript">
    <w:name w:val="Superscript"/>
    <w:basedOn w:val="DefaultParagraphFont"/>
    <w:rsid w:val="00BE6EDF"/>
    <w:rPr>
      <w:sz w:val="16"/>
      <w:vertAlign w:val="superscript"/>
    </w:rPr>
  </w:style>
  <w:style w:type="character" w:customStyle="1" w:styleId="Symbols">
    <w:name w:val="Symbols"/>
    <w:basedOn w:val="DefaultParagraphFont"/>
    <w:rsid w:val="00BE6EDF"/>
    <w:rPr>
      <w:rFonts w:ascii="Symbol" w:hAnsi="Symbol"/>
    </w:rPr>
  </w:style>
  <w:style w:type="character" w:customStyle="1" w:styleId="MenuOptions">
    <w:name w:val="Menu Options"/>
    <w:basedOn w:val="DefaultParagraphFont"/>
    <w:rsid w:val="00BE6EDF"/>
    <w:rPr>
      <w:rFonts w:ascii="Arial Narrow" w:hAnsi="Arial Narrow"/>
      <w:smallCaps/>
    </w:rPr>
  </w:style>
  <w:style w:type="character" w:customStyle="1" w:styleId="Buttons">
    <w:name w:val="Buttons"/>
    <w:basedOn w:val="DefaultParagraphFont"/>
    <w:rsid w:val="00BE6EDF"/>
    <w:rPr>
      <w:b/>
    </w:rPr>
  </w:style>
  <w:style w:type="character" w:customStyle="1" w:styleId="Underlined">
    <w:name w:val="Underlined"/>
    <w:basedOn w:val="DefaultParagraphFont"/>
    <w:rsid w:val="00BE6EDF"/>
    <w:rPr>
      <w:u w:val="single"/>
    </w:rPr>
  </w:style>
  <w:style w:type="paragraph" w:customStyle="1" w:styleId="TableBodyTextRight">
    <w:name w:val="Table Body Text Right"/>
    <w:basedOn w:val="TableBodyText"/>
    <w:rsid w:val="00BE6EDF"/>
    <w:pPr>
      <w:widowControl w:val="0"/>
      <w:autoSpaceDE w:val="0"/>
      <w:autoSpaceDN w:val="0"/>
      <w:adjustRightInd w:val="0"/>
      <w:jc w:val="right"/>
    </w:pPr>
    <w:rPr>
      <w:rFonts w:cs="Arial"/>
      <w:szCs w:val="18"/>
    </w:rPr>
  </w:style>
  <w:style w:type="paragraph" w:customStyle="1" w:styleId="CopyrightText">
    <w:name w:val="Copyright Text"/>
    <w:basedOn w:val="BodyText"/>
    <w:rsid w:val="00BE6EDF"/>
    <w:rPr>
      <w:sz w:val="18"/>
    </w:rPr>
  </w:style>
  <w:style w:type="paragraph" w:customStyle="1" w:styleId="BodySmallRight">
    <w:name w:val="Body Small Right"/>
    <w:basedOn w:val="BodyTextRight"/>
    <w:rsid w:val="00BE6EDF"/>
    <w:rPr>
      <w:sz w:val="18"/>
      <w:szCs w:val="18"/>
    </w:rPr>
  </w:style>
  <w:style w:type="paragraph" w:customStyle="1" w:styleId="MarginEdition">
    <w:name w:val="Margin Edition"/>
    <w:basedOn w:val="MarginNote"/>
    <w:rsid w:val="00BE6EDF"/>
    <w:pPr>
      <w:spacing w:before="0" w:after="0"/>
    </w:pPr>
    <w:rPr>
      <w:rFonts w:ascii="Times New Roman" w:hAnsi="Times New Roman"/>
      <w:color w:val="999999"/>
    </w:rPr>
  </w:style>
  <w:style w:type="paragraph" w:customStyle="1" w:styleId="Spacer">
    <w:name w:val="Spacer"/>
    <w:basedOn w:val="Normal"/>
    <w:rsid w:val="00BE6EDF"/>
    <w:rPr>
      <w:sz w:val="2"/>
      <w:szCs w:val="2"/>
    </w:rPr>
  </w:style>
  <w:style w:type="character" w:customStyle="1" w:styleId="Small">
    <w:name w:val="Small"/>
    <w:basedOn w:val="DefaultParagraphFont"/>
    <w:rsid w:val="00BE6EDF"/>
    <w:rPr>
      <w:sz w:val="16"/>
    </w:rPr>
  </w:style>
  <w:style w:type="paragraph" w:customStyle="1" w:styleId="WideTable">
    <w:name w:val="Wide Table"/>
    <w:basedOn w:val="Normal"/>
    <w:rsid w:val="00BE6EDF"/>
    <w:pPr>
      <w:ind w:left="-1418"/>
    </w:pPr>
    <w:rPr>
      <w:sz w:val="2"/>
      <w:szCs w:val="2"/>
    </w:rPr>
  </w:style>
  <w:style w:type="character" w:styleId="PageNumber">
    <w:name w:val="page number"/>
    <w:basedOn w:val="DefaultParagraphFont"/>
    <w:rsid w:val="00BE6EDF"/>
  </w:style>
  <w:style w:type="paragraph" w:styleId="Quote">
    <w:name w:val="Quote"/>
    <w:basedOn w:val="Heading1"/>
    <w:link w:val="QuoteChar"/>
    <w:qFormat/>
    <w:rsid w:val="00BE6EDF"/>
    <w:rPr>
      <w:b w:val="0"/>
      <w:sz w:val="72"/>
      <w:szCs w:val="72"/>
      <w:lang w:val="en-NZ"/>
    </w:rPr>
  </w:style>
  <w:style w:type="character" w:customStyle="1" w:styleId="QuoteChar">
    <w:name w:val="Quote Char"/>
    <w:basedOn w:val="DefaultParagraphFont"/>
    <w:link w:val="Quote"/>
    <w:rsid w:val="00BE6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EDF"/>
    <w:pPr>
      <w:pageBreakBefore/>
    </w:pPr>
  </w:style>
  <w:style w:type="paragraph" w:customStyle="1" w:styleId="Border">
    <w:name w:val="Border"/>
    <w:basedOn w:val="Normal"/>
    <w:qFormat/>
    <w:rsid w:val="00BE6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EDF"/>
    <w:rPr>
      <w:b/>
      <w:bCs/>
      <w:i/>
      <w:iCs/>
      <w:color w:val="auto"/>
    </w:rPr>
  </w:style>
  <w:style w:type="paragraph" w:styleId="IntenseQuote">
    <w:name w:val="Intense Quote"/>
    <w:basedOn w:val="Normal"/>
    <w:next w:val="Normal"/>
    <w:link w:val="IntenseQuoteChar"/>
    <w:uiPriority w:val="30"/>
    <w:qFormat/>
    <w:rsid w:val="00BE6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EDF"/>
    <w:rPr>
      <w:smallCaps/>
      <w:color w:val="auto"/>
      <w:u w:val="single"/>
    </w:rPr>
  </w:style>
  <w:style w:type="character" w:styleId="IntenseReference">
    <w:name w:val="Intense Reference"/>
    <w:basedOn w:val="DefaultParagraphFont"/>
    <w:uiPriority w:val="32"/>
    <w:qFormat/>
    <w:rsid w:val="00BE6EDF"/>
    <w:rPr>
      <w:b/>
      <w:bCs/>
      <w:smallCaps/>
      <w:color w:val="auto"/>
      <w:spacing w:val="5"/>
      <w:u w:val="single"/>
    </w:rPr>
  </w:style>
  <w:style w:type="paragraph" w:customStyle="1" w:styleId="2ColumnHeading">
    <w:name w:val="2Column Heading"/>
    <w:basedOn w:val="BodyText"/>
    <w:qFormat/>
    <w:rsid w:val="00BE6EDF"/>
    <w:pPr>
      <w:spacing w:after="60"/>
      <w:ind w:left="-2268"/>
    </w:pPr>
    <w:rPr>
      <w:b/>
    </w:rPr>
  </w:style>
  <w:style w:type="paragraph" w:customStyle="1" w:styleId="Heading1TOC">
    <w:name w:val="Heading1 TOC"/>
    <w:basedOn w:val="Normal"/>
    <w:qFormat/>
    <w:rsid w:val="00BE6EDF"/>
    <w:pPr>
      <w:spacing w:before="240" w:after="120"/>
    </w:pPr>
    <w:rPr>
      <w:rFonts w:ascii="Times New Roman" w:hAnsi="Times New Roman"/>
      <w:b/>
      <w:sz w:val="32"/>
    </w:rPr>
  </w:style>
  <w:style w:type="paragraph" w:customStyle="1" w:styleId="Heading2TOC">
    <w:name w:val="Heading2 TOC"/>
    <w:basedOn w:val="Normal"/>
    <w:qFormat/>
    <w:rsid w:val="00BE6EDF"/>
    <w:pPr>
      <w:spacing w:before="240" w:after="60"/>
    </w:pPr>
    <w:rPr>
      <w:rFonts w:ascii="Times New Roman" w:hAnsi="Times New Roman"/>
      <w:b/>
      <w:sz w:val="28"/>
    </w:rPr>
  </w:style>
  <w:style w:type="character" w:customStyle="1" w:styleId="Underline">
    <w:name w:val="Underline"/>
    <w:basedOn w:val="DefaultParagraphFont"/>
    <w:qFormat/>
    <w:rsid w:val="00BE6EDF"/>
    <w:rPr>
      <w:u w:val="single"/>
    </w:rPr>
  </w:style>
  <w:style w:type="character" w:customStyle="1" w:styleId="BoldandItalics">
    <w:name w:val="Bold and Italics"/>
    <w:qFormat/>
    <w:rsid w:val="00BE6EDF"/>
    <w:rPr>
      <w:b/>
      <w:i/>
      <w:u w:val="none"/>
    </w:rPr>
  </w:style>
  <w:style w:type="paragraph" w:styleId="BalloonText">
    <w:name w:val="Balloon Text"/>
    <w:basedOn w:val="Normal"/>
    <w:link w:val="BalloonTextChar"/>
    <w:rsid w:val="00BE6EDF"/>
    <w:rPr>
      <w:rFonts w:ascii="Tahoma" w:hAnsi="Tahoma" w:cs="Tahoma"/>
      <w:sz w:val="16"/>
      <w:szCs w:val="16"/>
    </w:rPr>
  </w:style>
  <w:style w:type="character" w:customStyle="1" w:styleId="BalloonTextChar">
    <w:name w:val="Balloon Text Char"/>
    <w:basedOn w:val="DefaultParagraphFont"/>
    <w:link w:val="BalloonText"/>
    <w:rsid w:val="00BE6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EDF"/>
    <w:rPr>
      <w:b/>
      <w:color w:val="660033"/>
      <w:spacing w:val="0"/>
    </w:rPr>
  </w:style>
  <w:style w:type="paragraph" w:customStyle="1" w:styleId="Nameditemlist">
    <w:name w:val="Named item list"/>
    <w:basedOn w:val="BodyText"/>
    <w:qFormat/>
    <w:rsid w:val="00BE6EDF"/>
    <w:pPr>
      <w:tabs>
        <w:tab w:val="left" w:pos="2835"/>
      </w:tabs>
      <w:ind w:left="2835" w:hanging="2835"/>
    </w:pPr>
  </w:style>
  <w:style w:type="paragraph" w:customStyle="1" w:styleId="BodyTextnopadding">
    <w:name w:val="Body Text no padding"/>
    <w:basedOn w:val="BodyText"/>
    <w:qFormat/>
    <w:rsid w:val="00BE6EDF"/>
    <w:pPr>
      <w:spacing w:before="0" w:after="0"/>
    </w:pPr>
  </w:style>
  <w:style w:type="paragraph" w:customStyle="1" w:styleId="BodyTextBold">
    <w:name w:val="Body Text Bold"/>
    <w:basedOn w:val="BodyText"/>
    <w:qFormat/>
    <w:rsid w:val="00BE6EDF"/>
    <w:rPr>
      <w:b/>
    </w:rPr>
  </w:style>
  <w:style w:type="character" w:styleId="Hyperlink">
    <w:name w:val="Hyperlink"/>
    <w:basedOn w:val="DefaultParagraphFont"/>
    <w:uiPriority w:val="99"/>
    <w:unhideWhenUsed/>
    <w:rsid w:val="00EA1C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5255</Characters>
  <Application>Microsoft Office Word</Application>
  <DocSecurity>0</DocSecurity>
  <Lines>175</Lines>
  <Paragraphs>100</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POLAUX026 Promote engagement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