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3639" w:rsidP="00933639">
      <w:pPr>
        <w:pStyle w:val="Title"/>
      </w:pPr>
      <w:r>
        <w:fldChar w:fldCharType="begin"/>
      </w:r>
      <w:r>
        <w:instrText xml:space="preserve"> TITLE   \* MERGEFORMAT </w:instrText>
      </w:r>
      <w:r>
        <w:fldChar w:fldCharType="separate"/>
      </w:r>
      <w:r>
        <w:t>PMLTEST404A Perform chemical tests and procedures</w:t>
      </w:r>
      <w:r>
        <w:fldChar w:fldCharType="end"/>
      </w:r>
    </w:p>
    <w:p w:rsidR="00933639" w:rsidP="00933639">
      <w:pPr>
        <w:pStyle w:val="Version"/>
        <w:sectPr w:rsidSect="00722C9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2C9F" w:rsidP="00722C9F">
      <w:pPr>
        <w:pStyle w:val="SuperHeading"/>
      </w:pPr>
      <w:r w:rsidRPr="00722C9F">
        <w:t>PMLTEST404A Perform chemical tests and procedures</w:t>
      </w:r>
    </w:p>
    <w:p w:rsidR="00000000" w:rsidRPr="00722C9F" w:rsidP="00722C9F">
      <w:pPr>
        <w:pStyle w:val="Heading1"/>
      </w:pPr>
      <w:bookmarkStart w:id="1" w:name="O_312234"/>
      <w:bookmarkEnd w:id="1"/>
      <w:r w:rsidRPr="00722C9F">
        <w:t>Modification History</w:t>
      </w:r>
    </w:p>
    <w:p w:rsidR="00000000" w:rsidRPr="00722C9F" w:rsidP="00722C9F">
      <w:pPr>
        <w:pStyle w:val="Heading1"/>
      </w:pPr>
      <w:bookmarkStart w:id="2" w:name="O_312233"/>
      <w:bookmarkEnd w:id="2"/>
      <w:r w:rsidRPr="00722C9F">
        <w:t>Unit Descriptor</w:t>
      </w:r>
    </w:p>
    <w:p w:rsidR="00000000" w:rsidRPr="00722C9F" w:rsidP="00722C9F">
      <w:pPr>
        <w:pStyle w:val="BodyText"/>
      </w:pPr>
      <w:r w:rsidRPr="00722C9F">
        <w:t xml:space="preserve">This unit of competency covers the ability to interpret chemical test requirements, prepare samples, conduct pre-use and calibration </w:t>
      </w:r>
      <w:r w:rsidRPr="00722C9F">
        <w:t>checks on equipment and perform routine chemical tests/procedures. These tests will involve several measurement steps. The unit includes data processing and interpretation of results and tracking of obvious test malfunctions where the procedure is standard</w:t>
      </w:r>
      <w:r w:rsidRPr="00722C9F">
        <w:t>ised. However, personnel are not required to analyse data, optimise tests/procedures for specific samples or troubleshoot equipment problems where the solution is not apparent.</w:t>
      </w:r>
    </w:p>
    <w:p w:rsidR="00000000" w:rsidRPr="00722C9F" w:rsidP="00722C9F">
      <w:pPr>
        <w:pStyle w:val="BodyText"/>
      </w:pPr>
      <w:r w:rsidRPr="00722C9F">
        <w:t xml:space="preserve">This unit of competency is based on, and is equivalent to, the unit </w:t>
      </w:r>
      <w:r w:rsidRPr="00722C9F">
        <w:rPr>
          <w:rStyle w:val="SpecialBold"/>
        </w:rPr>
        <w:t>PMLTEST401A</w:t>
      </w:r>
      <w:r w:rsidRPr="00722C9F">
        <w:rPr>
          <w:rStyle w:val="SpecialBold"/>
        </w:rPr>
        <w:t xml:space="preserve"> Perform instrumental tests/procedures.</w:t>
      </w:r>
    </w:p>
    <w:p w:rsidR="00000000" w:rsidRPr="00722C9F" w:rsidP="00722C9F">
      <w:pPr>
        <w:pStyle w:val="BodyText"/>
      </w:pPr>
      <w:r w:rsidRPr="00722C9F">
        <w:t>This unit of competency has no prerequisites.</w:t>
      </w:r>
    </w:p>
    <w:p w:rsidR="00000000" w:rsidRPr="00722C9F" w:rsidP="00722C9F">
      <w:pPr>
        <w:pStyle w:val="BodyText"/>
      </w:pPr>
      <w:r w:rsidRPr="00722C9F">
        <w:t>This unit of competency is applicable to laboratory or technical assistants and instrument operators in all industry sectors.</w:t>
      </w:r>
    </w:p>
    <w:p w:rsidR="00000000" w:rsidRPr="00722C9F" w:rsidP="00722C9F">
      <w:pPr>
        <w:pStyle w:val="BodyText"/>
      </w:pPr>
      <w:r w:rsidRPr="00722C9F">
        <w:t xml:space="preserve">Industry representatives have provided case </w:t>
      </w:r>
      <w:r w:rsidRPr="00722C9F">
        <w:t>studies to illustrate the practical application of this unit of competency and to show its relevance in a workplace setting. These are found at the end of this unit of competency under the section This competency in practice.</w:t>
      </w:r>
    </w:p>
    <w:p w:rsidR="00000000" w:rsidRPr="00722C9F" w:rsidP="00722C9F">
      <w:pPr>
        <w:pStyle w:val="AllowPageBreak"/>
      </w:pPr>
    </w:p>
    <w:p w:rsidR="00000000" w:rsidRPr="00722C9F" w:rsidP="00722C9F">
      <w:pPr>
        <w:pStyle w:val="Heading1"/>
      </w:pPr>
      <w:bookmarkStart w:id="3" w:name="O_312232"/>
      <w:bookmarkEnd w:id="3"/>
      <w:r w:rsidRPr="00722C9F">
        <w:t>Application o</w:t>
      </w:r>
      <w:r w:rsidRPr="00722C9F">
        <w:t>f the Unit</w:t>
      </w:r>
    </w:p>
    <w:p w:rsidR="00000000" w:rsidRPr="00722C9F" w:rsidP="00722C9F">
      <w:pPr>
        <w:pStyle w:val="Heading1"/>
      </w:pPr>
      <w:bookmarkStart w:id="4" w:name="O_312231"/>
      <w:bookmarkEnd w:id="4"/>
      <w:r w:rsidRPr="00722C9F">
        <w:t>Licensing/Regulatory Information</w:t>
      </w:r>
    </w:p>
    <w:p w:rsidR="00000000" w:rsidRPr="00722C9F" w:rsidP="00722C9F">
      <w:pPr>
        <w:pStyle w:val="Heading1"/>
      </w:pPr>
      <w:bookmarkStart w:id="5" w:name="O_312230"/>
      <w:bookmarkEnd w:id="5"/>
      <w:r w:rsidRPr="00722C9F">
        <w:t>Pre-Requisites</w:t>
      </w:r>
    </w:p>
    <w:p w:rsidR="00000000" w:rsidRPr="00722C9F" w:rsidP="00722C9F">
      <w:pPr>
        <w:pStyle w:val="Heading1"/>
      </w:pPr>
      <w:bookmarkStart w:id="6" w:name="O_312224"/>
      <w:bookmarkEnd w:id="6"/>
      <w:r w:rsidRPr="00722C9F">
        <w:t>Employability Skills Information</w:t>
      </w:r>
    </w:p>
    <w:p w:rsidR="00000000" w:rsidRPr="00722C9F" w:rsidP="00722C9F">
      <w:pPr>
        <w:pStyle w:val="Heading1"/>
      </w:pPr>
      <w:bookmarkStart w:id="7" w:name="O_312229"/>
      <w:bookmarkEnd w:id="7"/>
      <w:r w:rsidRPr="00722C9F">
        <w:t>Elements and Performance Criteria Pre-Content</w:t>
      </w:r>
    </w:p>
    <w:p w:rsidR="00000000" w:rsidRPr="00722C9F" w:rsidP="00722C9F">
      <w:pPr>
        <w:pStyle w:val="BodyText"/>
      </w:pPr>
      <w:r w:rsidRPr="00722C9F">
        <w:t>Elements describe the essential outcomes of a unit of competency.</w:t>
      </w:r>
    </w:p>
    <w:p w:rsidR="00000000" w:rsidRPr="00722C9F" w:rsidP="00722C9F">
      <w:pPr>
        <w:pStyle w:val="BodyText"/>
      </w:pPr>
      <w:r w:rsidRPr="00722C9F">
        <w:t>Performance Criteria describe the level of performance required to demonstrate achievement of the element.</w:t>
      </w:r>
    </w:p>
    <w:p w:rsidR="00000000" w:rsidRPr="00722C9F" w:rsidP="00722C9F">
      <w:pPr>
        <w:pStyle w:val="AllowPageBreak"/>
      </w:pPr>
    </w:p>
    <w:p w:rsidR="00000000" w:rsidRPr="00722C9F" w:rsidP="00722C9F">
      <w:pPr>
        <w:pStyle w:val="Heading1"/>
      </w:pPr>
      <w:bookmarkStart w:id="8" w:name="O_312235"/>
      <w:bookmarkEnd w:id="8"/>
      <w:r w:rsidRPr="00722C9F">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933639">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722C9F">
            <w:pPr>
              <w:pStyle w:val="BodyText"/>
              <w:rPr>
                <w:lang w:val="en-NZ"/>
              </w:rPr>
            </w:pPr>
            <w:r w:rsidRPr="00722C9F">
              <w:rPr>
                <w:rStyle w:val="SpecialBold"/>
              </w:rPr>
              <w:t>Elements and Performance Criteria</w:t>
            </w:r>
          </w:p>
        </w:tc>
      </w:tr>
      <w:tr w:rsidTr="00933639">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722C9F" w:rsidP="00722C9F">
            <w:pPr>
              <w:pStyle w:val="BodyText"/>
            </w:pPr>
            <w:r w:rsidRPr="00722C9F">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722C9F">
            <w:pPr>
              <w:pStyle w:val="BodyText"/>
              <w:rPr>
                <w:lang w:val="en-NZ"/>
              </w:rPr>
            </w:pPr>
            <w:r w:rsidRPr="00722C9F">
              <w:rPr>
                <w:rStyle w:val="SpecialBold"/>
              </w:rPr>
              <w:t>Performance Criteria</w:t>
            </w:r>
          </w:p>
        </w:tc>
      </w:tr>
      <w:tr w:rsidTr="0093363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22C9F">
            <w:pPr>
              <w:pStyle w:val="BodyText"/>
              <w:rPr>
                <w:lang w:val="en-NZ"/>
              </w:rPr>
            </w:pPr>
            <w:r w:rsidRPr="00722C9F">
              <w:t>1</w:t>
            </w:r>
          </w:p>
        </w:tc>
        <w:tc>
          <w:tcPr>
            <w:tcW w:w="3000" w:type="dxa"/>
            <w:vMerge w:val="restart"/>
            <w:tcBorders>
              <w:top w:val="nil"/>
              <w:left w:val="nil"/>
              <w:bottom w:val="nil"/>
              <w:right w:val="nil"/>
            </w:tcBorders>
            <w:tcMar>
              <w:top w:w="0" w:type="dxa"/>
              <w:left w:w="62" w:type="dxa"/>
              <w:bottom w:w="0" w:type="dxa"/>
              <w:right w:w="62" w:type="dxa"/>
            </w:tcMar>
          </w:tcPr>
          <w:p w:rsidR="00000000" w:rsidP="00722C9F">
            <w:pPr>
              <w:pStyle w:val="BodyText"/>
              <w:rPr>
                <w:lang w:val="en-NZ"/>
              </w:rPr>
            </w:pPr>
            <w:r w:rsidRPr="00722C9F">
              <w:t>Interpret and schedule test requirements</w:t>
            </w:r>
          </w:p>
        </w:tc>
        <w:tc>
          <w:tcPr>
            <w:tcW w:w="500" w:type="dxa"/>
            <w:tcBorders>
              <w:top w:val="nil"/>
              <w:left w:val="nil"/>
              <w:bottom w:val="nil"/>
              <w:right w:val="nil"/>
            </w:tcBorders>
            <w:tcMar>
              <w:top w:w="0" w:type="dxa"/>
              <w:left w:w="62" w:type="dxa"/>
              <w:bottom w:w="0" w:type="dxa"/>
              <w:right w:w="62" w:type="dxa"/>
            </w:tcMar>
          </w:tcPr>
          <w:p w:rsidR="00000000" w:rsidP="00722C9F">
            <w:pPr>
              <w:pStyle w:val="BodyText"/>
              <w:rPr>
                <w:lang w:val="en-NZ"/>
              </w:rPr>
            </w:pPr>
            <w:r w:rsidRPr="00722C9F">
              <w:t>1.1</w:t>
            </w:r>
          </w:p>
        </w:tc>
        <w:tc>
          <w:tcPr>
            <w:tcW w:w="5100" w:type="dxa"/>
            <w:tcBorders>
              <w:top w:val="nil"/>
              <w:left w:val="nil"/>
              <w:bottom w:val="nil"/>
              <w:right w:val="nil"/>
            </w:tcBorders>
            <w:tcMar>
              <w:top w:w="0" w:type="dxa"/>
              <w:left w:w="62" w:type="dxa"/>
              <w:bottom w:w="0" w:type="dxa"/>
              <w:right w:w="62" w:type="dxa"/>
            </w:tcMar>
          </w:tcPr>
          <w:p w:rsidR="00000000" w:rsidP="00722C9F">
            <w:pPr>
              <w:pStyle w:val="BodyText"/>
              <w:rPr>
                <w:lang w:val="en-NZ"/>
              </w:rPr>
            </w:pPr>
            <w:r w:rsidRPr="00722C9F">
              <w:t>Review test request to identify samples to be tested, test method and equipment/instruments involved</w:t>
            </w:r>
          </w:p>
        </w:tc>
      </w:tr>
      <w:tr w:rsidTr="0093363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22C9F">
            <w:pPr>
              <w:pStyle w:val="BodyText"/>
              <w:rPr>
                <w:lang w:val="en-NZ"/>
              </w:rPr>
            </w:pPr>
            <w:r w:rsidRPr="00722C9F">
              <w:t>1.2</w:t>
            </w:r>
          </w:p>
        </w:tc>
        <w:tc>
          <w:tcPr>
            <w:tcW w:w="5100" w:type="dxa"/>
            <w:tcBorders>
              <w:top w:val="nil"/>
              <w:left w:val="nil"/>
              <w:bottom w:val="nil"/>
              <w:right w:val="nil"/>
            </w:tcBorders>
            <w:tcMar>
              <w:top w:w="0" w:type="dxa"/>
              <w:left w:w="62" w:type="dxa"/>
              <w:bottom w:w="0" w:type="dxa"/>
              <w:right w:w="62" w:type="dxa"/>
            </w:tcMar>
          </w:tcPr>
          <w:p w:rsidR="00000000" w:rsidP="00722C9F">
            <w:pPr>
              <w:pStyle w:val="BodyText"/>
              <w:rPr>
                <w:lang w:val="en-NZ"/>
              </w:rPr>
            </w:pPr>
            <w:r w:rsidRPr="00722C9F">
              <w:t>Identify hazards and enterprise control measures associated with the sample, preparation/test methods, reagents and/or equipment</w:t>
            </w:r>
          </w:p>
        </w:tc>
      </w:tr>
      <w:tr w:rsidTr="0093363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22C9F">
            <w:pPr>
              <w:pStyle w:val="BodyText"/>
              <w:rPr>
                <w:lang w:val="en-NZ"/>
              </w:rPr>
            </w:pPr>
            <w:r w:rsidRPr="00722C9F">
              <w:t>1.3</w:t>
            </w:r>
          </w:p>
        </w:tc>
        <w:tc>
          <w:tcPr>
            <w:tcW w:w="5100" w:type="dxa"/>
            <w:tcBorders>
              <w:top w:val="nil"/>
              <w:left w:val="nil"/>
              <w:bottom w:val="nil"/>
              <w:right w:val="nil"/>
            </w:tcBorders>
            <w:tcMar>
              <w:top w:w="0" w:type="dxa"/>
              <w:left w:w="62" w:type="dxa"/>
              <w:bottom w:w="0" w:type="dxa"/>
              <w:right w:w="62" w:type="dxa"/>
            </w:tcMar>
          </w:tcPr>
          <w:p w:rsidR="00000000" w:rsidP="00722C9F">
            <w:pPr>
              <w:pStyle w:val="BodyText"/>
              <w:rPr>
                <w:lang w:val="en-NZ"/>
              </w:rPr>
            </w:pPr>
            <w:r w:rsidRPr="00722C9F">
              <w:t>Plan work sequences to optimise throughput of multiple samples (if appropriate)</w:t>
            </w:r>
          </w:p>
        </w:tc>
      </w:tr>
      <w:tr w:rsidTr="0093363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22C9F">
            <w:pPr>
              <w:pStyle w:val="BodyText"/>
              <w:rPr>
                <w:lang w:val="en-NZ"/>
              </w:rPr>
            </w:pPr>
            <w:r w:rsidRPr="00722C9F">
              <w:t>2</w:t>
            </w:r>
          </w:p>
        </w:tc>
        <w:tc>
          <w:tcPr>
            <w:tcW w:w="3000" w:type="dxa"/>
            <w:vMerge w:val="restart"/>
            <w:tcBorders>
              <w:top w:val="nil"/>
              <w:left w:val="nil"/>
              <w:bottom w:val="nil"/>
              <w:right w:val="nil"/>
            </w:tcBorders>
            <w:tcMar>
              <w:top w:w="0" w:type="dxa"/>
              <w:left w:w="62" w:type="dxa"/>
              <w:bottom w:w="0" w:type="dxa"/>
              <w:right w:w="62" w:type="dxa"/>
            </w:tcMar>
          </w:tcPr>
          <w:p w:rsidR="00000000" w:rsidP="00722C9F">
            <w:pPr>
              <w:pStyle w:val="BodyText"/>
              <w:rPr>
                <w:lang w:val="en-NZ"/>
              </w:rPr>
            </w:pPr>
            <w:r w:rsidRPr="00722C9F">
              <w:t>Receive and prepare samples</w:t>
            </w:r>
          </w:p>
        </w:tc>
        <w:tc>
          <w:tcPr>
            <w:tcW w:w="500" w:type="dxa"/>
            <w:tcBorders>
              <w:top w:val="nil"/>
              <w:left w:val="nil"/>
              <w:bottom w:val="nil"/>
              <w:right w:val="nil"/>
            </w:tcBorders>
            <w:tcMar>
              <w:top w:w="0" w:type="dxa"/>
              <w:left w:w="62" w:type="dxa"/>
              <w:bottom w:w="0" w:type="dxa"/>
              <w:right w:w="62" w:type="dxa"/>
            </w:tcMar>
          </w:tcPr>
          <w:p w:rsidR="00000000" w:rsidP="00722C9F">
            <w:pPr>
              <w:pStyle w:val="BodyText"/>
              <w:rPr>
                <w:lang w:val="en-NZ"/>
              </w:rPr>
            </w:pPr>
            <w:r w:rsidRPr="00722C9F">
              <w:t>2.1</w:t>
            </w:r>
          </w:p>
        </w:tc>
        <w:tc>
          <w:tcPr>
            <w:tcW w:w="5100" w:type="dxa"/>
            <w:tcBorders>
              <w:top w:val="nil"/>
              <w:left w:val="nil"/>
              <w:bottom w:val="nil"/>
              <w:right w:val="nil"/>
            </w:tcBorders>
            <w:tcMar>
              <w:top w:w="0" w:type="dxa"/>
              <w:left w:w="62" w:type="dxa"/>
              <w:bottom w:w="0" w:type="dxa"/>
              <w:right w:w="62" w:type="dxa"/>
            </w:tcMar>
          </w:tcPr>
          <w:p w:rsidR="00000000" w:rsidP="00722C9F">
            <w:pPr>
              <w:pStyle w:val="BodyText"/>
              <w:rPr>
                <w:lang w:val="en-NZ"/>
              </w:rPr>
            </w:pPr>
            <w:r w:rsidRPr="00722C9F">
              <w:t>Log samples using standard operating procedure</w:t>
            </w:r>
          </w:p>
        </w:tc>
      </w:tr>
      <w:tr w:rsidTr="0093363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22C9F">
            <w:pPr>
              <w:pStyle w:val="BodyText"/>
              <w:rPr>
                <w:lang w:val="en-NZ"/>
              </w:rPr>
            </w:pPr>
            <w:r w:rsidRPr="00722C9F">
              <w:t>2.2</w:t>
            </w:r>
          </w:p>
        </w:tc>
        <w:tc>
          <w:tcPr>
            <w:tcW w:w="5100" w:type="dxa"/>
            <w:tcBorders>
              <w:top w:val="nil"/>
              <w:left w:val="nil"/>
              <w:bottom w:val="nil"/>
              <w:right w:val="nil"/>
            </w:tcBorders>
            <w:tcMar>
              <w:top w:w="0" w:type="dxa"/>
              <w:left w:w="62" w:type="dxa"/>
              <w:bottom w:w="0" w:type="dxa"/>
              <w:right w:w="62" w:type="dxa"/>
            </w:tcMar>
          </w:tcPr>
          <w:p w:rsidR="00000000" w:rsidP="00722C9F">
            <w:pPr>
              <w:pStyle w:val="BodyText"/>
              <w:rPr>
                <w:lang w:val="en-NZ"/>
              </w:rPr>
            </w:pPr>
            <w:r w:rsidRPr="00722C9F">
              <w:t>Record sample description, compare with specification and note and report discrepancies</w:t>
            </w:r>
          </w:p>
        </w:tc>
      </w:tr>
      <w:tr w:rsidTr="0093363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22C9F">
            <w:pPr>
              <w:pStyle w:val="BodyText"/>
              <w:rPr>
                <w:lang w:val="en-NZ"/>
              </w:rPr>
            </w:pPr>
            <w:r w:rsidRPr="00722C9F">
              <w:t>2.3</w:t>
            </w:r>
          </w:p>
        </w:tc>
        <w:tc>
          <w:tcPr>
            <w:tcW w:w="5100" w:type="dxa"/>
            <w:tcBorders>
              <w:top w:val="nil"/>
              <w:left w:val="nil"/>
              <w:bottom w:val="nil"/>
              <w:right w:val="nil"/>
            </w:tcBorders>
            <w:tcMar>
              <w:top w:w="0" w:type="dxa"/>
              <w:left w:w="62" w:type="dxa"/>
              <w:bottom w:w="0" w:type="dxa"/>
              <w:right w:w="62" w:type="dxa"/>
            </w:tcMar>
          </w:tcPr>
          <w:p w:rsidR="00000000" w:rsidP="00722C9F">
            <w:pPr>
              <w:pStyle w:val="BodyText"/>
              <w:rPr>
                <w:lang w:val="en-NZ"/>
              </w:rPr>
            </w:pPr>
            <w:r w:rsidRPr="00722C9F">
              <w:t>Prepare samples and standards in accordance with chemical testing requirements</w:t>
            </w:r>
          </w:p>
        </w:tc>
      </w:tr>
      <w:tr w:rsidTr="0093363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22C9F">
            <w:pPr>
              <w:pStyle w:val="BodyText"/>
              <w:rPr>
                <w:lang w:val="en-NZ"/>
              </w:rPr>
            </w:pPr>
            <w:r w:rsidRPr="00722C9F">
              <w:t>2.4</w:t>
            </w:r>
          </w:p>
        </w:tc>
        <w:tc>
          <w:tcPr>
            <w:tcW w:w="5100" w:type="dxa"/>
            <w:tcBorders>
              <w:top w:val="nil"/>
              <w:left w:val="nil"/>
              <w:bottom w:val="nil"/>
              <w:right w:val="nil"/>
            </w:tcBorders>
            <w:tcMar>
              <w:top w:w="0" w:type="dxa"/>
              <w:left w:w="62" w:type="dxa"/>
              <w:bottom w:w="0" w:type="dxa"/>
              <w:right w:w="62" w:type="dxa"/>
            </w:tcMar>
          </w:tcPr>
          <w:p w:rsidR="00000000" w:rsidP="00722C9F">
            <w:pPr>
              <w:pStyle w:val="BodyText"/>
              <w:rPr>
                <w:lang w:val="en-NZ"/>
              </w:rPr>
            </w:pPr>
            <w:r w:rsidRPr="00722C9F">
              <w:t>Ensure traceability of samples from receipt to reporting of results</w:t>
            </w:r>
          </w:p>
        </w:tc>
      </w:tr>
      <w:tr w:rsidTr="0093363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22C9F">
            <w:pPr>
              <w:pStyle w:val="BodyText"/>
              <w:rPr>
                <w:lang w:val="en-NZ"/>
              </w:rPr>
            </w:pPr>
            <w:r w:rsidRPr="00722C9F">
              <w:t>3</w:t>
            </w:r>
          </w:p>
        </w:tc>
        <w:tc>
          <w:tcPr>
            <w:tcW w:w="3000" w:type="dxa"/>
            <w:vMerge w:val="restart"/>
            <w:tcBorders>
              <w:top w:val="nil"/>
              <w:left w:val="nil"/>
              <w:bottom w:val="nil"/>
              <w:right w:val="nil"/>
            </w:tcBorders>
            <w:tcMar>
              <w:top w:w="0" w:type="dxa"/>
              <w:left w:w="62" w:type="dxa"/>
              <w:bottom w:w="0" w:type="dxa"/>
              <w:right w:w="62" w:type="dxa"/>
            </w:tcMar>
          </w:tcPr>
          <w:p w:rsidR="00000000" w:rsidP="00722C9F">
            <w:pPr>
              <w:pStyle w:val="BodyText"/>
              <w:rPr>
                <w:lang w:val="en-NZ"/>
              </w:rPr>
            </w:pPr>
            <w:r w:rsidRPr="00722C9F">
              <w:t>Check equipment before use</w:t>
            </w:r>
          </w:p>
        </w:tc>
        <w:tc>
          <w:tcPr>
            <w:tcW w:w="500" w:type="dxa"/>
            <w:tcBorders>
              <w:top w:val="nil"/>
              <w:left w:val="nil"/>
              <w:bottom w:val="nil"/>
              <w:right w:val="nil"/>
            </w:tcBorders>
            <w:tcMar>
              <w:top w:w="0" w:type="dxa"/>
              <w:left w:w="62" w:type="dxa"/>
              <w:bottom w:w="0" w:type="dxa"/>
              <w:right w:w="62" w:type="dxa"/>
            </w:tcMar>
          </w:tcPr>
          <w:p w:rsidR="00000000" w:rsidP="00722C9F">
            <w:pPr>
              <w:pStyle w:val="BodyText"/>
              <w:rPr>
                <w:lang w:val="en-NZ"/>
              </w:rPr>
            </w:pPr>
            <w:r w:rsidRPr="00722C9F">
              <w:t>3.1</w:t>
            </w:r>
          </w:p>
        </w:tc>
        <w:tc>
          <w:tcPr>
            <w:tcW w:w="5100" w:type="dxa"/>
            <w:tcBorders>
              <w:top w:val="nil"/>
              <w:left w:val="nil"/>
              <w:bottom w:val="nil"/>
              <w:right w:val="nil"/>
            </w:tcBorders>
            <w:tcMar>
              <w:top w:w="0" w:type="dxa"/>
              <w:left w:w="62" w:type="dxa"/>
              <w:bottom w:w="0" w:type="dxa"/>
              <w:right w:w="62" w:type="dxa"/>
            </w:tcMar>
          </w:tcPr>
          <w:p w:rsidR="00000000" w:rsidP="00722C9F">
            <w:pPr>
              <w:pStyle w:val="BodyText"/>
              <w:rPr>
                <w:lang w:val="en-NZ"/>
              </w:rPr>
            </w:pPr>
            <w:r w:rsidRPr="00722C9F">
              <w:t>Set up equipment/instruments in accordance with test method requirements</w:t>
            </w:r>
          </w:p>
        </w:tc>
      </w:tr>
      <w:tr w:rsidTr="0093363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22C9F">
            <w:pPr>
              <w:pStyle w:val="BodyText"/>
              <w:rPr>
                <w:lang w:val="en-NZ"/>
              </w:rPr>
            </w:pPr>
            <w:r w:rsidRPr="00722C9F">
              <w:t>3.2</w:t>
            </w:r>
          </w:p>
        </w:tc>
        <w:tc>
          <w:tcPr>
            <w:tcW w:w="5100" w:type="dxa"/>
            <w:tcBorders>
              <w:top w:val="nil"/>
              <w:left w:val="nil"/>
              <w:bottom w:val="nil"/>
              <w:right w:val="nil"/>
            </w:tcBorders>
            <w:tcMar>
              <w:top w:w="0" w:type="dxa"/>
              <w:left w:w="62" w:type="dxa"/>
              <w:bottom w:w="0" w:type="dxa"/>
              <w:right w:w="62" w:type="dxa"/>
            </w:tcMar>
          </w:tcPr>
          <w:p w:rsidR="00000000" w:rsidP="00722C9F">
            <w:pPr>
              <w:pStyle w:val="BodyText"/>
              <w:rPr>
                <w:lang w:val="en-NZ"/>
              </w:rPr>
            </w:pPr>
            <w:r w:rsidRPr="00722C9F">
              <w:t>Perform pre-use and safety checks in accordance with relevant enterprise and operating procedures</w:t>
            </w:r>
          </w:p>
        </w:tc>
      </w:tr>
      <w:tr w:rsidTr="0093363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22C9F">
            <w:pPr>
              <w:pStyle w:val="BodyText"/>
              <w:rPr>
                <w:lang w:val="en-NZ"/>
              </w:rPr>
            </w:pPr>
            <w:r w:rsidRPr="00722C9F">
              <w:t>3.3</w:t>
            </w:r>
          </w:p>
        </w:tc>
        <w:tc>
          <w:tcPr>
            <w:tcW w:w="5100" w:type="dxa"/>
            <w:tcBorders>
              <w:top w:val="nil"/>
              <w:left w:val="nil"/>
              <w:bottom w:val="nil"/>
              <w:right w:val="nil"/>
            </w:tcBorders>
            <w:tcMar>
              <w:top w:w="0" w:type="dxa"/>
              <w:left w:w="62" w:type="dxa"/>
              <w:bottom w:w="0" w:type="dxa"/>
              <w:right w:w="62" w:type="dxa"/>
            </w:tcMar>
          </w:tcPr>
          <w:p w:rsidR="00000000" w:rsidP="00722C9F">
            <w:pPr>
              <w:pStyle w:val="BodyText"/>
              <w:rPr>
                <w:lang w:val="en-NZ"/>
              </w:rPr>
            </w:pPr>
            <w:r w:rsidRPr="00722C9F">
              <w:t>Identify faulty or unsafe components and equipment and report to appropriate personnel</w:t>
            </w:r>
          </w:p>
        </w:tc>
      </w:tr>
      <w:tr w:rsidTr="0093363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22C9F">
            <w:pPr>
              <w:pStyle w:val="BodyText"/>
              <w:rPr>
                <w:lang w:val="en-NZ"/>
              </w:rPr>
            </w:pPr>
            <w:r w:rsidRPr="00722C9F">
              <w:t>3.4</w:t>
            </w:r>
          </w:p>
        </w:tc>
        <w:tc>
          <w:tcPr>
            <w:tcW w:w="5100" w:type="dxa"/>
            <w:tcBorders>
              <w:top w:val="nil"/>
              <w:left w:val="nil"/>
              <w:bottom w:val="nil"/>
              <w:right w:val="nil"/>
            </w:tcBorders>
            <w:tcMar>
              <w:top w:w="0" w:type="dxa"/>
              <w:left w:w="62" w:type="dxa"/>
              <w:bottom w:w="0" w:type="dxa"/>
              <w:right w:w="62" w:type="dxa"/>
            </w:tcMar>
          </w:tcPr>
          <w:p w:rsidR="00000000" w:rsidP="00722C9F">
            <w:pPr>
              <w:pStyle w:val="BodyText"/>
              <w:rPr>
                <w:lang w:val="en-NZ"/>
              </w:rPr>
            </w:pPr>
            <w:r w:rsidRPr="00722C9F">
              <w:t>Check equipment calibration using specified standards and</w:t>
            </w:r>
            <w:r w:rsidRPr="00722C9F">
              <w:t xml:space="preserve"> procedures (if applicable)</w:t>
            </w:r>
          </w:p>
        </w:tc>
      </w:tr>
      <w:tr w:rsidTr="0093363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22C9F">
            <w:pPr>
              <w:pStyle w:val="BodyText"/>
              <w:rPr>
                <w:lang w:val="en-NZ"/>
              </w:rPr>
            </w:pPr>
            <w:r w:rsidRPr="00722C9F">
              <w:t>3.5</w:t>
            </w:r>
          </w:p>
        </w:tc>
        <w:tc>
          <w:tcPr>
            <w:tcW w:w="5100" w:type="dxa"/>
            <w:tcBorders>
              <w:top w:val="nil"/>
              <w:left w:val="nil"/>
              <w:bottom w:val="nil"/>
              <w:right w:val="nil"/>
            </w:tcBorders>
            <w:tcMar>
              <w:top w:w="0" w:type="dxa"/>
              <w:left w:w="62" w:type="dxa"/>
              <w:bottom w:w="0" w:type="dxa"/>
              <w:right w:w="62" w:type="dxa"/>
            </w:tcMar>
          </w:tcPr>
          <w:p w:rsidR="00000000" w:rsidP="00722C9F">
            <w:pPr>
              <w:pStyle w:val="BodyText"/>
              <w:rPr>
                <w:lang w:val="en-NZ"/>
              </w:rPr>
            </w:pPr>
            <w:r w:rsidRPr="00722C9F">
              <w:t>Quarantine out-of-calibration equipment/instruments</w:t>
            </w:r>
          </w:p>
        </w:tc>
      </w:tr>
      <w:tr w:rsidTr="0093363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22C9F">
            <w:pPr>
              <w:pStyle w:val="BodyText"/>
              <w:rPr>
                <w:lang w:val="en-NZ"/>
              </w:rPr>
            </w:pPr>
            <w:r w:rsidRPr="00722C9F">
              <w:t>3.6</w:t>
            </w:r>
          </w:p>
        </w:tc>
        <w:tc>
          <w:tcPr>
            <w:tcW w:w="5100" w:type="dxa"/>
            <w:tcBorders>
              <w:top w:val="nil"/>
              <w:left w:val="nil"/>
              <w:bottom w:val="nil"/>
              <w:right w:val="nil"/>
            </w:tcBorders>
            <w:tcMar>
              <w:top w:w="0" w:type="dxa"/>
              <w:left w:w="62" w:type="dxa"/>
              <w:bottom w:w="0" w:type="dxa"/>
              <w:right w:w="62" w:type="dxa"/>
            </w:tcMar>
          </w:tcPr>
          <w:p w:rsidR="00000000" w:rsidP="00722C9F">
            <w:pPr>
              <w:pStyle w:val="BodyText"/>
              <w:rPr>
                <w:lang w:val="en-NZ"/>
              </w:rPr>
            </w:pPr>
            <w:r w:rsidRPr="00722C9F">
              <w:t>Ensure reagents required for the test are available and meet quality requirements</w:t>
            </w:r>
          </w:p>
        </w:tc>
      </w:tr>
      <w:tr w:rsidTr="0093363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22C9F">
            <w:pPr>
              <w:pStyle w:val="BodyText"/>
              <w:rPr>
                <w:lang w:val="en-NZ"/>
              </w:rPr>
            </w:pPr>
            <w:r w:rsidRPr="00722C9F">
              <w:t>4</w:t>
            </w:r>
          </w:p>
        </w:tc>
        <w:tc>
          <w:tcPr>
            <w:tcW w:w="3000" w:type="dxa"/>
            <w:vMerge w:val="restart"/>
            <w:tcBorders>
              <w:top w:val="nil"/>
              <w:left w:val="nil"/>
              <w:bottom w:val="nil"/>
              <w:right w:val="nil"/>
            </w:tcBorders>
            <w:tcMar>
              <w:top w:w="0" w:type="dxa"/>
              <w:left w:w="62" w:type="dxa"/>
              <w:bottom w:w="0" w:type="dxa"/>
              <w:right w:w="62" w:type="dxa"/>
            </w:tcMar>
          </w:tcPr>
          <w:p w:rsidR="00000000" w:rsidP="00722C9F">
            <w:pPr>
              <w:pStyle w:val="BodyText"/>
              <w:rPr>
                <w:lang w:val="en-NZ"/>
              </w:rPr>
            </w:pPr>
            <w:r w:rsidRPr="00722C9F">
              <w:t>Test samples to determine chemical species or properties</w:t>
            </w:r>
          </w:p>
        </w:tc>
        <w:tc>
          <w:tcPr>
            <w:tcW w:w="500" w:type="dxa"/>
            <w:tcBorders>
              <w:top w:val="nil"/>
              <w:left w:val="nil"/>
              <w:bottom w:val="nil"/>
              <w:right w:val="nil"/>
            </w:tcBorders>
            <w:tcMar>
              <w:top w:w="0" w:type="dxa"/>
              <w:left w:w="62" w:type="dxa"/>
              <w:bottom w:w="0" w:type="dxa"/>
              <w:right w:w="62" w:type="dxa"/>
            </w:tcMar>
          </w:tcPr>
          <w:p w:rsidR="00000000" w:rsidP="00722C9F">
            <w:pPr>
              <w:pStyle w:val="BodyText"/>
              <w:rPr>
                <w:lang w:val="en-NZ"/>
              </w:rPr>
            </w:pPr>
            <w:r w:rsidRPr="00722C9F">
              <w:t>4.1</w:t>
            </w:r>
          </w:p>
        </w:tc>
        <w:tc>
          <w:tcPr>
            <w:tcW w:w="5100" w:type="dxa"/>
            <w:tcBorders>
              <w:top w:val="nil"/>
              <w:left w:val="nil"/>
              <w:bottom w:val="nil"/>
              <w:right w:val="nil"/>
            </w:tcBorders>
            <w:tcMar>
              <w:top w:w="0" w:type="dxa"/>
              <w:left w:w="62" w:type="dxa"/>
              <w:bottom w:w="0" w:type="dxa"/>
              <w:right w:w="62" w:type="dxa"/>
            </w:tcMar>
          </w:tcPr>
          <w:p w:rsidR="00000000" w:rsidP="00722C9F">
            <w:pPr>
              <w:pStyle w:val="BodyText"/>
              <w:rPr>
                <w:lang w:val="en-NZ"/>
              </w:rPr>
            </w:pPr>
            <w:r w:rsidRPr="00722C9F">
              <w:t>Operate equipment/instruments in accordance with test method requirements</w:t>
            </w:r>
          </w:p>
        </w:tc>
      </w:tr>
      <w:tr w:rsidTr="0093363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22C9F">
            <w:pPr>
              <w:pStyle w:val="BodyText"/>
              <w:rPr>
                <w:lang w:val="en-NZ"/>
              </w:rPr>
            </w:pPr>
            <w:r w:rsidRPr="00722C9F">
              <w:t>4.2</w:t>
            </w:r>
          </w:p>
        </w:tc>
        <w:tc>
          <w:tcPr>
            <w:tcW w:w="5100" w:type="dxa"/>
            <w:tcBorders>
              <w:top w:val="nil"/>
              <w:left w:val="nil"/>
              <w:bottom w:val="nil"/>
              <w:right w:val="nil"/>
            </w:tcBorders>
            <w:tcMar>
              <w:top w:w="0" w:type="dxa"/>
              <w:left w:w="62" w:type="dxa"/>
              <w:bottom w:w="0" w:type="dxa"/>
              <w:right w:w="62" w:type="dxa"/>
            </w:tcMar>
          </w:tcPr>
          <w:p w:rsidR="00000000" w:rsidP="00722C9F">
            <w:pPr>
              <w:pStyle w:val="BodyText"/>
              <w:rPr>
                <w:lang w:val="en-NZ"/>
              </w:rPr>
            </w:pPr>
            <w:r w:rsidRPr="00722C9F">
              <w:t>Perform tests/procedures on all samples and standards (if appropriate) in accordance with specified methods</w:t>
            </w:r>
          </w:p>
        </w:tc>
      </w:tr>
      <w:tr w:rsidTr="0093363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22C9F">
            <w:pPr>
              <w:pStyle w:val="BodyText"/>
              <w:rPr>
                <w:lang w:val="en-NZ"/>
              </w:rPr>
            </w:pPr>
            <w:r w:rsidRPr="00722C9F">
              <w:t>4.3</w:t>
            </w:r>
          </w:p>
        </w:tc>
        <w:tc>
          <w:tcPr>
            <w:tcW w:w="5100" w:type="dxa"/>
            <w:tcBorders>
              <w:top w:val="nil"/>
              <w:left w:val="nil"/>
              <w:bottom w:val="nil"/>
              <w:right w:val="nil"/>
            </w:tcBorders>
            <w:tcMar>
              <w:top w:w="0" w:type="dxa"/>
              <w:left w:w="62" w:type="dxa"/>
              <w:bottom w:w="0" w:type="dxa"/>
              <w:right w:w="62" w:type="dxa"/>
            </w:tcMar>
          </w:tcPr>
          <w:p w:rsidR="00000000" w:rsidP="00722C9F">
            <w:pPr>
              <w:pStyle w:val="BodyText"/>
              <w:rPr>
                <w:lang w:val="en-NZ"/>
              </w:rPr>
            </w:pPr>
            <w:r w:rsidRPr="00722C9F">
              <w:t>Shut down equipment/instruments in accordance with operating procedures</w:t>
            </w:r>
          </w:p>
        </w:tc>
      </w:tr>
      <w:tr w:rsidTr="0093363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22C9F">
            <w:pPr>
              <w:pStyle w:val="BodyText"/>
              <w:rPr>
                <w:lang w:val="en-NZ"/>
              </w:rPr>
            </w:pPr>
            <w:r w:rsidRPr="00722C9F">
              <w:t>5</w:t>
            </w:r>
          </w:p>
        </w:tc>
        <w:tc>
          <w:tcPr>
            <w:tcW w:w="3000" w:type="dxa"/>
            <w:vMerge w:val="restart"/>
            <w:tcBorders>
              <w:top w:val="nil"/>
              <w:left w:val="nil"/>
              <w:bottom w:val="nil"/>
              <w:right w:val="nil"/>
            </w:tcBorders>
            <w:tcMar>
              <w:top w:w="0" w:type="dxa"/>
              <w:left w:w="62" w:type="dxa"/>
              <w:bottom w:w="0" w:type="dxa"/>
              <w:right w:w="62" w:type="dxa"/>
            </w:tcMar>
          </w:tcPr>
          <w:p w:rsidR="00000000" w:rsidP="00722C9F">
            <w:pPr>
              <w:pStyle w:val="BodyText"/>
              <w:rPr>
                <w:lang w:val="en-NZ"/>
              </w:rPr>
            </w:pPr>
            <w:r w:rsidRPr="00722C9F">
              <w:t>Process and interpret data</w:t>
            </w:r>
          </w:p>
        </w:tc>
        <w:tc>
          <w:tcPr>
            <w:tcW w:w="500" w:type="dxa"/>
            <w:tcBorders>
              <w:top w:val="nil"/>
              <w:left w:val="nil"/>
              <w:bottom w:val="nil"/>
              <w:right w:val="nil"/>
            </w:tcBorders>
            <w:tcMar>
              <w:top w:w="0" w:type="dxa"/>
              <w:left w:w="62" w:type="dxa"/>
              <w:bottom w:w="0" w:type="dxa"/>
              <w:right w:w="62" w:type="dxa"/>
            </w:tcMar>
          </w:tcPr>
          <w:p w:rsidR="00000000" w:rsidP="00722C9F">
            <w:pPr>
              <w:pStyle w:val="BodyText"/>
              <w:rPr>
                <w:lang w:val="en-NZ"/>
              </w:rPr>
            </w:pPr>
            <w:r w:rsidRPr="00722C9F">
              <w:t>5.1</w:t>
            </w:r>
          </w:p>
        </w:tc>
        <w:tc>
          <w:tcPr>
            <w:tcW w:w="5100" w:type="dxa"/>
            <w:tcBorders>
              <w:top w:val="nil"/>
              <w:left w:val="nil"/>
              <w:bottom w:val="nil"/>
              <w:right w:val="nil"/>
            </w:tcBorders>
            <w:tcMar>
              <w:top w:w="0" w:type="dxa"/>
              <w:left w:w="62" w:type="dxa"/>
              <w:bottom w:w="0" w:type="dxa"/>
              <w:right w:w="62" w:type="dxa"/>
            </w:tcMar>
          </w:tcPr>
          <w:p w:rsidR="00000000" w:rsidP="00722C9F">
            <w:pPr>
              <w:pStyle w:val="BodyText"/>
              <w:rPr>
                <w:lang w:val="en-NZ"/>
              </w:rPr>
            </w:pPr>
            <w:r w:rsidRPr="00722C9F">
              <w:t>Record test data noting atypical observations</w:t>
            </w:r>
          </w:p>
        </w:tc>
      </w:tr>
      <w:tr w:rsidTr="0093363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22C9F">
            <w:pPr>
              <w:pStyle w:val="BodyText"/>
              <w:rPr>
                <w:lang w:val="en-NZ"/>
              </w:rPr>
            </w:pPr>
            <w:r w:rsidRPr="00722C9F">
              <w:t>5.2</w:t>
            </w:r>
          </w:p>
        </w:tc>
        <w:tc>
          <w:tcPr>
            <w:tcW w:w="5100" w:type="dxa"/>
            <w:tcBorders>
              <w:top w:val="nil"/>
              <w:left w:val="nil"/>
              <w:bottom w:val="nil"/>
              <w:right w:val="nil"/>
            </w:tcBorders>
            <w:tcMar>
              <w:top w:w="0" w:type="dxa"/>
              <w:left w:w="62" w:type="dxa"/>
              <w:bottom w:w="0" w:type="dxa"/>
              <w:right w:w="62" w:type="dxa"/>
            </w:tcMar>
          </w:tcPr>
          <w:p w:rsidR="00000000" w:rsidP="00722C9F">
            <w:pPr>
              <w:pStyle w:val="BodyText"/>
              <w:rPr>
                <w:lang w:val="en-NZ"/>
              </w:rPr>
            </w:pPr>
            <w:r w:rsidRPr="00722C9F">
              <w:t>Construct calibration graphs (if appropriate) and compute results for all samples from these graphs</w:t>
            </w:r>
          </w:p>
        </w:tc>
      </w:tr>
      <w:tr w:rsidTr="0093363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22C9F">
            <w:pPr>
              <w:pStyle w:val="BodyText"/>
              <w:rPr>
                <w:lang w:val="en-NZ"/>
              </w:rPr>
            </w:pPr>
            <w:r w:rsidRPr="00722C9F">
              <w:t>5.3</w:t>
            </w:r>
          </w:p>
        </w:tc>
        <w:tc>
          <w:tcPr>
            <w:tcW w:w="5100" w:type="dxa"/>
            <w:tcBorders>
              <w:top w:val="nil"/>
              <w:left w:val="nil"/>
              <w:bottom w:val="nil"/>
              <w:right w:val="nil"/>
            </w:tcBorders>
            <w:tcMar>
              <w:top w:w="0" w:type="dxa"/>
              <w:left w:w="62" w:type="dxa"/>
              <w:bottom w:w="0" w:type="dxa"/>
              <w:right w:w="62" w:type="dxa"/>
            </w:tcMar>
          </w:tcPr>
          <w:p w:rsidR="00000000" w:rsidP="00722C9F">
            <w:pPr>
              <w:pStyle w:val="BodyText"/>
              <w:rPr>
                <w:lang w:val="en-NZ"/>
              </w:rPr>
            </w:pPr>
            <w:r w:rsidRPr="00722C9F">
              <w:t>Ensure calculated values are consistent with expectations</w:t>
            </w:r>
          </w:p>
        </w:tc>
      </w:tr>
      <w:tr w:rsidTr="0093363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22C9F">
            <w:pPr>
              <w:pStyle w:val="BodyText"/>
              <w:rPr>
                <w:lang w:val="en-NZ"/>
              </w:rPr>
            </w:pPr>
            <w:r w:rsidRPr="00722C9F">
              <w:t>5.4</w:t>
            </w:r>
          </w:p>
        </w:tc>
        <w:tc>
          <w:tcPr>
            <w:tcW w:w="5100" w:type="dxa"/>
            <w:tcBorders>
              <w:top w:val="nil"/>
              <w:left w:val="nil"/>
              <w:bottom w:val="nil"/>
              <w:right w:val="nil"/>
            </w:tcBorders>
            <w:tcMar>
              <w:top w:w="0" w:type="dxa"/>
              <w:left w:w="62" w:type="dxa"/>
              <w:bottom w:w="0" w:type="dxa"/>
              <w:right w:w="62" w:type="dxa"/>
            </w:tcMar>
          </w:tcPr>
          <w:p w:rsidR="00000000" w:rsidP="00722C9F">
            <w:pPr>
              <w:pStyle w:val="BodyText"/>
              <w:rPr>
                <w:lang w:val="en-NZ"/>
              </w:rPr>
            </w:pPr>
            <w:r w:rsidRPr="00722C9F">
              <w:t>Record and report results in accordance with enterprise procedures</w:t>
            </w:r>
          </w:p>
        </w:tc>
      </w:tr>
      <w:tr w:rsidTr="0093363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22C9F">
            <w:pPr>
              <w:pStyle w:val="BodyText"/>
              <w:rPr>
                <w:lang w:val="en-NZ"/>
              </w:rPr>
            </w:pPr>
            <w:r w:rsidRPr="00722C9F">
              <w:t>5.5</w:t>
            </w:r>
          </w:p>
        </w:tc>
        <w:tc>
          <w:tcPr>
            <w:tcW w:w="5100" w:type="dxa"/>
            <w:tcBorders>
              <w:top w:val="nil"/>
              <w:left w:val="nil"/>
              <w:bottom w:val="nil"/>
              <w:right w:val="nil"/>
            </w:tcBorders>
            <w:tcMar>
              <w:top w:w="0" w:type="dxa"/>
              <w:left w:w="62" w:type="dxa"/>
              <w:bottom w:w="0" w:type="dxa"/>
              <w:right w:w="62" w:type="dxa"/>
            </w:tcMar>
          </w:tcPr>
          <w:p w:rsidR="00000000" w:rsidP="00722C9F">
            <w:pPr>
              <w:pStyle w:val="BodyText"/>
              <w:rPr>
                <w:lang w:val="en-NZ"/>
              </w:rPr>
            </w:pPr>
            <w:r w:rsidRPr="00722C9F">
              <w:t>Interpret trends in data and/or results and report 'out-of-specification' or atypical results promptly to appropriate personnel</w:t>
            </w:r>
          </w:p>
        </w:tc>
      </w:tr>
      <w:tr w:rsidTr="0093363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22C9F">
            <w:pPr>
              <w:pStyle w:val="BodyText"/>
              <w:rPr>
                <w:lang w:val="en-NZ"/>
              </w:rPr>
            </w:pPr>
            <w:r w:rsidRPr="00722C9F">
              <w:t>5.6</w:t>
            </w:r>
          </w:p>
        </w:tc>
        <w:tc>
          <w:tcPr>
            <w:tcW w:w="5100" w:type="dxa"/>
            <w:tcBorders>
              <w:top w:val="nil"/>
              <w:left w:val="nil"/>
              <w:bottom w:val="nil"/>
              <w:right w:val="nil"/>
            </w:tcBorders>
            <w:tcMar>
              <w:top w:w="0" w:type="dxa"/>
              <w:left w:w="62" w:type="dxa"/>
              <w:bottom w:w="0" w:type="dxa"/>
              <w:right w:w="62" w:type="dxa"/>
            </w:tcMar>
          </w:tcPr>
          <w:p w:rsidR="00000000" w:rsidP="00722C9F">
            <w:pPr>
              <w:pStyle w:val="BodyText"/>
              <w:rPr>
                <w:lang w:val="en-NZ"/>
              </w:rPr>
            </w:pPr>
            <w:r w:rsidRPr="00722C9F">
              <w:t>Determine if obvious procedure or equipment problems have led to atypical data or results</w:t>
            </w:r>
          </w:p>
        </w:tc>
      </w:tr>
      <w:tr w:rsidTr="0093363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22C9F">
            <w:pPr>
              <w:pStyle w:val="BodyText"/>
              <w:rPr>
                <w:lang w:val="en-NZ"/>
              </w:rPr>
            </w:pPr>
            <w:r w:rsidRPr="00722C9F">
              <w:t>6</w:t>
            </w:r>
          </w:p>
        </w:tc>
        <w:tc>
          <w:tcPr>
            <w:tcW w:w="3000" w:type="dxa"/>
            <w:vMerge w:val="restart"/>
            <w:tcBorders>
              <w:top w:val="nil"/>
              <w:left w:val="nil"/>
              <w:bottom w:val="nil"/>
              <w:right w:val="nil"/>
            </w:tcBorders>
            <w:tcMar>
              <w:top w:w="0" w:type="dxa"/>
              <w:left w:w="62" w:type="dxa"/>
              <w:bottom w:w="0" w:type="dxa"/>
              <w:right w:w="62" w:type="dxa"/>
            </w:tcMar>
          </w:tcPr>
          <w:p w:rsidR="00000000" w:rsidP="00722C9F">
            <w:pPr>
              <w:pStyle w:val="BodyText"/>
              <w:rPr>
                <w:lang w:val="en-NZ"/>
              </w:rPr>
            </w:pPr>
            <w:r w:rsidRPr="00722C9F">
              <w:t>Maintain a safe work environ</w:t>
            </w:r>
            <w:r w:rsidRPr="00722C9F">
              <w:t>ment</w:t>
            </w:r>
          </w:p>
        </w:tc>
        <w:tc>
          <w:tcPr>
            <w:tcW w:w="500" w:type="dxa"/>
            <w:tcBorders>
              <w:top w:val="nil"/>
              <w:left w:val="nil"/>
              <w:bottom w:val="nil"/>
              <w:right w:val="nil"/>
            </w:tcBorders>
            <w:tcMar>
              <w:top w:w="0" w:type="dxa"/>
              <w:left w:w="62" w:type="dxa"/>
              <w:bottom w:w="0" w:type="dxa"/>
              <w:right w:w="62" w:type="dxa"/>
            </w:tcMar>
          </w:tcPr>
          <w:p w:rsidR="00000000" w:rsidP="00722C9F">
            <w:pPr>
              <w:pStyle w:val="BodyText"/>
              <w:rPr>
                <w:lang w:val="en-NZ"/>
              </w:rPr>
            </w:pPr>
            <w:r w:rsidRPr="00722C9F">
              <w:t>6.1</w:t>
            </w:r>
          </w:p>
        </w:tc>
        <w:tc>
          <w:tcPr>
            <w:tcW w:w="5100" w:type="dxa"/>
            <w:tcBorders>
              <w:top w:val="nil"/>
              <w:left w:val="nil"/>
              <w:bottom w:val="nil"/>
              <w:right w:val="nil"/>
            </w:tcBorders>
            <w:tcMar>
              <w:top w:w="0" w:type="dxa"/>
              <w:left w:w="62" w:type="dxa"/>
              <w:bottom w:w="0" w:type="dxa"/>
              <w:right w:w="62" w:type="dxa"/>
            </w:tcMar>
          </w:tcPr>
          <w:p w:rsidR="00000000" w:rsidP="00722C9F">
            <w:pPr>
              <w:pStyle w:val="BodyText"/>
              <w:rPr>
                <w:lang w:val="en-NZ"/>
              </w:rPr>
            </w:pPr>
            <w:r w:rsidRPr="00722C9F">
              <w:t>Use established safe work practices and personal protective equipment to ensure personal safety and that of other laboratory personnel</w:t>
            </w:r>
          </w:p>
        </w:tc>
      </w:tr>
      <w:tr w:rsidTr="0093363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22C9F">
            <w:pPr>
              <w:pStyle w:val="BodyText"/>
              <w:rPr>
                <w:lang w:val="en-NZ"/>
              </w:rPr>
            </w:pPr>
            <w:r w:rsidRPr="00722C9F">
              <w:t>6.2</w:t>
            </w:r>
          </w:p>
        </w:tc>
        <w:tc>
          <w:tcPr>
            <w:tcW w:w="5100" w:type="dxa"/>
            <w:tcBorders>
              <w:top w:val="nil"/>
              <w:left w:val="nil"/>
              <w:bottom w:val="nil"/>
              <w:right w:val="nil"/>
            </w:tcBorders>
            <w:tcMar>
              <w:top w:w="0" w:type="dxa"/>
              <w:left w:w="62" w:type="dxa"/>
              <w:bottom w:w="0" w:type="dxa"/>
              <w:right w:w="62" w:type="dxa"/>
            </w:tcMar>
          </w:tcPr>
          <w:p w:rsidR="00000000" w:rsidP="00722C9F">
            <w:pPr>
              <w:pStyle w:val="BodyText"/>
              <w:rPr>
                <w:lang w:val="en-NZ"/>
              </w:rPr>
            </w:pPr>
            <w:r w:rsidRPr="00722C9F">
              <w:t>Minimise the generation of wastes and environmental impacts</w:t>
            </w:r>
          </w:p>
        </w:tc>
      </w:tr>
      <w:tr w:rsidTr="0093363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22C9F">
            <w:pPr>
              <w:pStyle w:val="BodyText"/>
              <w:rPr>
                <w:lang w:val="en-NZ"/>
              </w:rPr>
            </w:pPr>
            <w:r w:rsidRPr="00722C9F">
              <w:t>6.3</w:t>
            </w:r>
          </w:p>
        </w:tc>
        <w:tc>
          <w:tcPr>
            <w:tcW w:w="5100" w:type="dxa"/>
            <w:tcBorders>
              <w:top w:val="nil"/>
              <w:left w:val="nil"/>
              <w:bottom w:val="nil"/>
              <w:right w:val="nil"/>
            </w:tcBorders>
            <w:tcMar>
              <w:top w:w="0" w:type="dxa"/>
              <w:left w:w="62" w:type="dxa"/>
              <w:bottom w:w="0" w:type="dxa"/>
              <w:right w:w="62" w:type="dxa"/>
            </w:tcMar>
          </w:tcPr>
          <w:p w:rsidR="00000000" w:rsidP="00722C9F">
            <w:pPr>
              <w:pStyle w:val="BodyText"/>
              <w:rPr>
                <w:lang w:val="en-NZ"/>
              </w:rPr>
            </w:pPr>
            <w:r w:rsidRPr="00722C9F">
              <w:t>Ensure the safe collection of laboratory and hazardous waste for subsequent disposal</w:t>
            </w:r>
          </w:p>
        </w:tc>
      </w:tr>
      <w:tr w:rsidTr="0093363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22C9F">
            <w:pPr>
              <w:pStyle w:val="BodyText"/>
              <w:rPr>
                <w:lang w:val="en-NZ"/>
              </w:rPr>
            </w:pPr>
            <w:r w:rsidRPr="00722C9F">
              <w:t>6.4</w:t>
            </w:r>
          </w:p>
        </w:tc>
        <w:tc>
          <w:tcPr>
            <w:tcW w:w="5100" w:type="dxa"/>
            <w:tcBorders>
              <w:top w:val="nil"/>
              <w:left w:val="nil"/>
              <w:bottom w:val="nil"/>
              <w:right w:val="nil"/>
            </w:tcBorders>
            <w:tcMar>
              <w:top w:w="0" w:type="dxa"/>
              <w:left w:w="62" w:type="dxa"/>
              <w:bottom w:w="0" w:type="dxa"/>
              <w:right w:w="62" w:type="dxa"/>
            </w:tcMar>
          </w:tcPr>
          <w:p w:rsidR="00000000" w:rsidP="00722C9F">
            <w:pPr>
              <w:pStyle w:val="BodyText"/>
              <w:rPr>
                <w:lang w:val="en-NZ"/>
              </w:rPr>
            </w:pPr>
            <w:r w:rsidRPr="00722C9F">
              <w:t>Care for and store equipment and reagents as required</w:t>
            </w:r>
          </w:p>
        </w:tc>
      </w:tr>
      <w:tr w:rsidTr="0093363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22C9F">
            <w:pPr>
              <w:pStyle w:val="BodyText"/>
              <w:rPr>
                <w:lang w:val="en-NZ"/>
              </w:rPr>
            </w:pPr>
            <w:r w:rsidRPr="00722C9F">
              <w:t>7</w:t>
            </w:r>
          </w:p>
        </w:tc>
        <w:tc>
          <w:tcPr>
            <w:tcW w:w="3000" w:type="dxa"/>
            <w:vMerge w:val="restart"/>
            <w:tcBorders>
              <w:top w:val="nil"/>
              <w:left w:val="nil"/>
              <w:bottom w:val="nil"/>
              <w:right w:val="nil"/>
            </w:tcBorders>
            <w:tcMar>
              <w:top w:w="0" w:type="dxa"/>
              <w:left w:w="62" w:type="dxa"/>
              <w:bottom w:w="0" w:type="dxa"/>
              <w:right w:w="62" w:type="dxa"/>
            </w:tcMar>
          </w:tcPr>
          <w:p w:rsidR="00000000" w:rsidP="00722C9F">
            <w:pPr>
              <w:pStyle w:val="BodyText"/>
              <w:rPr>
                <w:lang w:val="en-NZ"/>
              </w:rPr>
            </w:pPr>
            <w:r w:rsidRPr="00722C9F">
              <w:t>Maintain laboratory records</w:t>
            </w:r>
          </w:p>
        </w:tc>
        <w:tc>
          <w:tcPr>
            <w:tcW w:w="500" w:type="dxa"/>
            <w:tcBorders>
              <w:top w:val="nil"/>
              <w:left w:val="nil"/>
              <w:bottom w:val="nil"/>
              <w:right w:val="nil"/>
            </w:tcBorders>
            <w:tcMar>
              <w:top w:w="0" w:type="dxa"/>
              <w:left w:w="62" w:type="dxa"/>
              <w:bottom w:w="0" w:type="dxa"/>
              <w:right w:w="62" w:type="dxa"/>
            </w:tcMar>
          </w:tcPr>
          <w:p w:rsidR="00000000" w:rsidP="00722C9F">
            <w:pPr>
              <w:pStyle w:val="BodyText"/>
              <w:rPr>
                <w:lang w:val="en-NZ"/>
              </w:rPr>
            </w:pPr>
            <w:r w:rsidRPr="00722C9F">
              <w:t>7.1</w:t>
            </w:r>
          </w:p>
        </w:tc>
        <w:tc>
          <w:tcPr>
            <w:tcW w:w="5100" w:type="dxa"/>
            <w:tcBorders>
              <w:top w:val="nil"/>
              <w:left w:val="nil"/>
              <w:bottom w:val="nil"/>
              <w:right w:val="nil"/>
            </w:tcBorders>
            <w:tcMar>
              <w:top w:w="0" w:type="dxa"/>
              <w:left w:w="62" w:type="dxa"/>
              <w:bottom w:w="0" w:type="dxa"/>
              <w:right w:w="62" w:type="dxa"/>
            </w:tcMar>
          </w:tcPr>
          <w:p w:rsidR="00000000" w:rsidP="00722C9F">
            <w:pPr>
              <w:pStyle w:val="BodyText"/>
              <w:rPr>
                <w:lang w:val="en-NZ"/>
              </w:rPr>
            </w:pPr>
            <w:r w:rsidRPr="00722C9F">
              <w:t>Enter approved data into laboratory information management system</w:t>
            </w:r>
          </w:p>
        </w:tc>
      </w:tr>
      <w:tr w:rsidTr="0093363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22C9F">
            <w:pPr>
              <w:pStyle w:val="BodyText"/>
              <w:rPr>
                <w:lang w:val="en-NZ"/>
              </w:rPr>
            </w:pPr>
            <w:r w:rsidRPr="00722C9F">
              <w:t>7.2</w:t>
            </w:r>
          </w:p>
        </w:tc>
        <w:tc>
          <w:tcPr>
            <w:tcW w:w="5100" w:type="dxa"/>
            <w:tcBorders>
              <w:top w:val="nil"/>
              <w:left w:val="nil"/>
              <w:bottom w:val="nil"/>
              <w:right w:val="nil"/>
            </w:tcBorders>
            <w:tcMar>
              <w:top w:w="0" w:type="dxa"/>
              <w:left w:w="62" w:type="dxa"/>
              <w:bottom w:w="0" w:type="dxa"/>
              <w:right w:w="62" w:type="dxa"/>
            </w:tcMar>
          </w:tcPr>
          <w:p w:rsidR="00000000" w:rsidP="00722C9F">
            <w:pPr>
              <w:pStyle w:val="BodyText"/>
              <w:rPr>
                <w:lang w:val="en-NZ"/>
              </w:rPr>
            </w:pPr>
            <w:r w:rsidRPr="00722C9F">
              <w:t>Maintain confidentiality and security of enterprise information and laboratory data</w:t>
            </w:r>
          </w:p>
        </w:tc>
      </w:tr>
      <w:tr w:rsidTr="0093363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22C9F">
            <w:pPr>
              <w:pStyle w:val="BodyText"/>
              <w:rPr>
                <w:lang w:val="en-NZ"/>
              </w:rPr>
            </w:pPr>
            <w:r w:rsidRPr="00722C9F">
              <w:t>7.3</w:t>
            </w:r>
          </w:p>
        </w:tc>
        <w:tc>
          <w:tcPr>
            <w:tcW w:w="5100" w:type="dxa"/>
            <w:tcBorders>
              <w:top w:val="nil"/>
              <w:left w:val="nil"/>
              <w:bottom w:val="nil"/>
              <w:right w:val="nil"/>
            </w:tcBorders>
            <w:tcMar>
              <w:top w:w="0" w:type="dxa"/>
              <w:left w:w="62" w:type="dxa"/>
              <w:bottom w:w="0" w:type="dxa"/>
              <w:right w:w="62" w:type="dxa"/>
            </w:tcMar>
          </w:tcPr>
          <w:p w:rsidR="00000000" w:rsidRPr="00722C9F" w:rsidP="00722C9F">
            <w:pPr>
              <w:pStyle w:val="BodyText"/>
            </w:pPr>
            <w:r w:rsidRPr="00722C9F">
              <w:t>Maintain equipment and calibration logs in accordance with enterprise procedures.</w:t>
            </w:r>
          </w:p>
        </w:tc>
      </w:tr>
    </w:tbl>
    <w:p w:rsidR="00000000" w:rsidRPr="00722C9F" w:rsidP="00722C9F">
      <w:pPr>
        <w:pStyle w:val="BodyText"/>
      </w:pPr>
    </w:p>
    <w:p w:rsidR="00000000" w:rsidRPr="00722C9F" w:rsidP="00722C9F">
      <w:pPr>
        <w:pStyle w:val="AllowPageBreak"/>
      </w:pPr>
    </w:p>
    <w:p w:rsidR="00000000" w:rsidRPr="00722C9F" w:rsidP="00722C9F">
      <w:pPr>
        <w:pStyle w:val="Heading1"/>
      </w:pPr>
      <w:bookmarkStart w:id="9" w:name="O_312228"/>
      <w:bookmarkEnd w:id="9"/>
      <w:r w:rsidRPr="00722C9F">
        <w:t>Required Skills and Knowledge</w:t>
      </w:r>
    </w:p>
    <w:p w:rsidR="00000000" w:rsidRPr="00722C9F" w:rsidP="00722C9F">
      <w:pPr>
        <w:pStyle w:val="Heading1"/>
      </w:pPr>
      <w:bookmarkStart w:id="10" w:name="O_312227"/>
      <w:bookmarkEnd w:id="10"/>
      <w:r w:rsidRPr="00722C9F">
        <w:t>Evidence Guide</w:t>
      </w:r>
    </w:p>
    <w:p w:rsidR="00000000" w:rsidRPr="00722C9F" w:rsidP="00722C9F">
      <w:pPr>
        <w:pStyle w:val="BodyText"/>
      </w:pPr>
      <w:r w:rsidRPr="00722C9F">
        <w:t>The Evidence Guide describes the underpinning knowledge and skills that must be demonstrated to prove competence.</w:t>
      </w:r>
    </w:p>
    <w:p w:rsidR="00000000" w:rsidRPr="00722C9F" w:rsidP="00722C9F">
      <w:pPr>
        <w:pStyle w:val="BodyText"/>
      </w:pPr>
      <w:r w:rsidRPr="00722C9F">
        <w:rPr>
          <w:rStyle w:val="SpecialBold"/>
        </w:rPr>
        <w:t>Critical aspects of competency</w:t>
      </w:r>
    </w:p>
    <w:p w:rsidR="00000000" w:rsidRPr="00722C9F" w:rsidP="00722C9F">
      <w:pPr>
        <w:pStyle w:val="BodyText"/>
      </w:pPr>
      <w:r w:rsidRPr="00722C9F">
        <w:t>Competency must be demonstrated in the ability to perform consistently at the required standard. In particular,</w:t>
      </w:r>
      <w:r w:rsidRPr="00722C9F">
        <w:t xml:space="preserve"> assessors should look to see that the candidate:</w:t>
      </w:r>
    </w:p>
    <w:p w:rsidR="00000000" w:rsidRPr="00722C9F" w:rsidP="00722C9F">
      <w:pPr>
        <w:pStyle w:val="BodyText"/>
      </w:pPr>
      <w:r w:rsidRPr="00722C9F">
        <w:t>interprets test methods/procedures accurately</w:t>
      </w:r>
    </w:p>
    <w:p w:rsidR="00000000" w:rsidRPr="00722C9F" w:rsidP="00722C9F">
      <w:pPr>
        <w:pStyle w:val="BodyText"/>
      </w:pPr>
      <w:r w:rsidRPr="00722C9F">
        <w:t>prepares and tests samples using procedures appropriate to the nature of sample</w:t>
      </w:r>
    </w:p>
    <w:p w:rsidR="00000000" w:rsidRPr="00722C9F" w:rsidP="00722C9F">
      <w:pPr>
        <w:pStyle w:val="BodyText"/>
      </w:pPr>
      <w:r w:rsidRPr="00722C9F">
        <w:t>performs calibration checks (if required)</w:t>
      </w:r>
    </w:p>
    <w:p w:rsidR="00000000" w:rsidRPr="00722C9F" w:rsidP="00722C9F">
      <w:pPr>
        <w:pStyle w:val="BodyText"/>
      </w:pPr>
      <w:r w:rsidRPr="00722C9F">
        <w:t>safely operates test equipment/instrum</w:t>
      </w:r>
      <w:r w:rsidRPr="00722C9F">
        <w:t>ents to enterprise standards and/or manufacturer's specification</w:t>
      </w:r>
    </w:p>
    <w:p w:rsidR="00000000" w:rsidRPr="00722C9F" w:rsidP="00722C9F">
      <w:pPr>
        <w:pStyle w:val="BodyText"/>
      </w:pPr>
      <w:r w:rsidRPr="00722C9F">
        <w:t>prepares calibration graphs and calculates results using appropriate units and precision</w:t>
      </w:r>
    </w:p>
    <w:p w:rsidR="00000000" w:rsidRPr="00722C9F" w:rsidP="00722C9F">
      <w:pPr>
        <w:pStyle w:val="BodyText"/>
      </w:pPr>
      <w:r w:rsidRPr="00722C9F">
        <w:t>applies basic theoretical knowledge to interpret gross features of data and makes relevant conclusions</w:t>
      </w:r>
    </w:p>
    <w:p w:rsidR="00000000" w:rsidRPr="00722C9F" w:rsidP="00722C9F">
      <w:pPr>
        <w:pStyle w:val="BodyText"/>
      </w:pPr>
      <w:r w:rsidRPr="00722C9F">
        <w:t>identifies atypical results as out of normal range or an artefact</w:t>
      </w:r>
    </w:p>
    <w:p w:rsidR="00000000" w:rsidRPr="00722C9F" w:rsidP="00722C9F">
      <w:pPr>
        <w:pStyle w:val="BodyText"/>
      </w:pPr>
      <w:r w:rsidRPr="00722C9F">
        <w:t>traces and sources obvious causes of an artefact</w:t>
      </w:r>
    </w:p>
    <w:p w:rsidR="00000000" w:rsidRPr="00722C9F" w:rsidP="00722C9F">
      <w:pPr>
        <w:pStyle w:val="BodyText"/>
      </w:pPr>
      <w:r w:rsidRPr="00722C9F">
        <w:t>communicates problem(s) to a supervisor or outside service technician</w:t>
      </w:r>
    </w:p>
    <w:p w:rsidR="00000000" w:rsidRPr="00722C9F" w:rsidP="00722C9F">
      <w:pPr>
        <w:pStyle w:val="BodyText"/>
      </w:pPr>
      <w:r w:rsidRPr="00722C9F">
        <w:t>records and communicates results in accordance with enterprise procedu</w:t>
      </w:r>
      <w:r w:rsidRPr="00722C9F">
        <w:t>res</w:t>
      </w:r>
    </w:p>
    <w:p w:rsidR="00000000" w:rsidRPr="00722C9F" w:rsidP="00722C9F">
      <w:pPr>
        <w:pStyle w:val="BodyText"/>
      </w:pPr>
      <w:r w:rsidRPr="00722C9F">
        <w:t>maintains security, integrity, traceability of samples, sub-samples, test data and results and documentation.</w:t>
      </w:r>
    </w:p>
    <w:p w:rsidR="00000000" w:rsidRPr="00722C9F" w:rsidP="00722C9F">
      <w:pPr>
        <w:pStyle w:val="BodyText"/>
      </w:pPr>
      <w:r w:rsidRPr="00722C9F">
        <w:rPr>
          <w:rStyle w:val="SpecialBold"/>
        </w:rPr>
        <w:t>Underpinning knowledge</w:t>
      </w:r>
    </w:p>
    <w:p w:rsidR="00000000" w:rsidRPr="00722C9F" w:rsidP="00722C9F">
      <w:pPr>
        <w:pStyle w:val="BodyText"/>
      </w:pPr>
      <w:r w:rsidRPr="00722C9F">
        <w:t>Competency includes the ability to apply and explain:</w:t>
      </w:r>
    </w:p>
    <w:p w:rsidR="00000000" w:rsidRPr="00722C9F" w:rsidP="00722C9F">
      <w:pPr>
        <w:pStyle w:val="BodyText"/>
      </w:pPr>
      <w:r w:rsidRPr="00722C9F">
        <w:t>chemical principles and concepts underpinning test/procedure, such as:</w:t>
      </w:r>
    </w:p>
    <w:p w:rsidR="00000000" w:rsidRPr="00722C9F" w:rsidP="00722C9F">
      <w:pPr>
        <w:pStyle w:val="BodyText"/>
      </w:pPr>
      <w:r w:rsidRPr="00722C9F">
        <w:t>ions, atoms, molecules, bonding and links to chemical properties</w:t>
      </w:r>
    </w:p>
    <w:p w:rsidR="00000000" w:rsidRPr="00722C9F" w:rsidP="00722C9F">
      <w:pPr>
        <w:pStyle w:val="BodyText"/>
      </w:pPr>
      <w:r w:rsidRPr="00722C9F">
        <w:t>chemical reactions involving acid/base, redox, complex ion formation, solubility and equilibrium</w:t>
      </w:r>
    </w:p>
    <w:p w:rsidR="00000000" w:rsidRPr="00722C9F" w:rsidP="00722C9F">
      <w:pPr>
        <w:pStyle w:val="BodyText"/>
      </w:pPr>
      <w:r w:rsidRPr="00722C9F">
        <w:t>energy levels, absorpti</w:t>
      </w:r>
      <w:r w:rsidRPr="00722C9F">
        <w:t>on/emission spectra</w:t>
      </w:r>
    </w:p>
    <w:p w:rsidR="00000000" w:rsidRPr="00722C9F" w:rsidP="00722C9F">
      <w:pPr>
        <w:pStyle w:val="BodyText"/>
      </w:pPr>
      <w:r w:rsidRPr="00722C9F">
        <w:t>use of instruments for qualitative and/or quantitative analysis</w:t>
      </w:r>
    </w:p>
    <w:p w:rsidR="00000000" w:rsidRPr="00722C9F" w:rsidP="00722C9F">
      <w:pPr>
        <w:pStyle w:val="BodyText"/>
      </w:pPr>
      <w:r w:rsidRPr="00722C9F">
        <w:t>purpose of the test(s)</w:t>
      </w:r>
    </w:p>
    <w:p w:rsidR="00000000" w:rsidRPr="00722C9F" w:rsidP="00722C9F">
      <w:pPr>
        <w:pStyle w:val="BodyText"/>
      </w:pPr>
      <w:r w:rsidRPr="00722C9F">
        <w:t>metrology and/or separation techniques underpinning test/procedure</w:t>
      </w:r>
    </w:p>
    <w:p w:rsidR="00000000" w:rsidRPr="00722C9F" w:rsidP="00722C9F">
      <w:pPr>
        <w:pStyle w:val="BodyText"/>
      </w:pPr>
      <w:r w:rsidRPr="00722C9F">
        <w:t>principles and concepts related to equipment/instrument operation and testing</w:t>
      </w:r>
    </w:p>
    <w:p w:rsidR="00000000" w:rsidRPr="00722C9F" w:rsidP="00722C9F">
      <w:pPr>
        <w:pStyle w:val="BodyText"/>
      </w:pPr>
      <w:r w:rsidRPr="00722C9F">
        <w:t>func</w:t>
      </w:r>
      <w:r w:rsidRPr="00722C9F">
        <w:t>tion of key components of the equipment/instrument and/or reagents</w:t>
      </w:r>
    </w:p>
    <w:p w:rsidR="00000000" w:rsidRPr="00722C9F" w:rsidP="00722C9F">
      <w:pPr>
        <w:pStyle w:val="BodyText"/>
      </w:pPr>
      <w:r w:rsidRPr="00722C9F">
        <w:t>effects of modifying equipment/instrument variables</w:t>
      </w:r>
    </w:p>
    <w:p w:rsidR="00000000" w:rsidRPr="00722C9F" w:rsidP="00722C9F">
      <w:pPr>
        <w:pStyle w:val="BodyText"/>
      </w:pPr>
      <w:r w:rsidRPr="00722C9F">
        <w:t>sample preparation procedures</w:t>
      </w:r>
    </w:p>
    <w:p w:rsidR="00000000" w:rsidRPr="00722C9F" w:rsidP="00722C9F">
      <w:pPr>
        <w:pStyle w:val="BodyText"/>
      </w:pPr>
      <w:r w:rsidRPr="00722C9F">
        <w:t>reagent maintenance and evaluation procedures</w:t>
      </w:r>
    </w:p>
    <w:p w:rsidR="00000000" w:rsidRPr="00722C9F" w:rsidP="00722C9F">
      <w:pPr>
        <w:pStyle w:val="BodyText"/>
      </w:pPr>
      <w:r w:rsidRPr="00722C9F">
        <w:t>basic equipment/method troubleshooting procedures</w:t>
      </w:r>
    </w:p>
    <w:p w:rsidR="00000000" w:rsidRPr="00722C9F" w:rsidP="00722C9F">
      <w:pPr>
        <w:pStyle w:val="BodyText"/>
      </w:pPr>
      <w:r w:rsidRPr="00722C9F">
        <w:t>use of cali</w:t>
      </w:r>
      <w:r w:rsidRPr="00722C9F">
        <w:t>bration procedures</w:t>
      </w:r>
    </w:p>
    <w:p w:rsidR="00000000" w:rsidRPr="00722C9F" w:rsidP="00722C9F">
      <w:pPr>
        <w:pStyle w:val="BodyText"/>
      </w:pPr>
      <w:r w:rsidRPr="00722C9F">
        <w:t>calculation steps to give results in appropriate units and precision</w:t>
      </w:r>
    </w:p>
    <w:p w:rsidR="00000000" w:rsidRPr="00722C9F" w:rsidP="00722C9F">
      <w:pPr>
        <w:pStyle w:val="BodyText"/>
      </w:pPr>
      <w:r w:rsidRPr="00722C9F">
        <w:t>enterprise and/or legal traceability requirements</w:t>
      </w:r>
    </w:p>
    <w:p w:rsidR="00000000" w:rsidRPr="00722C9F" w:rsidP="00722C9F">
      <w:pPr>
        <w:pStyle w:val="BodyText"/>
      </w:pPr>
      <w:r w:rsidRPr="00722C9F">
        <w:t>relevant health, safety and environment requirements.</w:t>
      </w:r>
    </w:p>
    <w:p w:rsidR="00000000" w:rsidRPr="00722C9F" w:rsidP="00722C9F">
      <w:pPr>
        <w:pStyle w:val="BodyText"/>
      </w:pPr>
      <w:r w:rsidRPr="00722C9F">
        <w:rPr>
          <w:rStyle w:val="SpecialBold"/>
        </w:rPr>
        <w:t>Assessment context and methods</w:t>
      </w:r>
    </w:p>
    <w:p w:rsidR="00000000" w:rsidRPr="00722C9F" w:rsidP="00722C9F">
      <w:pPr>
        <w:pStyle w:val="BodyText"/>
      </w:pPr>
      <w:r w:rsidRPr="00722C9F">
        <w:t xml:space="preserve">This unit of competency is to be </w:t>
      </w:r>
      <w:r w:rsidRPr="00722C9F">
        <w:t xml:space="preserve">assessed in the workplace or simulated workplace environment. </w:t>
      </w:r>
    </w:p>
    <w:p w:rsidR="00000000" w:rsidRPr="00722C9F" w:rsidP="00722C9F">
      <w:pPr>
        <w:pStyle w:val="BodyText"/>
      </w:pPr>
      <w:r w:rsidRPr="00722C9F">
        <w:t>The following assessment methods are suggested:</w:t>
      </w:r>
    </w:p>
    <w:p w:rsidR="00000000" w:rsidRPr="00722C9F" w:rsidP="00722C9F">
      <w:pPr>
        <w:pStyle w:val="BodyText"/>
      </w:pPr>
      <w:r w:rsidRPr="00722C9F">
        <w:t>review of test data/results obtained by the candidate over a period of time to check accuracy, consistency and timeliness of results</w:t>
      </w:r>
    </w:p>
    <w:p w:rsidR="00000000" w:rsidRPr="00722C9F" w:rsidP="00722C9F">
      <w:pPr>
        <w:pStyle w:val="BodyText"/>
      </w:pPr>
      <w:r w:rsidRPr="00722C9F">
        <w:t>review of te</w:t>
      </w:r>
      <w:r w:rsidRPr="00722C9F">
        <w:t>st records and workplace documentation completed by the candidate</w:t>
      </w:r>
    </w:p>
    <w:p w:rsidR="00000000" w:rsidRPr="00722C9F" w:rsidP="00722C9F">
      <w:pPr>
        <w:pStyle w:val="BodyText"/>
      </w:pPr>
      <w:r w:rsidRPr="00722C9F">
        <w:t>observation of candidate conducting a range of chemical tests and procedures and sample preparation</w:t>
      </w:r>
    </w:p>
    <w:p w:rsidR="00000000" w:rsidRPr="00722C9F" w:rsidP="00722C9F">
      <w:pPr>
        <w:pStyle w:val="BodyText"/>
      </w:pPr>
      <w:r w:rsidRPr="00722C9F">
        <w:t>feedback from peers and supervisors</w:t>
      </w:r>
    </w:p>
    <w:p w:rsidR="00000000" w:rsidRPr="00722C9F" w:rsidP="00722C9F">
      <w:pPr>
        <w:pStyle w:val="BodyText"/>
      </w:pPr>
      <w:r w:rsidRPr="00722C9F">
        <w:t>oral or written questioning of chemical principles and</w:t>
      </w:r>
      <w:r w:rsidRPr="00722C9F">
        <w:t xml:space="preserve"> concepts, test methods and enterprise procedures.</w:t>
      </w:r>
    </w:p>
    <w:p w:rsidR="00000000" w:rsidRPr="00722C9F" w:rsidP="00722C9F">
      <w:pPr>
        <w:pStyle w:val="BodyText"/>
      </w:pPr>
      <w:r w:rsidRPr="00722C9F">
        <w:t>In all cases, practical assessment should be supported by questions to assess underpinning knowledge and those aspects of competency which are difficult to assess directly. Questioning techniques should su</w:t>
      </w:r>
      <w:r w:rsidRPr="00722C9F">
        <w:t>it the language and literacy levels of the candidate.</w:t>
      </w:r>
    </w:p>
    <w:p w:rsidR="00000000" w:rsidRPr="00722C9F" w:rsidP="00722C9F">
      <w:pPr>
        <w:pStyle w:val="BodyText"/>
      </w:pPr>
      <w:r w:rsidRPr="00722C9F">
        <w:rPr>
          <w:rStyle w:val="SpecialBold"/>
        </w:rPr>
        <w:t>Interdependent assessment of unit</w:t>
      </w:r>
    </w:p>
    <w:p w:rsidR="00000000" w:rsidRPr="00722C9F" w:rsidP="00722C9F">
      <w:pPr>
        <w:pStyle w:val="BodyText"/>
      </w:pPr>
      <w:r w:rsidRPr="00722C9F">
        <w:t>This unit of competency may be assessed with:</w:t>
      </w:r>
    </w:p>
    <w:p w:rsidR="00000000" w:rsidRPr="00722C9F" w:rsidP="00722C9F">
      <w:pPr>
        <w:pStyle w:val="BodyText"/>
      </w:pPr>
      <w:r w:rsidRPr="00722C9F">
        <w:t>PMLDATA400A Process and interpret data</w:t>
      </w:r>
    </w:p>
    <w:p w:rsidR="00000000" w:rsidRPr="00722C9F" w:rsidP="00722C9F">
      <w:pPr>
        <w:pStyle w:val="BodyText"/>
      </w:pPr>
      <w:r w:rsidRPr="00722C9F">
        <w:t>PMLTEST402B Prepare, standardise and use solutions.</w:t>
      </w:r>
    </w:p>
    <w:p w:rsidR="00000000" w:rsidRPr="00722C9F" w:rsidP="00722C9F">
      <w:pPr>
        <w:pStyle w:val="BodyText"/>
      </w:pPr>
      <w:r w:rsidRPr="00722C9F">
        <w:rPr>
          <w:rStyle w:val="SpecialBold"/>
        </w:rPr>
        <w:t>Resource implications</w:t>
      </w:r>
    </w:p>
    <w:p w:rsidR="00000000" w:rsidRPr="00722C9F" w:rsidP="00722C9F">
      <w:pPr>
        <w:pStyle w:val="BodyText"/>
      </w:pPr>
      <w:r w:rsidRPr="00722C9F">
        <w:t>Resources may include:</w:t>
      </w:r>
    </w:p>
    <w:p w:rsidR="00000000" w:rsidRPr="00722C9F" w:rsidP="00722C9F">
      <w:pPr>
        <w:pStyle w:val="BodyText"/>
      </w:pPr>
      <w:r w:rsidRPr="00722C9F">
        <w:t>standard laboratory equipped with appropriate test equipment/instruments, standards and reagents</w:t>
      </w:r>
    </w:p>
    <w:p w:rsidR="00000000" w:rsidRPr="00722C9F" w:rsidP="00722C9F">
      <w:pPr>
        <w:pStyle w:val="BodyText"/>
      </w:pPr>
      <w:r w:rsidRPr="00722C9F">
        <w:t>enterprise procedures and standard methods.</w:t>
      </w:r>
    </w:p>
    <w:p w:rsidR="00000000" w:rsidRPr="00722C9F" w:rsidP="00722C9F">
      <w:pPr>
        <w:pStyle w:val="BodyText"/>
      </w:pPr>
      <w:r w:rsidRPr="00722C9F">
        <w:rPr>
          <w:rStyle w:val="SpecialBold"/>
        </w:rPr>
        <w:t>This competency in practice</w:t>
      </w:r>
    </w:p>
    <w:p w:rsidR="00000000" w:rsidRPr="00722C9F" w:rsidP="00722C9F">
      <w:pPr>
        <w:pStyle w:val="BodyText"/>
      </w:pPr>
      <w:r w:rsidRPr="00722C9F">
        <w:rPr>
          <w:rStyle w:val="SpecialBold"/>
        </w:rPr>
        <w:t>Manufacturing</w:t>
      </w:r>
    </w:p>
    <w:p w:rsidR="00000000" w:rsidRPr="00722C9F" w:rsidP="00722C9F">
      <w:pPr>
        <w:pStyle w:val="BodyText"/>
      </w:pPr>
      <w:r w:rsidRPr="00722C9F">
        <w:t xml:space="preserve">Ultraviolet spectroscopy is a suitable method for </w:t>
      </w:r>
      <w:r w:rsidRPr="00722C9F">
        <w:t xml:space="preserve">determining the concentration of sulphanilamide in pharmaceutical preparations. The ultraviolet absorption spectrum is pH dependent, with the wavelength maximum different in acid and alkaline solutions. Example: a technician was conducting an analysis and </w:t>
      </w:r>
      <w:r w:rsidRPr="00722C9F">
        <w:t>noted that the wavelength maxima had moved from approximately 250nm to below 230nm. After reviewing the procedure being used and checking for possible errors, the technician found that an incorrect solvent had been used for the analysis. The hydrochloric a</w:t>
      </w:r>
      <w:r w:rsidRPr="00722C9F">
        <w:t>cid solvent was replaced with sodium hydroxide, as per the standard method, and the correct absorption spectrum was obtained.</w:t>
      </w:r>
    </w:p>
    <w:p w:rsidR="00000000" w:rsidRPr="00722C9F" w:rsidP="00722C9F">
      <w:pPr>
        <w:pStyle w:val="BodyText"/>
      </w:pPr>
      <w:r w:rsidRPr="00722C9F">
        <w:rPr>
          <w:rStyle w:val="SpecialBold"/>
        </w:rPr>
        <w:t>Environmental</w:t>
      </w:r>
    </w:p>
    <w:p w:rsidR="00000000" w:rsidRPr="00722C9F" w:rsidP="00722C9F">
      <w:pPr>
        <w:pStyle w:val="BodyText"/>
      </w:pPr>
      <w:r w:rsidRPr="00722C9F">
        <w:t>A technician was asked to test water samples from a local lake over several days to determine the lake's nutrient le</w:t>
      </w:r>
      <w:r w:rsidRPr="00722C9F">
        <w:t>vels following reports of algal blooms in the lake over the preceding weeks. He/she used a field colorimeter kit to determine both nitrates and orthophosphates using standard operating procedures (SOPs). Because the same colorimetric cells were used for th</w:t>
      </w:r>
      <w:r w:rsidRPr="00722C9F">
        <w:t>e nitrate and orthophosphate tests, they were carefully washed and rinsed with distilled water between all tests (as specified in the SOP). After reviewing the results from the first three days, the technician noted that the first orthophosphate result, wh</w:t>
      </w:r>
      <w:r w:rsidRPr="00722C9F">
        <w:t>ich was done immediately after all the nitrate tests, was much higher than subsequent orthophosphate tests which were all consistently low. The technician argued that the 'high' results for the first orthophosphate test may be due to cross contamination fr</w:t>
      </w:r>
      <w:r w:rsidRPr="00722C9F">
        <w:t xml:space="preserve">om trace amounts of reagents used in previous nitrate tests despite having closely followed the cleaning/rinsing SOPs. After discussion with his/her supervisor, the technician modified the field procedures by using totally different colorimetric cells for </w:t>
      </w:r>
      <w:r w:rsidRPr="00722C9F">
        <w:t>the nitrate and orthophosphate tests. For all subsequent tests no 'high' orthophosphate results were obtained for the first sample. As a result, the laboratory supervisor amended the SOPs to incorporate this new requirement.</w:t>
      </w:r>
    </w:p>
    <w:p w:rsidR="00000000" w:rsidRPr="00722C9F" w:rsidP="00722C9F">
      <w:pPr>
        <w:pStyle w:val="BodyText"/>
      </w:pPr>
      <w:r w:rsidRPr="00722C9F">
        <w:rPr>
          <w:rStyle w:val="SpecialBold"/>
        </w:rPr>
        <w:t>Food processing</w:t>
      </w:r>
    </w:p>
    <w:p w:rsidR="00000000" w:rsidRPr="00722C9F" w:rsidP="00722C9F">
      <w:pPr>
        <w:pStyle w:val="BodyText"/>
      </w:pPr>
      <w:r w:rsidRPr="00722C9F">
        <w:t xml:space="preserve">Regular checks </w:t>
      </w:r>
      <w:r w:rsidRPr="00722C9F">
        <w:t>are conducted on the percentage of salt in cheese at a dairy company's laboratory. A technician checks the results from the airomatic salt-titration equipment and, if the results are abnormal, notifies the supervisor before taking appropriate action. After</w:t>
      </w:r>
      <w:r w:rsidRPr="00722C9F">
        <w:t xml:space="preserve"> obtaining a high result, for example, the assistant notified the supervisor and then began checking the machine to identify a possible reason for the high reading. He/she found that the supply bottle of silver nitrate used in the test was almost empty. Th</w:t>
      </w:r>
      <w:r w:rsidRPr="00722C9F">
        <w:t>is had resulted in less solution being pumped through the equipment than required, leading to graph readings that indicated a high percentage of salt. After replacing the silver nitrate bottle and recalibrating the equipment, the assistant retested the che</w:t>
      </w:r>
      <w:r w:rsidRPr="00722C9F">
        <w:t>ese samples and found that they contained the expected 1-2% salt.</w:t>
      </w:r>
    </w:p>
    <w:p w:rsidR="00000000" w:rsidRPr="00722C9F" w:rsidP="00722C9F">
      <w:pPr>
        <w:pStyle w:val="BodyText"/>
      </w:pPr>
      <w:r w:rsidRPr="00722C9F">
        <w:rPr>
          <w:rStyle w:val="SpecialBold"/>
        </w:rPr>
        <w:t>Key Competencies</w:t>
      </w:r>
    </w:p>
    <w:p w:rsidR="00000000" w:rsidRPr="00722C9F" w:rsidP="00722C9F">
      <w:pPr>
        <w:pStyle w:val="BodyText"/>
      </w:pPr>
      <w:r w:rsidRPr="00722C9F">
        <w:t>The seven key competencies represent generic skills considered for effective work participation. The bracketed numbering against each of the key competencies indicates the p</w:t>
      </w:r>
      <w:r w:rsidRPr="00722C9F">
        <w:t>erformance level required in this unit. These are stand-alone levels and do not correspond to levels in the Australian Qualifications Framework (AQF).</w:t>
      </w:r>
    </w:p>
    <w:p w:rsidR="00000000" w:rsidRPr="00722C9F" w:rsidP="00722C9F">
      <w:pPr>
        <w:pStyle w:val="BodyText"/>
      </w:pPr>
      <w:r w:rsidRPr="00722C9F">
        <w:t>Level (1) represents the competence to undertake tasks effectively</w:t>
      </w:r>
    </w:p>
    <w:p w:rsidR="00000000" w:rsidRPr="00722C9F" w:rsidP="00722C9F">
      <w:pPr>
        <w:pStyle w:val="BodyText"/>
      </w:pPr>
      <w:r w:rsidRPr="00722C9F">
        <w:t>Level (2) represents the competence to</w:t>
      </w:r>
      <w:r w:rsidRPr="00722C9F">
        <w:t xml:space="preserve"> manage tasks</w:t>
      </w:r>
    </w:p>
    <w:p w:rsidR="00000000" w:rsidRPr="00722C9F" w:rsidP="00722C9F">
      <w:pPr>
        <w:pStyle w:val="BodyText"/>
      </w:pPr>
      <w:r w:rsidRPr="00722C9F">
        <w:t>Level (3) represents the competence to use concepts for evaluating and reshaping tasks.</w:t>
      </w:r>
    </w:p>
    <w:tbl>
      <w:tblPr>
        <w:tblW w:w="0" w:type="auto"/>
        <w:tblLayout w:type="fixed"/>
        <w:tblCellMar>
          <w:left w:w="62" w:type="dxa"/>
          <w:right w:w="62" w:type="dxa"/>
        </w:tblCellMar>
        <w:tblLook w:val="0000"/>
      </w:tblPr>
      <w:tblGrid>
        <w:gridCol w:w="1285"/>
        <w:gridCol w:w="1285"/>
        <w:gridCol w:w="1285"/>
        <w:gridCol w:w="1285"/>
        <w:gridCol w:w="1285"/>
        <w:gridCol w:w="1285"/>
        <w:gridCol w:w="1285"/>
      </w:tblGrid>
      <w:tr w:rsidTr="00933639">
        <w:tblPrEx>
          <w:tblW w:w="0" w:type="auto"/>
          <w:tblLayout w:type="fixed"/>
          <w:tblCellMar>
            <w:left w:w="62" w:type="dxa"/>
            <w:right w:w="62" w:type="dxa"/>
          </w:tblCellMar>
          <w:tblLook w:val="0000"/>
        </w:tblPrEx>
        <w:tc>
          <w:tcPr>
            <w:tcW w:w="1285" w:type="dxa"/>
            <w:tcBorders>
              <w:top w:val="nil"/>
              <w:left w:val="nil"/>
              <w:bottom w:val="nil"/>
              <w:right w:val="nil"/>
            </w:tcBorders>
            <w:tcMar>
              <w:top w:w="0" w:type="dxa"/>
              <w:left w:w="62" w:type="dxa"/>
              <w:bottom w:w="0" w:type="dxa"/>
              <w:right w:w="62" w:type="dxa"/>
            </w:tcMar>
          </w:tcPr>
          <w:p w:rsidR="00000000" w:rsidP="00722C9F">
            <w:pPr>
              <w:pStyle w:val="BodyText"/>
              <w:rPr>
                <w:lang w:val="en-NZ"/>
              </w:rPr>
            </w:pPr>
            <w:r w:rsidRPr="00722C9F">
              <w:t xml:space="preserve">Collecting, analysing and organising information </w:t>
            </w:r>
          </w:p>
        </w:tc>
        <w:tc>
          <w:tcPr>
            <w:tcW w:w="1285" w:type="dxa"/>
            <w:tcBorders>
              <w:top w:val="nil"/>
              <w:left w:val="nil"/>
              <w:bottom w:val="nil"/>
              <w:right w:val="nil"/>
            </w:tcBorders>
            <w:tcMar>
              <w:top w:w="0" w:type="dxa"/>
              <w:left w:w="62" w:type="dxa"/>
              <w:bottom w:w="0" w:type="dxa"/>
              <w:right w:w="62" w:type="dxa"/>
            </w:tcMar>
          </w:tcPr>
          <w:p w:rsidR="00000000" w:rsidP="00722C9F">
            <w:pPr>
              <w:pStyle w:val="BodyText"/>
              <w:rPr>
                <w:lang w:val="en-NZ"/>
              </w:rPr>
            </w:pPr>
            <w:r w:rsidRPr="00722C9F">
              <w:t xml:space="preserve">Communicating ideas and information </w:t>
            </w:r>
          </w:p>
        </w:tc>
        <w:tc>
          <w:tcPr>
            <w:tcW w:w="1285" w:type="dxa"/>
            <w:tcBorders>
              <w:top w:val="nil"/>
              <w:left w:val="nil"/>
              <w:bottom w:val="nil"/>
              <w:right w:val="nil"/>
            </w:tcBorders>
            <w:tcMar>
              <w:top w:w="0" w:type="dxa"/>
              <w:left w:w="62" w:type="dxa"/>
              <w:bottom w:w="0" w:type="dxa"/>
              <w:right w:w="62" w:type="dxa"/>
            </w:tcMar>
          </w:tcPr>
          <w:p w:rsidR="00000000" w:rsidP="00722C9F">
            <w:pPr>
              <w:pStyle w:val="BodyText"/>
              <w:rPr>
                <w:lang w:val="en-NZ"/>
              </w:rPr>
            </w:pPr>
            <w:r w:rsidRPr="00722C9F">
              <w:t>Planning and organising activities</w:t>
            </w:r>
          </w:p>
        </w:tc>
        <w:tc>
          <w:tcPr>
            <w:tcW w:w="1285" w:type="dxa"/>
            <w:tcBorders>
              <w:top w:val="nil"/>
              <w:left w:val="nil"/>
              <w:bottom w:val="nil"/>
              <w:right w:val="nil"/>
            </w:tcBorders>
            <w:tcMar>
              <w:top w:w="0" w:type="dxa"/>
              <w:left w:w="62" w:type="dxa"/>
              <w:bottom w:w="0" w:type="dxa"/>
              <w:right w:w="62" w:type="dxa"/>
            </w:tcMar>
          </w:tcPr>
          <w:p w:rsidR="00000000" w:rsidP="00722C9F">
            <w:pPr>
              <w:pStyle w:val="BodyText"/>
              <w:rPr>
                <w:lang w:val="en-NZ"/>
              </w:rPr>
            </w:pPr>
            <w:r w:rsidRPr="00722C9F">
              <w:t>Working with others and in teams</w:t>
            </w:r>
          </w:p>
        </w:tc>
        <w:tc>
          <w:tcPr>
            <w:tcW w:w="1285" w:type="dxa"/>
            <w:tcBorders>
              <w:top w:val="nil"/>
              <w:left w:val="nil"/>
              <w:bottom w:val="nil"/>
              <w:right w:val="nil"/>
            </w:tcBorders>
            <w:tcMar>
              <w:top w:w="0" w:type="dxa"/>
              <w:left w:w="62" w:type="dxa"/>
              <w:bottom w:w="0" w:type="dxa"/>
              <w:right w:w="62" w:type="dxa"/>
            </w:tcMar>
          </w:tcPr>
          <w:p w:rsidR="00000000" w:rsidP="00722C9F">
            <w:pPr>
              <w:pStyle w:val="BodyText"/>
              <w:rPr>
                <w:lang w:val="en-NZ"/>
              </w:rPr>
            </w:pPr>
            <w:r w:rsidRPr="00722C9F">
              <w:t>Using mathematical ideas and techniques</w:t>
            </w:r>
          </w:p>
        </w:tc>
        <w:tc>
          <w:tcPr>
            <w:tcW w:w="1285" w:type="dxa"/>
            <w:tcBorders>
              <w:top w:val="nil"/>
              <w:left w:val="nil"/>
              <w:bottom w:val="nil"/>
              <w:right w:val="nil"/>
            </w:tcBorders>
            <w:tcMar>
              <w:top w:w="0" w:type="dxa"/>
              <w:left w:w="62" w:type="dxa"/>
              <w:bottom w:w="0" w:type="dxa"/>
              <w:right w:w="62" w:type="dxa"/>
            </w:tcMar>
          </w:tcPr>
          <w:p w:rsidR="00000000" w:rsidP="00722C9F">
            <w:pPr>
              <w:pStyle w:val="BodyText"/>
              <w:rPr>
                <w:lang w:val="en-NZ"/>
              </w:rPr>
            </w:pPr>
            <w:r w:rsidRPr="00722C9F">
              <w:t>Solving problems</w:t>
            </w:r>
          </w:p>
        </w:tc>
        <w:tc>
          <w:tcPr>
            <w:tcW w:w="1285" w:type="dxa"/>
            <w:tcBorders>
              <w:top w:val="nil"/>
              <w:left w:val="nil"/>
              <w:bottom w:val="nil"/>
              <w:right w:val="nil"/>
            </w:tcBorders>
            <w:tcMar>
              <w:top w:w="0" w:type="dxa"/>
              <w:left w:w="62" w:type="dxa"/>
              <w:bottom w:w="0" w:type="dxa"/>
              <w:right w:w="62" w:type="dxa"/>
            </w:tcMar>
          </w:tcPr>
          <w:p w:rsidR="00000000" w:rsidP="00722C9F">
            <w:pPr>
              <w:pStyle w:val="BodyText"/>
              <w:rPr>
                <w:lang w:val="en-NZ"/>
              </w:rPr>
            </w:pPr>
            <w:r w:rsidRPr="00722C9F">
              <w:t xml:space="preserve">Using technology </w:t>
            </w:r>
          </w:p>
        </w:tc>
      </w:tr>
      <w:tr w:rsidTr="00933639">
        <w:tblPrEx>
          <w:tblW w:w="0" w:type="auto"/>
          <w:tblLayout w:type="fixed"/>
          <w:tblCellMar>
            <w:left w:w="62" w:type="dxa"/>
            <w:right w:w="62" w:type="dxa"/>
          </w:tblCellMar>
          <w:tblLook w:val="0000"/>
        </w:tblPrEx>
        <w:tc>
          <w:tcPr>
            <w:tcW w:w="1285" w:type="dxa"/>
            <w:tcBorders>
              <w:top w:val="nil"/>
              <w:left w:val="nil"/>
              <w:bottom w:val="nil"/>
              <w:right w:val="nil"/>
            </w:tcBorders>
            <w:tcMar>
              <w:top w:w="0" w:type="dxa"/>
              <w:left w:w="62" w:type="dxa"/>
              <w:bottom w:w="0" w:type="dxa"/>
              <w:right w:w="62" w:type="dxa"/>
            </w:tcMar>
          </w:tcPr>
          <w:p w:rsidR="00000000" w:rsidP="00722C9F">
            <w:pPr>
              <w:pStyle w:val="BodyText"/>
              <w:rPr>
                <w:lang w:val="en-NZ"/>
              </w:rPr>
            </w:pPr>
            <w:r w:rsidRPr="00722C9F">
              <w:t xml:space="preserve">Level 2 </w:t>
            </w:r>
          </w:p>
        </w:tc>
        <w:tc>
          <w:tcPr>
            <w:tcW w:w="1285" w:type="dxa"/>
            <w:tcBorders>
              <w:top w:val="nil"/>
              <w:left w:val="nil"/>
              <w:bottom w:val="nil"/>
              <w:right w:val="nil"/>
            </w:tcBorders>
            <w:tcMar>
              <w:top w:w="0" w:type="dxa"/>
              <w:left w:w="62" w:type="dxa"/>
              <w:bottom w:w="0" w:type="dxa"/>
              <w:right w:w="62" w:type="dxa"/>
            </w:tcMar>
          </w:tcPr>
          <w:p w:rsidR="00000000" w:rsidP="00722C9F">
            <w:pPr>
              <w:pStyle w:val="BodyText"/>
              <w:rPr>
                <w:lang w:val="en-NZ"/>
              </w:rPr>
            </w:pPr>
            <w:r w:rsidRPr="00722C9F">
              <w:t xml:space="preserve">Level 1 </w:t>
            </w:r>
          </w:p>
        </w:tc>
        <w:tc>
          <w:tcPr>
            <w:tcW w:w="1285" w:type="dxa"/>
            <w:tcBorders>
              <w:top w:val="nil"/>
              <w:left w:val="nil"/>
              <w:bottom w:val="nil"/>
              <w:right w:val="nil"/>
            </w:tcBorders>
            <w:tcMar>
              <w:top w:w="0" w:type="dxa"/>
              <w:left w:w="62" w:type="dxa"/>
              <w:bottom w:w="0" w:type="dxa"/>
              <w:right w:w="62" w:type="dxa"/>
            </w:tcMar>
          </w:tcPr>
          <w:p w:rsidR="00000000" w:rsidP="00722C9F">
            <w:pPr>
              <w:pStyle w:val="BodyText"/>
              <w:rPr>
                <w:lang w:val="en-NZ"/>
              </w:rPr>
            </w:pPr>
            <w:r w:rsidRPr="00722C9F">
              <w:t xml:space="preserve">Level 2 </w:t>
            </w:r>
          </w:p>
        </w:tc>
        <w:tc>
          <w:tcPr>
            <w:tcW w:w="1285" w:type="dxa"/>
            <w:tcBorders>
              <w:top w:val="nil"/>
              <w:left w:val="nil"/>
              <w:bottom w:val="nil"/>
              <w:right w:val="nil"/>
            </w:tcBorders>
            <w:tcMar>
              <w:top w:w="0" w:type="dxa"/>
              <w:left w:w="62" w:type="dxa"/>
              <w:bottom w:w="0" w:type="dxa"/>
              <w:right w:w="62" w:type="dxa"/>
            </w:tcMar>
          </w:tcPr>
          <w:p w:rsidR="00000000" w:rsidP="00722C9F">
            <w:pPr>
              <w:pStyle w:val="BodyText"/>
              <w:rPr>
                <w:lang w:val="en-NZ"/>
              </w:rPr>
            </w:pPr>
            <w:r w:rsidRPr="00722C9F">
              <w:t xml:space="preserve">Level 1 </w:t>
            </w:r>
          </w:p>
        </w:tc>
        <w:tc>
          <w:tcPr>
            <w:tcW w:w="1285" w:type="dxa"/>
            <w:tcBorders>
              <w:top w:val="nil"/>
              <w:left w:val="nil"/>
              <w:bottom w:val="nil"/>
              <w:right w:val="nil"/>
            </w:tcBorders>
            <w:tcMar>
              <w:top w:w="0" w:type="dxa"/>
              <w:left w:w="62" w:type="dxa"/>
              <w:bottom w:w="0" w:type="dxa"/>
              <w:right w:w="62" w:type="dxa"/>
            </w:tcMar>
          </w:tcPr>
          <w:p w:rsidR="00000000" w:rsidP="00722C9F">
            <w:pPr>
              <w:pStyle w:val="BodyText"/>
              <w:rPr>
                <w:lang w:val="en-NZ"/>
              </w:rPr>
            </w:pPr>
            <w:r w:rsidRPr="00722C9F">
              <w:t xml:space="preserve">Level 2 </w:t>
            </w:r>
          </w:p>
        </w:tc>
        <w:tc>
          <w:tcPr>
            <w:tcW w:w="1285" w:type="dxa"/>
            <w:tcBorders>
              <w:top w:val="nil"/>
              <w:left w:val="nil"/>
              <w:bottom w:val="nil"/>
              <w:right w:val="nil"/>
            </w:tcBorders>
            <w:tcMar>
              <w:top w:w="0" w:type="dxa"/>
              <w:left w:w="62" w:type="dxa"/>
              <w:bottom w:w="0" w:type="dxa"/>
              <w:right w:w="62" w:type="dxa"/>
            </w:tcMar>
          </w:tcPr>
          <w:p w:rsidR="00000000" w:rsidP="00722C9F">
            <w:pPr>
              <w:pStyle w:val="BodyText"/>
              <w:rPr>
                <w:lang w:val="en-NZ"/>
              </w:rPr>
            </w:pPr>
            <w:r w:rsidRPr="00722C9F">
              <w:t xml:space="preserve">Level 2 </w:t>
            </w:r>
          </w:p>
        </w:tc>
        <w:tc>
          <w:tcPr>
            <w:tcW w:w="1285" w:type="dxa"/>
            <w:tcBorders>
              <w:top w:val="nil"/>
              <w:left w:val="nil"/>
              <w:bottom w:val="nil"/>
              <w:right w:val="nil"/>
            </w:tcBorders>
            <w:tcMar>
              <w:top w:w="0" w:type="dxa"/>
              <w:left w:w="62" w:type="dxa"/>
              <w:bottom w:w="0" w:type="dxa"/>
              <w:right w:w="62" w:type="dxa"/>
            </w:tcMar>
          </w:tcPr>
          <w:p w:rsidR="00000000" w:rsidRPr="00722C9F" w:rsidP="00722C9F">
            <w:pPr>
              <w:pStyle w:val="BodyText"/>
            </w:pPr>
            <w:r w:rsidRPr="00722C9F">
              <w:t xml:space="preserve">Level 2 </w:t>
            </w:r>
          </w:p>
        </w:tc>
      </w:tr>
    </w:tbl>
    <w:p w:rsidR="00000000" w:rsidRPr="00722C9F" w:rsidP="00722C9F">
      <w:pPr>
        <w:pStyle w:val="BodyText"/>
      </w:pPr>
    </w:p>
    <w:p w:rsidR="00000000" w:rsidRPr="00722C9F" w:rsidP="00722C9F">
      <w:pPr>
        <w:pStyle w:val="AllowPageBreak"/>
      </w:pPr>
    </w:p>
    <w:p w:rsidR="00000000" w:rsidRPr="00722C9F" w:rsidP="00722C9F">
      <w:pPr>
        <w:pStyle w:val="Heading1"/>
      </w:pPr>
      <w:bookmarkStart w:id="11" w:name="O_312226"/>
      <w:bookmarkEnd w:id="11"/>
      <w:r w:rsidRPr="00722C9F">
        <w:t>Range Statement</w:t>
      </w:r>
    </w:p>
    <w:p w:rsidR="00000000" w:rsidRPr="00722C9F" w:rsidP="00722C9F">
      <w:pPr>
        <w:pStyle w:val="BodyText"/>
      </w:pPr>
      <w:r w:rsidRPr="00722C9F">
        <w:t xml:space="preserve">The range of variables relates to the unit of competency as a whole. It allows for different work environments and situations that will affect performance. </w:t>
      </w:r>
    </w:p>
    <w:p w:rsidR="00000000" w:rsidRPr="00722C9F" w:rsidP="00722C9F">
      <w:pPr>
        <w:pStyle w:val="BodyText"/>
      </w:pPr>
      <w:r w:rsidRPr="00722C9F">
        <w:t>Where reference is made to industry Codes of Practice, and/or Australian/international standards, i</w:t>
      </w:r>
      <w:r w:rsidRPr="00722C9F">
        <w:t xml:space="preserve">t is expected the latest version will be used. </w:t>
      </w:r>
    </w:p>
    <w:p w:rsidR="00000000" w:rsidRPr="00722C9F" w:rsidP="00722C9F">
      <w:pPr>
        <w:pStyle w:val="BodyText"/>
      </w:pPr>
      <w:r w:rsidRPr="00722C9F">
        <w:t>All operations must comply with relevant standards, appropriate procedures and/or enterprise requirements. These procedures include or have been prepared from:</w:t>
      </w:r>
    </w:p>
    <w:p w:rsidR="00000000" w:rsidRPr="00722C9F" w:rsidP="00722C9F">
      <w:pPr>
        <w:pStyle w:val="BodyText"/>
      </w:pPr>
      <w:r w:rsidRPr="00722C9F">
        <w:t>Australian and international standards, such as:</w:t>
      </w:r>
    </w:p>
    <w:p w:rsidR="00000000" w:rsidRPr="00722C9F" w:rsidP="00722C9F">
      <w:pPr>
        <w:pStyle w:val="BodyText"/>
      </w:pPr>
      <w:r w:rsidRPr="00722C9F">
        <w:t>AS ISO/IEC 17025 General requirements for the competence of testing and calibration laboratories</w:t>
      </w:r>
    </w:p>
    <w:p w:rsidR="00000000" w:rsidRPr="00722C9F" w:rsidP="00722C9F">
      <w:pPr>
        <w:pStyle w:val="BodyText"/>
      </w:pPr>
      <w:r w:rsidRPr="00722C9F">
        <w:t>ISO 9000 series Quality management and quality assurance standards</w:t>
      </w:r>
    </w:p>
    <w:p w:rsidR="00000000" w:rsidRPr="00722C9F" w:rsidP="00722C9F">
      <w:pPr>
        <w:pStyle w:val="BodyText"/>
      </w:pPr>
      <w:r w:rsidRPr="00722C9F">
        <w:t>AS 2243.2 Safety in Laboratories - Chemical aspects</w:t>
      </w:r>
    </w:p>
    <w:p w:rsidR="00000000" w:rsidRPr="00722C9F" w:rsidP="00722C9F">
      <w:pPr>
        <w:pStyle w:val="BodyText"/>
      </w:pPr>
      <w:r w:rsidRPr="00722C9F">
        <w:t>AS 2830.1 Good laboratory practice - Ch</w:t>
      </w:r>
      <w:r w:rsidRPr="00722C9F">
        <w:t>emical analysis</w:t>
      </w:r>
    </w:p>
    <w:p w:rsidR="00000000" w:rsidRPr="00722C9F" w:rsidP="00722C9F">
      <w:pPr>
        <w:pStyle w:val="BodyText"/>
      </w:pPr>
      <w:r w:rsidRPr="00722C9F">
        <w:t>AS 2162.1 General - Volumetric glassware</w:t>
      </w:r>
    </w:p>
    <w:p w:rsidR="00000000" w:rsidRPr="00722C9F" w:rsidP="00722C9F">
      <w:pPr>
        <w:pStyle w:val="BodyText"/>
      </w:pPr>
      <w:r w:rsidRPr="00722C9F">
        <w:t>AS 2134.1 Flame atomic absorption spectrometry</w:t>
      </w:r>
    </w:p>
    <w:p w:rsidR="00000000" w:rsidRPr="00722C9F" w:rsidP="00722C9F">
      <w:pPr>
        <w:pStyle w:val="BodyText"/>
      </w:pPr>
      <w:r w:rsidRPr="00722C9F">
        <w:t>AS 3753 Recommended practice for chemical analysis by ultraviolet/visible spectrophotometry</w:t>
      </w:r>
    </w:p>
    <w:p w:rsidR="00000000" w:rsidRPr="00722C9F" w:rsidP="00722C9F">
      <w:pPr>
        <w:pStyle w:val="BodyText"/>
      </w:pPr>
      <w:r w:rsidRPr="00722C9F">
        <w:t>industry methods, such as RACI and/or AACC methods for inorganic constituents</w:t>
      </w:r>
    </w:p>
    <w:p w:rsidR="00000000" w:rsidRPr="00722C9F" w:rsidP="00722C9F">
      <w:pPr>
        <w:pStyle w:val="BodyText"/>
      </w:pPr>
      <w:r w:rsidRPr="00722C9F">
        <w:t>Codes of Practice (such as GLP and GMP)</w:t>
      </w:r>
    </w:p>
    <w:p w:rsidR="00000000" w:rsidRPr="00722C9F" w:rsidP="00722C9F">
      <w:pPr>
        <w:pStyle w:val="BodyText"/>
      </w:pPr>
      <w:r w:rsidRPr="00722C9F">
        <w:t>National Measurement Act</w:t>
      </w:r>
    </w:p>
    <w:p w:rsidR="00000000" w:rsidRPr="00722C9F" w:rsidP="00722C9F">
      <w:pPr>
        <w:pStyle w:val="BodyText"/>
      </w:pPr>
      <w:r w:rsidRPr="00722C9F">
        <w:t>material safety data sheets (MSDSs)</w:t>
      </w:r>
    </w:p>
    <w:p w:rsidR="00000000" w:rsidRPr="00722C9F" w:rsidP="00722C9F">
      <w:pPr>
        <w:pStyle w:val="BodyText"/>
      </w:pPr>
      <w:r w:rsidRPr="00722C9F">
        <w:t xml:space="preserve">standard operating procedures (SOPs) </w:t>
      </w:r>
    </w:p>
    <w:p w:rsidR="00000000" w:rsidRPr="00722C9F" w:rsidP="00722C9F">
      <w:pPr>
        <w:pStyle w:val="BodyText"/>
      </w:pPr>
      <w:r w:rsidRPr="00722C9F">
        <w:t>quality manuals and equipment and proce</w:t>
      </w:r>
      <w:r w:rsidRPr="00722C9F">
        <w:t xml:space="preserve">dure manuals </w:t>
      </w:r>
    </w:p>
    <w:p w:rsidR="00000000" w:rsidRPr="00722C9F" w:rsidP="00722C9F">
      <w:pPr>
        <w:pStyle w:val="BodyText"/>
      </w:pPr>
      <w:r w:rsidRPr="00722C9F">
        <w:t xml:space="preserve">equipment startup, operation and shutdown procedures </w:t>
      </w:r>
    </w:p>
    <w:p w:rsidR="00000000" w:rsidRPr="00722C9F" w:rsidP="00722C9F">
      <w:pPr>
        <w:pStyle w:val="BodyText"/>
      </w:pPr>
      <w:r w:rsidRPr="00722C9F">
        <w:t xml:space="preserve">calibration and maintenance schedules </w:t>
      </w:r>
    </w:p>
    <w:p w:rsidR="00000000" w:rsidRPr="00722C9F" w:rsidP="00722C9F">
      <w:pPr>
        <w:pStyle w:val="BodyText"/>
      </w:pPr>
      <w:r w:rsidRPr="00722C9F">
        <w:t>data quality procedures</w:t>
      </w:r>
    </w:p>
    <w:p w:rsidR="00000000" w:rsidRPr="00722C9F" w:rsidP="00722C9F">
      <w:pPr>
        <w:pStyle w:val="BodyText"/>
      </w:pPr>
      <w:r w:rsidRPr="00722C9F">
        <w:t xml:space="preserve">enterprise recording and reporting procedures </w:t>
      </w:r>
    </w:p>
    <w:p w:rsidR="00000000" w:rsidRPr="00722C9F" w:rsidP="00722C9F">
      <w:pPr>
        <w:pStyle w:val="BodyText"/>
      </w:pPr>
      <w:r w:rsidRPr="00722C9F">
        <w:t xml:space="preserve">production and laboratory schedules </w:t>
      </w:r>
    </w:p>
    <w:p w:rsidR="00000000" w:rsidRPr="00722C9F" w:rsidP="00722C9F">
      <w:pPr>
        <w:pStyle w:val="BodyText"/>
      </w:pPr>
      <w:r w:rsidRPr="00722C9F">
        <w:t>material, production and product specific</w:t>
      </w:r>
      <w:r w:rsidRPr="00722C9F">
        <w:t xml:space="preserve">ations. </w:t>
      </w:r>
    </w:p>
    <w:p w:rsidR="00000000" w:rsidRPr="00722C9F" w:rsidP="00722C9F">
      <w:pPr>
        <w:pStyle w:val="BodyText"/>
      </w:pPr>
      <w:r w:rsidRPr="00722C9F">
        <w:t>Preparation of samples may include processes, such as grinding, mulling, preparation of discs, digestion, dissolving, ashing, refluxing, extracting, filtration, evaporation, flocculation, precipitation, washing, drying and centrifugation.</w:t>
      </w:r>
    </w:p>
    <w:p w:rsidR="00000000" w:rsidRPr="00722C9F" w:rsidP="00722C9F">
      <w:pPr>
        <w:pStyle w:val="BodyText"/>
      </w:pPr>
      <w:r w:rsidRPr="00722C9F">
        <w:t>Non inst</w:t>
      </w:r>
      <w:r w:rsidRPr="00722C9F">
        <w:t>rumental test/procedures may include:</w:t>
      </w:r>
    </w:p>
    <w:p w:rsidR="00000000" w:rsidRPr="00722C9F" w:rsidP="00722C9F">
      <w:pPr>
        <w:pStyle w:val="BodyText"/>
      </w:pPr>
      <w:r w:rsidRPr="00722C9F">
        <w:t>gravimetric analysis, such as:</w:t>
      </w:r>
    </w:p>
    <w:p w:rsidR="00000000" w:rsidRPr="00722C9F" w:rsidP="00722C9F">
      <w:pPr>
        <w:pStyle w:val="BodyText"/>
      </w:pPr>
      <w:r w:rsidRPr="00722C9F">
        <w:t>loss on drying</w:t>
      </w:r>
    </w:p>
    <w:p w:rsidR="00000000" w:rsidRPr="00722C9F" w:rsidP="00722C9F">
      <w:pPr>
        <w:pStyle w:val="BodyText"/>
      </w:pPr>
      <w:r w:rsidRPr="00722C9F">
        <w:t>suspended solids</w:t>
      </w:r>
    </w:p>
    <w:p w:rsidR="00000000" w:rsidRPr="00722C9F" w:rsidP="00722C9F">
      <w:pPr>
        <w:pStyle w:val="BodyText"/>
      </w:pPr>
      <w:r w:rsidRPr="00722C9F">
        <w:t>ashes, such as sulphated and gravimetric assays (for example, sulphates and nitrogen in fertilisers)</w:t>
      </w:r>
    </w:p>
    <w:p w:rsidR="00000000" w:rsidRPr="00722C9F" w:rsidP="00722C9F">
      <w:pPr>
        <w:pStyle w:val="BodyText"/>
      </w:pPr>
      <w:r w:rsidRPr="00722C9F">
        <w:t xml:space="preserve">Ni by dimethylglyoxime </w:t>
      </w:r>
    </w:p>
    <w:p w:rsidR="00000000" w:rsidRPr="00722C9F" w:rsidP="00722C9F">
      <w:pPr>
        <w:pStyle w:val="BodyText"/>
      </w:pPr>
      <w:r w:rsidRPr="00722C9F">
        <w:t>bitumen content of asphaltic c</w:t>
      </w:r>
      <w:r w:rsidRPr="00722C9F">
        <w:t>oncrete</w:t>
      </w:r>
    </w:p>
    <w:p w:rsidR="00000000" w:rsidRPr="00722C9F" w:rsidP="00722C9F">
      <w:pPr>
        <w:pStyle w:val="BodyText"/>
      </w:pPr>
      <w:r w:rsidRPr="00722C9F">
        <w:t>titrimetric analysis, such as:</w:t>
      </w:r>
    </w:p>
    <w:p w:rsidR="00000000" w:rsidRPr="00722C9F" w:rsidP="00722C9F">
      <w:pPr>
        <w:pStyle w:val="BodyText"/>
      </w:pPr>
      <w:r w:rsidRPr="00722C9F">
        <w:t>acid/base determinations</w:t>
      </w:r>
    </w:p>
    <w:p w:rsidR="00000000" w:rsidRPr="00722C9F" w:rsidP="00722C9F">
      <w:pPr>
        <w:pStyle w:val="BodyText"/>
      </w:pPr>
      <w:r w:rsidRPr="00722C9F">
        <w:t>complexiometric, such as water hardness, Fe by dichromate, binder content analysis</w:t>
      </w:r>
    </w:p>
    <w:p w:rsidR="00000000" w:rsidRPr="00722C9F" w:rsidP="00722C9F">
      <w:pPr>
        <w:pStyle w:val="BodyText"/>
      </w:pPr>
      <w:r w:rsidRPr="00722C9F">
        <w:t>redox, such as precipitation of chlorides in water</w:t>
      </w:r>
    </w:p>
    <w:p w:rsidR="00000000" w:rsidRPr="00722C9F" w:rsidP="00722C9F">
      <w:pPr>
        <w:pStyle w:val="BodyText"/>
      </w:pPr>
      <w:r w:rsidRPr="00722C9F">
        <w:t>dissolved oxygen (DO), chemical oxygen demand (COD), bioch</w:t>
      </w:r>
      <w:r w:rsidRPr="00722C9F">
        <w:t>emical oxygen demand (BOD)</w:t>
      </w:r>
    </w:p>
    <w:p w:rsidR="00000000" w:rsidRPr="00722C9F" w:rsidP="00722C9F">
      <w:pPr>
        <w:pStyle w:val="BodyText"/>
      </w:pPr>
      <w:r w:rsidRPr="00722C9F">
        <w:t>filtration, separation, solvent extraction techniques</w:t>
      </w:r>
    </w:p>
    <w:p w:rsidR="00000000" w:rsidRPr="00722C9F" w:rsidP="00722C9F">
      <w:pPr>
        <w:pStyle w:val="BodyText"/>
      </w:pPr>
      <w:r w:rsidRPr="00722C9F">
        <w:t>corrosion testing, cement content, accelerated weathering.</w:t>
      </w:r>
    </w:p>
    <w:p w:rsidR="00000000" w:rsidRPr="00722C9F" w:rsidP="00722C9F">
      <w:pPr>
        <w:pStyle w:val="BodyText"/>
      </w:pPr>
      <w:r w:rsidRPr="00722C9F">
        <w:t>Instrumental tests may include spectrometric, chromatography and electrochemical methods.</w:t>
      </w:r>
    </w:p>
    <w:p w:rsidR="00000000" w:rsidRPr="00722C9F" w:rsidP="00722C9F">
      <w:pPr>
        <w:pStyle w:val="BodyText"/>
      </w:pPr>
      <w:r w:rsidRPr="00722C9F">
        <w:t>Types of instrumentation and instrumental techniques may include:</w:t>
      </w:r>
    </w:p>
    <w:p w:rsidR="00000000" w:rsidRPr="00722C9F" w:rsidP="00722C9F">
      <w:pPr>
        <w:pStyle w:val="BodyText"/>
      </w:pPr>
      <w:r w:rsidRPr="00722C9F">
        <w:t>colorimetric, such as enzyme activity, chlorine in water, specific cations and anions</w:t>
      </w:r>
    </w:p>
    <w:p w:rsidR="00000000" w:rsidRPr="00722C9F" w:rsidP="00722C9F">
      <w:pPr>
        <w:pStyle w:val="BodyText"/>
      </w:pPr>
      <w:r w:rsidRPr="00722C9F">
        <w:t>infrared, ultraviolet and visible spectrophotometry</w:t>
      </w:r>
    </w:p>
    <w:p w:rsidR="00000000" w:rsidRPr="00722C9F" w:rsidP="00722C9F">
      <w:pPr>
        <w:pStyle w:val="BodyText"/>
      </w:pPr>
      <w:r w:rsidRPr="00722C9F">
        <w:t>other spectrometric techniques, such as:</w:t>
      </w:r>
    </w:p>
    <w:p w:rsidR="00000000" w:rsidRPr="00722C9F" w:rsidP="00722C9F">
      <w:pPr>
        <w:pStyle w:val="BodyText"/>
      </w:pPr>
      <w:r w:rsidRPr="00722C9F">
        <w:t>fluorimetri</w:t>
      </w:r>
      <w:r w:rsidRPr="00722C9F">
        <w:t>c analysis, flame atomic emission, flame atomic absorption spectrometry</w:t>
      </w:r>
    </w:p>
    <w:p w:rsidR="00000000" w:rsidRPr="00722C9F" w:rsidP="00722C9F">
      <w:pPr>
        <w:pStyle w:val="BodyText"/>
      </w:pPr>
      <w:r w:rsidRPr="00722C9F">
        <w:t>fourier transform infrared</w:t>
      </w:r>
    </w:p>
    <w:p w:rsidR="00000000" w:rsidRPr="00722C9F" w:rsidP="00722C9F">
      <w:pPr>
        <w:pStyle w:val="BodyText"/>
      </w:pPr>
      <w:r w:rsidRPr="00722C9F">
        <w:t>chromatographic techniques, such as:</w:t>
      </w:r>
    </w:p>
    <w:p w:rsidR="00000000" w:rsidRPr="00722C9F" w:rsidP="00722C9F">
      <w:pPr>
        <w:pStyle w:val="BodyText"/>
      </w:pPr>
      <w:r w:rsidRPr="00722C9F">
        <w:t>column and thin layer analytical and preparative chromatography</w:t>
      </w:r>
    </w:p>
    <w:p w:rsidR="00000000" w:rsidRPr="00722C9F" w:rsidP="00722C9F">
      <w:pPr>
        <w:pStyle w:val="BodyText"/>
      </w:pPr>
      <w:r w:rsidRPr="00722C9F">
        <w:t>paper, gas, liquid chromatography and HPLC for purity, r</w:t>
      </w:r>
      <w:r w:rsidRPr="00722C9F">
        <w:t>aw material and formulation checks</w:t>
      </w:r>
    </w:p>
    <w:p w:rsidR="00000000" w:rsidRPr="00722C9F" w:rsidP="00722C9F">
      <w:pPr>
        <w:pStyle w:val="BodyText"/>
      </w:pPr>
      <w:r w:rsidRPr="00722C9F">
        <w:t>ion chromatography for detection of nitrates, phosphates, sulphates, chlorides, bromides</w:t>
      </w:r>
    </w:p>
    <w:p w:rsidR="00000000" w:rsidRPr="00722C9F" w:rsidP="00722C9F">
      <w:pPr>
        <w:pStyle w:val="BodyText"/>
      </w:pPr>
      <w:r w:rsidRPr="00722C9F">
        <w:t>gel filtration chromatography for purification of proteins</w:t>
      </w:r>
    </w:p>
    <w:p w:rsidR="00000000" w:rsidRPr="00722C9F" w:rsidP="00722C9F">
      <w:pPr>
        <w:pStyle w:val="BodyText"/>
      </w:pPr>
      <w:r w:rsidRPr="00722C9F">
        <w:t>affinity chromatography for purification of immunoglobulins</w:t>
      </w:r>
    </w:p>
    <w:p w:rsidR="00000000" w:rsidRPr="00722C9F" w:rsidP="00722C9F">
      <w:pPr>
        <w:pStyle w:val="BodyText"/>
      </w:pPr>
      <w:r w:rsidRPr="00722C9F">
        <w:t>electrochemic</w:t>
      </w:r>
      <w:r w:rsidRPr="00722C9F">
        <w:t xml:space="preserve">al techniques, such as: pH, eH, conductivity, ion selective electrodes </w:t>
      </w:r>
    </w:p>
    <w:p w:rsidR="00000000" w:rsidRPr="00722C9F" w:rsidP="00722C9F">
      <w:pPr>
        <w:pStyle w:val="BodyText"/>
      </w:pPr>
      <w:r w:rsidRPr="00722C9F">
        <w:t>electrophoretic techniques for DNA patterns and determination of protein purity</w:t>
      </w:r>
    </w:p>
    <w:p w:rsidR="00000000" w:rsidRPr="00722C9F" w:rsidP="00722C9F">
      <w:pPr>
        <w:pStyle w:val="BodyText"/>
      </w:pPr>
      <w:r w:rsidRPr="00722C9F">
        <w:t>soil testing, such as:</w:t>
      </w:r>
    </w:p>
    <w:p w:rsidR="00000000" w:rsidRPr="00722C9F" w:rsidP="00722C9F">
      <w:pPr>
        <w:pStyle w:val="BodyText"/>
      </w:pPr>
      <w:r w:rsidRPr="00722C9F">
        <w:t>moisture content</w:t>
      </w:r>
    </w:p>
    <w:p w:rsidR="00000000" w:rsidRPr="00722C9F" w:rsidP="00722C9F">
      <w:pPr>
        <w:pStyle w:val="BodyText"/>
      </w:pPr>
      <w:r w:rsidRPr="00722C9F">
        <w:t>organic matter content</w:t>
      </w:r>
    </w:p>
    <w:p w:rsidR="00000000" w:rsidRPr="00722C9F" w:rsidP="00722C9F">
      <w:pPr>
        <w:pStyle w:val="BodyText"/>
      </w:pPr>
      <w:r w:rsidRPr="00722C9F">
        <w:t>specific anions and cations</w:t>
      </w:r>
    </w:p>
    <w:p w:rsidR="00000000" w:rsidRPr="00722C9F" w:rsidP="00722C9F">
      <w:pPr>
        <w:pStyle w:val="BodyText"/>
      </w:pPr>
      <w:r w:rsidRPr="00722C9F">
        <w:t>autoanalysers</w:t>
      </w:r>
      <w:r w:rsidRPr="00722C9F">
        <w:t xml:space="preserve"> for determination of total P, total Kjeldahl N, orthophosphate, nitrite/nitrate, ammonia.</w:t>
      </w:r>
    </w:p>
    <w:p w:rsidR="00000000" w:rsidRPr="00722C9F" w:rsidP="00722C9F">
      <w:pPr>
        <w:pStyle w:val="BodyText"/>
      </w:pPr>
      <w:r w:rsidRPr="00722C9F">
        <w:t xml:space="preserve">Chemical tests may include methods for: </w:t>
      </w:r>
    </w:p>
    <w:p w:rsidR="00000000" w:rsidRPr="00722C9F" w:rsidP="00722C9F">
      <w:pPr>
        <w:pStyle w:val="BodyText"/>
      </w:pPr>
      <w:r w:rsidRPr="00722C9F">
        <w:t>control of starting materials, in-process materials and finished products</w:t>
      </w:r>
    </w:p>
    <w:p w:rsidR="00000000" w:rsidRPr="00722C9F" w:rsidP="00722C9F">
      <w:pPr>
        <w:pStyle w:val="BodyText"/>
      </w:pPr>
      <w:r w:rsidRPr="00722C9F">
        <w:t>environmental monitoring</w:t>
      </w:r>
    </w:p>
    <w:p w:rsidR="00000000" w:rsidRPr="00722C9F" w:rsidP="00722C9F">
      <w:pPr>
        <w:pStyle w:val="BodyText"/>
      </w:pPr>
      <w:r w:rsidRPr="00722C9F">
        <w:t>basic troubleshooting and</w:t>
      </w:r>
      <w:r w:rsidRPr="00722C9F">
        <w:t>/or problem solving within the scope of standard operating procedures (SOP) and enterprise processes.</w:t>
      </w:r>
    </w:p>
    <w:p w:rsidR="00000000" w:rsidRPr="00722C9F" w:rsidP="00722C9F">
      <w:pPr>
        <w:pStyle w:val="BodyText"/>
      </w:pPr>
      <w:r w:rsidRPr="00722C9F">
        <w:t>Hazards may include:</w:t>
      </w:r>
    </w:p>
    <w:p w:rsidR="00000000" w:rsidRPr="00722C9F" w:rsidP="00722C9F">
      <w:pPr>
        <w:pStyle w:val="BodyText"/>
      </w:pPr>
      <w:r w:rsidRPr="00722C9F">
        <w:t>chemicals, such as:</w:t>
      </w:r>
    </w:p>
    <w:p w:rsidR="00000000" w:rsidRPr="00722C9F" w:rsidP="00722C9F">
      <w:pPr>
        <w:pStyle w:val="BodyText"/>
      </w:pPr>
      <w:r w:rsidRPr="00722C9F">
        <w:t>acids, for example, sulphuric, perchloric, hydrofluoric</w:t>
      </w:r>
    </w:p>
    <w:p w:rsidR="00000000" w:rsidRPr="00722C9F" w:rsidP="00722C9F">
      <w:pPr>
        <w:pStyle w:val="BodyText"/>
      </w:pPr>
      <w:r w:rsidRPr="00722C9F">
        <w:t>heavy metals, pesticides</w:t>
      </w:r>
    </w:p>
    <w:p w:rsidR="00000000" w:rsidRPr="00722C9F" w:rsidP="00722C9F">
      <w:pPr>
        <w:pStyle w:val="BodyText"/>
      </w:pPr>
      <w:r w:rsidRPr="00722C9F">
        <w:t>anions, for example, fluoride</w:t>
      </w:r>
    </w:p>
    <w:p w:rsidR="00000000" w:rsidRPr="00722C9F" w:rsidP="00722C9F">
      <w:pPr>
        <w:pStyle w:val="BodyText"/>
      </w:pPr>
      <w:r w:rsidRPr="00722C9F">
        <w:t>hy</w:t>
      </w:r>
      <w:r w:rsidRPr="00722C9F">
        <w:t>drocarbons, for example, mono-aromatics</w:t>
      </w:r>
    </w:p>
    <w:p w:rsidR="00000000" w:rsidRPr="00722C9F" w:rsidP="00722C9F">
      <w:pPr>
        <w:pStyle w:val="BodyText"/>
      </w:pPr>
      <w:r w:rsidRPr="00722C9F">
        <w:t>aerosols from broken centrifuge tubes, pipetting</w:t>
      </w:r>
    </w:p>
    <w:p w:rsidR="00000000" w:rsidRPr="00722C9F" w:rsidP="00722C9F">
      <w:pPr>
        <w:pStyle w:val="BodyText"/>
      </w:pPr>
      <w:r w:rsidRPr="00722C9F">
        <w:t>sharps, broken glassware</w:t>
      </w:r>
    </w:p>
    <w:p w:rsidR="00000000" w:rsidRPr="00722C9F" w:rsidP="00722C9F">
      <w:pPr>
        <w:pStyle w:val="BodyText"/>
      </w:pPr>
      <w:r w:rsidRPr="00722C9F">
        <w:t>flammable liquids and gases</w:t>
      </w:r>
    </w:p>
    <w:p w:rsidR="00000000" w:rsidRPr="00722C9F" w:rsidP="00722C9F">
      <w:pPr>
        <w:pStyle w:val="BodyText"/>
      </w:pPr>
      <w:r w:rsidRPr="00722C9F">
        <w:t>cryogenics, such as dry ice and liquid nitrogen</w:t>
      </w:r>
    </w:p>
    <w:p w:rsidR="00000000" w:rsidRPr="00722C9F" w:rsidP="00722C9F">
      <w:pPr>
        <w:pStyle w:val="BodyText"/>
      </w:pPr>
      <w:r w:rsidRPr="00722C9F">
        <w:t>fluids under pressure, such as hydrogen in gas liquid chromatography, acetylene in atomic absorption spectrometry</w:t>
      </w:r>
    </w:p>
    <w:p w:rsidR="00000000" w:rsidRPr="00722C9F" w:rsidP="00722C9F">
      <w:pPr>
        <w:pStyle w:val="BodyText"/>
      </w:pPr>
      <w:r w:rsidRPr="00722C9F">
        <w:t>sources of ignition</w:t>
      </w:r>
    </w:p>
    <w:p w:rsidR="00000000" w:rsidRPr="00722C9F" w:rsidP="00722C9F">
      <w:pPr>
        <w:pStyle w:val="BodyText"/>
      </w:pPr>
      <w:r w:rsidRPr="00722C9F">
        <w:t>high-temperature ashing processes</w:t>
      </w:r>
    </w:p>
    <w:p w:rsidR="00000000" w:rsidRPr="00722C9F" w:rsidP="00722C9F">
      <w:pPr>
        <w:pStyle w:val="BodyText"/>
      </w:pPr>
      <w:r w:rsidRPr="00722C9F">
        <w:t>disturbance or interruption of services.</w:t>
      </w:r>
    </w:p>
    <w:p w:rsidR="00000000" w:rsidRPr="00722C9F" w:rsidP="00722C9F">
      <w:pPr>
        <w:pStyle w:val="BodyText"/>
      </w:pPr>
      <w:r w:rsidRPr="00722C9F">
        <w:t>Hazard control measures may include:</w:t>
      </w:r>
    </w:p>
    <w:p w:rsidR="00000000" w:rsidRPr="00722C9F" w:rsidP="00722C9F">
      <w:pPr>
        <w:pStyle w:val="BodyText"/>
      </w:pPr>
      <w:r w:rsidRPr="00722C9F">
        <w:t>ensuring a</w:t>
      </w:r>
      <w:r w:rsidRPr="00722C9F">
        <w:t>ccess to service shut-off points</w:t>
      </w:r>
    </w:p>
    <w:p w:rsidR="00000000" w:rsidRPr="00722C9F" w:rsidP="00722C9F">
      <w:pPr>
        <w:pStyle w:val="BodyText"/>
      </w:pPr>
      <w:r w:rsidRPr="00722C9F">
        <w:t>recognising and observing hazard warnings and safety signs</w:t>
      </w:r>
    </w:p>
    <w:p w:rsidR="00000000" w:rsidRPr="00722C9F" w:rsidP="00722C9F">
      <w:pPr>
        <w:pStyle w:val="BodyText"/>
      </w:pPr>
      <w:r w:rsidRPr="00722C9F">
        <w:t>labelling of samples, reagents, aliquoted samples and hazardous materials</w:t>
      </w:r>
    </w:p>
    <w:p w:rsidR="00000000" w:rsidRPr="00722C9F" w:rsidP="00722C9F">
      <w:pPr>
        <w:pStyle w:val="BodyText"/>
      </w:pPr>
      <w:r w:rsidRPr="00722C9F">
        <w:t>handling and storage of hazardous materials and equipment in accordance with labelling, ma</w:t>
      </w:r>
      <w:r w:rsidRPr="00722C9F">
        <w:t>terials safety data sheets and manufacturer's instructions</w:t>
      </w:r>
    </w:p>
    <w:p w:rsidR="00000000" w:rsidRPr="00722C9F" w:rsidP="00722C9F">
      <w:pPr>
        <w:pStyle w:val="BodyText"/>
      </w:pPr>
      <w:r w:rsidRPr="00722C9F">
        <w:t>identifying and reporting operating problems or equipment malfunctions</w:t>
      </w:r>
    </w:p>
    <w:p w:rsidR="00000000" w:rsidRPr="00722C9F" w:rsidP="00722C9F">
      <w:pPr>
        <w:pStyle w:val="BodyText"/>
      </w:pPr>
      <w:r w:rsidRPr="00722C9F">
        <w:t>cleaning and decontaminating equipment and work areas regularly using enterprise procedures</w:t>
      </w:r>
    </w:p>
    <w:p w:rsidR="00000000" w:rsidRPr="00722C9F" w:rsidP="00722C9F">
      <w:pPr>
        <w:pStyle w:val="BodyText"/>
      </w:pPr>
      <w:r w:rsidRPr="00722C9F">
        <w:t>using personal protective clothing</w:t>
      </w:r>
      <w:r w:rsidRPr="00722C9F">
        <w:t xml:space="preserve"> and equipment, such as gloves, safety glasses, coveralls</w:t>
      </w:r>
    </w:p>
    <w:p w:rsidR="00000000" w:rsidRPr="00722C9F" w:rsidP="00722C9F">
      <w:pPr>
        <w:pStyle w:val="BodyText"/>
      </w:pPr>
      <w:r w:rsidRPr="00722C9F">
        <w:t>using containment facilities (PCII, PCIII and PCIV physical containment laboratories), containment equipment (biohazard containers, laminar flow cabinets, Class I, II and III biohazard cabinets) and</w:t>
      </w:r>
      <w:r w:rsidRPr="00722C9F">
        <w:t xml:space="preserve"> containment procedures</w:t>
      </w:r>
    </w:p>
    <w:p w:rsidR="00000000" w:rsidRPr="00722C9F" w:rsidP="00722C9F">
      <w:pPr>
        <w:pStyle w:val="BodyText"/>
      </w:pPr>
      <w:r w:rsidRPr="00722C9F">
        <w:t>reporting abnormal emissions, discharges and airborne contaminants, such as noise, light, solids, liquids, water/waste water, gases, smoke, vapour, fumes, odour and particulates to appropriate personnel.</w:t>
      </w:r>
    </w:p>
    <w:p w:rsidR="00000000" w:rsidRPr="00722C9F" w:rsidP="00722C9F">
      <w:pPr>
        <w:pStyle w:val="BodyText"/>
      </w:pPr>
      <w:r w:rsidRPr="00722C9F">
        <w:t>Records may include:</w:t>
      </w:r>
    </w:p>
    <w:p w:rsidR="00000000" w:rsidRPr="00722C9F" w:rsidP="00722C9F">
      <w:pPr>
        <w:pStyle w:val="BodyText"/>
      </w:pPr>
      <w:r w:rsidRPr="00722C9F">
        <w:t>test an</w:t>
      </w:r>
      <w:r w:rsidRPr="00722C9F">
        <w:t>d calibration results</w:t>
      </w:r>
    </w:p>
    <w:p w:rsidR="00000000" w:rsidRPr="00722C9F" w:rsidP="00722C9F">
      <w:pPr>
        <w:pStyle w:val="BodyText"/>
      </w:pPr>
      <w:r w:rsidRPr="00722C9F">
        <w:t>equipment use, maintenance and servicing history</w:t>
      </w:r>
    </w:p>
    <w:p w:rsidR="00000000" w:rsidRPr="00722C9F" w:rsidP="00722C9F">
      <w:pPr>
        <w:pStyle w:val="BodyText"/>
      </w:pPr>
      <w:r w:rsidRPr="00722C9F">
        <w:t>faulty or unsafe equipment.</w:t>
      </w:r>
    </w:p>
    <w:p w:rsidR="00000000" w:rsidRPr="00722C9F" w:rsidP="00722C9F">
      <w:pPr>
        <w:pStyle w:val="BodyText"/>
      </w:pPr>
      <w:r w:rsidRPr="00722C9F">
        <w:rPr>
          <w:rStyle w:val="SpecialBold"/>
        </w:rPr>
        <w:t>Health</w:t>
      </w:r>
      <w:r w:rsidRPr="00722C9F">
        <w:t xml:space="preserve">, </w:t>
      </w:r>
      <w:r w:rsidRPr="00722C9F">
        <w:rPr>
          <w:rStyle w:val="SpecialBold"/>
        </w:rPr>
        <w:t>safety and environment</w:t>
      </w:r>
    </w:p>
    <w:p w:rsidR="00000000" w:rsidRPr="00722C9F" w:rsidP="00722C9F">
      <w:pPr>
        <w:pStyle w:val="BodyText"/>
      </w:pPr>
      <w:r w:rsidRPr="00722C9F">
        <w:t xml:space="preserve">All operations to which this unit applies are subject to stringent health, safety and environmental (HSE) requirements, which </w:t>
      </w:r>
      <w:r w:rsidRPr="00722C9F">
        <w:t>may be imposed through State or Federal legislation, and these must not be compromised at any time. Where there is an apparent conflict between performance criteria and HSE requirements, the HSE requirements take precedence.</w:t>
      </w:r>
    </w:p>
    <w:p w:rsidR="00000000" w:rsidRPr="00722C9F" w:rsidP="00722C9F">
      <w:pPr>
        <w:pStyle w:val="BodyText"/>
      </w:pPr>
      <w:r w:rsidRPr="00722C9F">
        <w:t>All operations assume the poten</w:t>
      </w:r>
      <w:r w:rsidRPr="00722C9F">
        <w:t>tial hazardous nature of samples and require standard precautions to be applied. Users should access and apply current industry understanding of infection control issued by the National Health and Medical Research Council and State and Territory Department</w:t>
      </w:r>
      <w:r w:rsidRPr="00722C9F">
        <w:t>s of Health. All operations are performed in accordance with standard operating procedures.</w:t>
      </w:r>
    </w:p>
    <w:p w:rsidR="00000000" w:rsidRPr="00722C9F" w:rsidP="00722C9F">
      <w:pPr>
        <w:pStyle w:val="AllowPageBreak"/>
      </w:pPr>
    </w:p>
    <w:p w:rsidR="00000000" w:rsidRPr="00722C9F" w:rsidP="00722C9F">
      <w:pPr>
        <w:pStyle w:val="Heading1"/>
      </w:pPr>
      <w:bookmarkStart w:id="12" w:name="O_312225"/>
      <w:bookmarkEnd w:id="12"/>
      <w:r w:rsidRPr="00722C9F">
        <w:t>Unit Sector(s)</w:t>
      </w:r>
    </w:p>
    <w:p w:rsidR="00000000" w:rsidRPr="00722C9F" w:rsidP="00722C9F"/>
    <w:sectPr w:rsidSect="00722C9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C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33639" w:rsidP="009336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C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639" w:rsidP="00722C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33639" w:rsidP="00722C9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33639" w:rsidP="00722C9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C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33639" w:rsidP="0093363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C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639" w:rsidP="00722C9F">
    <w:pPr>
      <w:pStyle w:val="Header"/>
      <w:framePr w:wrap="around"/>
    </w:pPr>
    <w:r>
      <w:fldChar w:fldCharType="begin"/>
    </w:r>
    <w:r>
      <w:instrText xml:space="preserve"> TITLE   \* MERGEFORMAT </w:instrText>
    </w:r>
    <w:r>
      <w:fldChar w:fldCharType="separate"/>
    </w:r>
    <w:r>
      <w:t>PMLTEST404A Perform chemical tests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33639" w:rsidP="00722C9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2C9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22C9F"/>
    <w:pPr>
      <w:spacing w:before="360" w:after="60"/>
      <w:outlineLvl w:val="0"/>
    </w:pPr>
    <w:rPr>
      <w:sz w:val="32"/>
    </w:rPr>
  </w:style>
  <w:style w:type="paragraph" w:styleId="Heading2">
    <w:name w:val="heading 2"/>
    <w:basedOn w:val="HeadingBase"/>
    <w:next w:val="BodyText"/>
    <w:link w:val="Heading2Char"/>
    <w:qFormat/>
    <w:rsid w:val="00722C9F"/>
    <w:pPr>
      <w:keepLines/>
      <w:spacing w:before="240" w:after="120"/>
      <w:outlineLvl w:val="1"/>
    </w:pPr>
    <w:rPr>
      <w:sz w:val="28"/>
      <w:szCs w:val="40"/>
    </w:rPr>
  </w:style>
  <w:style w:type="paragraph" w:styleId="Heading3">
    <w:name w:val="heading 3"/>
    <w:basedOn w:val="HeadingBase"/>
    <w:next w:val="BodyText"/>
    <w:link w:val="Heading3Char"/>
    <w:qFormat/>
    <w:rsid w:val="00722C9F"/>
    <w:pPr>
      <w:spacing w:before="180" w:after="120"/>
      <w:outlineLvl w:val="2"/>
    </w:pPr>
    <w:rPr>
      <w:spacing w:val="-10"/>
      <w:kern w:val="32"/>
    </w:rPr>
  </w:style>
  <w:style w:type="paragraph" w:styleId="Heading4">
    <w:name w:val="heading 4"/>
    <w:basedOn w:val="HeadingBase"/>
    <w:next w:val="BodyText"/>
    <w:link w:val="Heading4Char"/>
    <w:qFormat/>
    <w:rsid w:val="00722C9F"/>
    <w:pPr>
      <w:spacing w:before="160" w:after="120"/>
      <w:outlineLvl w:val="3"/>
    </w:pPr>
    <w:rPr>
      <w:sz w:val="22"/>
    </w:rPr>
  </w:style>
  <w:style w:type="paragraph" w:styleId="Heading5">
    <w:name w:val="heading 5"/>
    <w:basedOn w:val="HeadingBase"/>
    <w:next w:val="Normal"/>
    <w:link w:val="Heading5Char"/>
    <w:qFormat/>
    <w:rsid w:val="00722C9F"/>
    <w:pPr>
      <w:spacing w:before="80"/>
      <w:outlineLvl w:val="4"/>
    </w:pPr>
    <w:rPr>
      <w:color w:val="918585"/>
      <w:sz w:val="20"/>
    </w:rPr>
  </w:style>
  <w:style w:type="paragraph" w:styleId="Heading6">
    <w:name w:val="heading 6"/>
    <w:basedOn w:val="HeadingBase"/>
    <w:next w:val="Normal"/>
    <w:link w:val="Heading6Char"/>
    <w:qFormat/>
    <w:rsid w:val="00722C9F"/>
    <w:pPr>
      <w:spacing w:before="60"/>
      <w:outlineLvl w:val="5"/>
    </w:pPr>
    <w:rPr>
      <w:color w:val="918585"/>
      <w:sz w:val="20"/>
    </w:rPr>
  </w:style>
  <w:style w:type="paragraph" w:styleId="Heading7">
    <w:name w:val="heading 7"/>
    <w:basedOn w:val="Normal"/>
    <w:next w:val="Normal"/>
    <w:link w:val="Heading7Char"/>
    <w:qFormat/>
    <w:rsid w:val="00722C9F"/>
    <w:pPr>
      <w:ind w:left="720"/>
      <w:outlineLvl w:val="6"/>
    </w:pPr>
    <w:rPr>
      <w:i/>
    </w:rPr>
  </w:style>
  <w:style w:type="paragraph" w:styleId="Heading8">
    <w:name w:val="heading 8"/>
    <w:basedOn w:val="Normal"/>
    <w:next w:val="Normal"/>
    <w:link w:val="Heading8Char"/>
    <w:qFormat/>
    <w:rsid w:val="00722C9F"/>
    <w:pPr>
      <w:ind w:left="720"/>
      <w:outlineLvl w:val="7"/>
    </w:pPr>
    <w:rPr>
      <w:i/>
    </w:rPr>
  </w:style>
  <w:style w:type="paragraph" w:styleId="Heading9">
    <w:name w:val="heading 9"/>
    <w:basedOn w:val="Normal"/>
    <w:next w:val="Normal"/>
    <w:link w:val="Heading9Char"/>
    <w:qFormat/>
    <w:rsid w:val="00722C9F"/>
    <w:pPr>
      <w:ind w:left="720"/>
      <w:outlineLvl w:val="8"/>
    </w:pPr>
    <w:rPr>
      <w:i/>
    </w:rPr>
  </w:style>
  <w:style w:type="character" w:default="1" w:styleId="DefaultParagraphFont">
    <w:name w:val="Default Paragraph Font"/>
    <w:uiPriority w:val="1"/>
    <w:unhideWhenUsed/>
    <w:rsid w:val="00722C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2C9F"/>
  </w:style>
  <w:style w:type="character" w:customStyle="1" w:styleId="Heading1Char">
    <w:name w:val="Heading 1 Char"/>
    <w:basedOn w:val="DefaultParagraphFont"/>
    <w:link w:val="Heading1"/>
    <w:rsid w:val="00722C9F"/>
    <w:rPr>
      <w:rFonts w:ascii="Times New Roman" w:eastAsia="Times New Roman" w:hAnsi="Times New Roman" w:cs="Times New Roman"/>
      <w:b/>
      <w:sz w:val="32"/>
      <w:szCs w:val="20"/>
      <w:lang w:eastAsia="en-US"/>
    </w:rPr>
  </w:style>
  <w:style w:type="paragraph" w:styleId="BodyText">
    <w:name w:val="Body Text"/>
    <w:basedOn w:val="Normal"/>
    <w:link w:val="BodyTextChar"/>
    <w:rsid w:val="00722C9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22C9F"/>
    <w:rPr>
      <w:rFonts w:ascii="Times New Roman" w:eastAsia="Times New Roman" w:hAnsi="Times New Roman" w:cs="Times New Roman"/>
      <w:sz w:val="24"/>
      <w:lang w:val="en-US" w:eastAsia="en-US"/>
    </w:rPr>
  </w:style>
  <w:style w:type="paragraph" w:styleId="Footer">
    <w:name w:val="footer"/>
    <w:basedOn w:val="Normal"/>
    <w:link w:val="FooterChar"/>
    <w:rsid w:val="00722C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2C9F"/>
    <w:rPr>
      <w:rFonts w:ascii="Times New Roman" w:eastAsia="Times New Roman" w:hAnsi="Times New Roman" w:cs="Times New Roman"/>
      <w:sz w:val="16"/>
      <w:lang w:val="en-US" w:eastAsia="en-US"/>
    </w:rPr>
  </w:style>
  <w:style w:type="character" w:customStyle="1" w:styleId="SpecialBold">
    <w:name w:val="Special Bold"/>
    <w:basedOn w:val="DefaultParagraphFont"/>
    <w:rsid w:val="00722C9F"/>
    <w:rPr>
      <w:b/>
      <w:spacing w:val="0"/>
    </w:rPr>
  </w:style>
  <w:style w:type="paragraph" w:styleId="Header">
    <w:name w:val="header"/>
    <w:basedOn w:val="Normal"/>
    <w:link w:val="HeaderChar"/>
    <w:rsid w:val="00722C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2C9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22C9F"/>
    <w:pPr>
      <w:spacing w:before="240" w:after="120"/>
      <w:outlineLvl w:val="0"/>
    </w:pPr>
    <w:rPr>
      <w:rFonts w:ascii="Times New Roman" w:hAnsi="Times New Roman"/>
      <w:b/>
      <w:sz w:val="28"/>
    </w:rPr>
  </w:style>
  <w:style w:type="paragraph" w:customStyle="1" w:styleId="AllowPageBreak">
    <w:name w:val="AllowPageBreak"/>
    <w:rsid w:val="00722C9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22C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2C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2C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2C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2C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2C9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22C9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22C9F"/>
    <w:rPr>
      <w:rFonts w:ascii="Courier New" w:eastAsia="Times New Roman" w:hAnsi="Courier New" w:cs="Times New Roman"/>
      <w:i/>
      <w:szCs w:val="20"/>
      <w:lang w:val="en-US" w:eastAsia="en-US"/>
    </w:rPr>
  </w:style>
  <w:style w:type="paragraph" w:customStyle="1" w:styleId="HeadingBase">
    <w:name w:val="Heading Base"/>
    <w:rsid w:val="00722C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2C9F"/>
    <w:pPr>
      <w:tabs>
        <w:tab w:val="right" w:leader="dot" w:pos="9072"/>
      </w:tabs>
      <w:ind w:left="567"/>
    </w:pPr>
    <w:rPr>
      <w:szCs w:val="22"/>
    </w:rPr>
  </w:style>
  <w:style w:type="paragraph" w:customStyle="1" w:styleId="TOCBase">
    <w:name w:val="TOC Base"/>
    <w:rsid w:val="00722C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2C9F"/>
    <w:pPr>
      <w:tabs>
        <w:tab w:val="right" w:leader="dot" w:pos="9072"/>
      </w:tabs>
      <w:spacing w:before="40" w:after="40"/>
      <w:ind w:left="284"/>
    </w:pPr>
    <w:rPr>
      <w:rFonts w:ascii="Times New Roman" w:hAnsi="Times New Roman"/>
    </w:rPr>
  </w:style>
  <w:style w:type="paragraph" w:styleId="TOC1">
    <w:name w:val="toc 1"/>
    <w:basedOn w:val="TOCBase"/>
    <w:next w:val="Normal"/>
    <w:rsid w:val="00722C9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22C9F"/>
    <w:pPr>
      <w:spacing w:before="5040"/>
      <w:jc w:val="center"/>
    </w:pPr>
    <w:rPr>
      <w:sz w:val="48"/>
      <w:szCs w:val="72"/>
      <w:lang w:val="en-US"/>
    </w:rPr>
  </w:style>
  <w:style w:type="character" w:customStyle="1" w:styleId="TitleChar">
    <w:name w:val="Title Char"/>
    <w:basedOn w:val="DefaultParagraphFont"/>
    <w:link w:val="Title"/>
    <w:rsid w:val="00722C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2C9F"/>
    <w:pPr>
      <w:tabs>
        <w:tab w:val="left" w:pos="3600"/>
        <w:tab w:val="left" w:pos="3958"/>
      </w:tabs>
    </w:pPr>
  </w:style>
  <w:style w:type="paragraph" w:styleId="List">
    <w:name w:val="List"/>
    <w:basedOn w:val="BodyText"/>
    <w:next w:val="BodyText"/>
    <w:rsid w:val="00722C9F"/>
    <w:pPr>
      <w:tabs>
        <w:tab w:val="left" w:pos="340"/>
      </w:tabs>
      <w:spacing w:before="60" w:after="60"/>
      <w:ind w:left="340" w:hanging="340"/>
    </w:pPr>
  </w:style>
  <w:style w:type="paragraph" w:styleId="ListBullet">
    <w:name w:val="List Bullet"/>
    <w:basedOn w:val="List"/>
    <w:rsid w:val="00722C9F"/>
    <w:pPr>
      <w:numPr>
        <w:numId w:val="11"/>
      </w:numPr>
      <w:tabs>
        <w:tab w:val="clear" w:pos="340"/>
      </w:tabs>
      <w:spacing w:before="40" w:after="40"/>
    </w:pPr>
  </w:style>
  <w:style w:type="paragraph" w:customStyle="1" w:styleId="Note">
    <w:name w:val="Note"/>
    <w:basedOn w:val="BodyText"/>
    <w:rsid w:val="00722C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2C9F"/>
    <w:pPr>
      <w:framePr w:wrap="auto" w:hAnchor="text" w:y="6049"/>
    </w:pPr>
    <w:rPr>
      <w:color w:val="000000"/>
      <w:sz w:val="40"/>
    </w:rPr>
  </w:style>
  <w:style w:type="paragraph" w:customStyle="1" w:styleId="TOCTitle">
    <w:name w:val="TOCTitle"/>
    <w:basedOn w:val="Heading1"/>
    <w:rsid w:val="00722C9F"/>
    <w:pPr>
      <w:spacing w:after="240"/>
      <w:jc w:val="center"/>
      <w:outlineLvl w:val="9"/>
    </w:pPr>
    <w:rPr>
      <w:caps/>
    </w:rPr>
  </w:style>
  <w:style w:type="paragraph" w:customStyle="1" w:styleId="Version">
    <w:name w:val="Version"/>
    <w:rsid w:val="00722C9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22C9F"/>
    <w:pPr>
      <w:numPr>
        <w:numId w:val="12"/>
      </w:numPr>
      <w:tabs>
        <w:tab w:val="clear" w:pos="680"/>
      </w:tabs>
    </w:pPr>
  </w:style>
  <w:style w:type="paragraph" w:styleId="Index1">
    <w:name w:val="index 1"/>
    <w:basedOn w:val="Normal"/>
    <w:next w:val="Normal"/>
    <w:semiHidden/>
    <w:rsid w:val="00722C9F"/>
    <w:pPr>
      <w:keepNext w:val="0"/>
      <w:tabs>
        <w:tab w:val="right" w:pos="4176"/>
      </w:tabs>
      <w:ind w:left="198" w:hanging="198"/>
    </w:pPr>
    <w:rPr>
      <w:rFonts w:ascii="Garamond" w:hAnsi="Garamond"/>
    </w:rPr>
  </w:style>
  <w:style w:type="paragraph" w:styleId="IndexHeading">
    <w:name w:val="index heading"/>
    <w:basedOn w:val="Normal"/>
    <w:next w:val="Index1"/>
    <w:semiHidden/>
    <w:rsid w:val="00722C9F"/>
    <w:pPr>
      <w:spacing w:before="120" w:after="120"/>
    </w:pPr>
    <w:rPr>
      <w:rFonts w:ascii="Arial" w:hAnsi="Arial"/>
      <w:b/>
      <w:color w:val="918585"/>
      <w:sz w:val="24"/>
    </w:rPr>
  </w:style>
  <w:style w:type="paragraph" w:customStyle="1" w:styleId="Chapter">
    <w:name w:val="Chapter"/>
    <w:basedOn w:val="Normal"/>
    <w:rsid w:val="00722C9F"/>
    <w:pPr>
      <w:spacing w:before="240"/>
    </w:pPr>
    <w:rPr>
      <w:rFonts w:ascii="Times New Roman" w:hAnsi="Times New Roman"/>
      <w:smallCaps/>
      <w:spacing w:val="80"/>
      <w:sz w:val="28"/>
    </w:rPr>
  </w:style>
  <w:style w:type="paragraph" w:customStyle="1" w:styleId="InChapter">
    <w:name w:val="InChapter"/>
    <w:basedOn w:val="Heading3"/>
    <w:rsid w:val="00722C9F"/>
    <w:pPr>
      <w:spacing w:after="240"/>
      <w:outlineLvl w:val="9"/>
    </w:pPr>
    <w:rPr>
      <w:noProof/>
    </w:rPr>
  </w:style>
  <w:style w:type="paragraph" w:styleId="Index2">
    <w:name w:val="index 2"/>
    <w:basedOn w:val="Normal"/>
    <w:next w:val="Normal"/>
    <w:semiHidden/>
    <w:rsid w:val="00722C9F"/>
    <w:pPr>
      <w:tabs>
        <w:tab w:val="right" w:pos="4176"/>
      </w:tabs>
      <w:ind w:left="568" w:hanging="284"/>
    </w:pPr>
    <w:rPr>
      <w:rFonts w:ascii="Garamond" w:hAnsi="Garamond"/>
    </w:rPr>
  </w:style>
  <w:style w:type="paragraph" w:customStyle="1" w:styleId="Byline">
    <w:name w:val="Byline"/>
    <w:rsid w:val="00722C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2C9F"/>
    <w:pPr>
      <w:tabs>
        <w:tab w:val="clear" w:pos="3600"/>
        <w:tab w:val="clear" w:pos="3958"/>
      </w:tabs>
      <w:jc w:val="right"/>
    </w:pPr>
  </w:style>
  <w:style w:type="character" w:styleId="Emphasis">
    <w:name w:val="Emphasis"/>
    <w:basedOn w:val="DefaultParagraphFont"/>
    <w:qFormat/>
    <w:rsid w:val="00722C9F"/>
    <w:rPr>
      <w:i/>
    </w:rPr>
  </w:style>
  <w:style w:type="paragraph" w:styleId="Caption">
    <w:name w:val="caption"/>
    <w:basedOn w:val="BodyText"/>
    <w:next w:val="Normal"/>
    <w:qFormat/>
    <w:rsid w:val="00722C9F"/>
    <w:pPr>
      <w:framePr w:w="2268" w:hSpace="181" w:vSpace="181" w:wrap="around" w:vAnchor="text" w:hAnchor="page" w:x="1135" w:y="285" w:anchorLock="1"/>
    </w:pPr>
    <w:rPr>
      <w:i/>
    </w:rPr>
  </w:style>
  <w:style w:type="paragraph" w:customStyle="1" w:styleId="MiniTOCTitle">
    <w:name w:val="MiniTOCTitle"/>
    <w:basedOn w:val="Heading4"/>
    <w:rsid w:val="00722C9F"/>
    <w:pPr>
      <w:spacing w:before="240"/>
      <w:outlineLvl w:val="9"/>
    </w:pPr>
    <w:rPr>
      <w:noProof/>
      <w:sz w:val="24"/>
    </w:rPr>
  </w:style>
  <w:style w:type="paragraph" w:customStyle="1" w:styleId="MiniTOCItem">
    <w:name w:val="MiniTOCItem"/>
    <w:basedOn w:val="ListBullet"/>
    <w:rsid w:val="00722C9F"/>
    <w:pPr>
      <w:numPr>
        <w:numId w:val="0"/>
      </w:numPr>
      <w:tabs>
        <w:tab w:val="right" w:leader="dot" w:pos="6521"/>
      </w:tabs>
      <w:spacing w:before="0" w:after="0"/>
    </w:pPr>
  </w:style>
  <w:style w:type="paragraph" w:customStyle="1" w:styleId="TOFTitle">
    <w:name w:val="TOFTitle"/>
    <w:basedOn w:val="TOCTitle"/>
    <w:rsid w:val="00722C9F"/>
  </w:style>
  <w:style w:type="paragraph" w:styleId="TableofFigures">
    <w:name w:val="table of figures"/>
    <w:basedOn w:val="Normal"/>
    <w:next w:val="Normal"/>
    <w:semiHidden/>
    <w:rsid w:val="00722C9F"/>
    <w:pPr>
      <w:tabs>
        <w:tab w:val="right" w:leader="dot" w:pos="9072"/>
      </w:tabs>
      <w:ind w:left="970" w:hanging="403"/>
    </w:pPr>
    <w:rPr>
      <w:rFonts w:ascii="Times New Roman" w:hAnsi="Times New Roman"/>
      <w:b/>
    </w:rPr>
  </w:style>
  <w:style w:type="paragraph" w:styleId="ListNumber">
    <w:name w:val="List Number"/>
    <w:basedOn w:val="List"/>
    <w:rsid w:val="00722C9F"/>
    <w:pPr>
      <w:numPr>
        <w:numId w:val="9"/>
      </w:numPr>
    </w:pPr>
  </w:style>
  <w:style w:type="character" w:customStyle="1" w:styleId="WingdingSymbols">
    <w:name w:val="Wingding Symbols"/>
    <w:rsid w:val="00722C9F"/>
    <w:rPr>
      <w:rFonts w:ascii="Wingdings" w:hAnsi="Wingdings"/>
    </w:rPr>
  </w:style>
  <w:style w:type="paragraph" w:customStyle="1" w:styleId="TableHeading">
    <w:name w:val="Table Heading"/>
    <w:basedOn w:val="HeadingBase"/>
    <w:rsid w:val="00722C9F"/>
    <w:pPr>
      <w:keepLines/>
      <w:pBdr>
        <w:bottom w:val="single" w:sz="6" w:space="1" w:color="918585"/>
      </w:pBdr>
      <w:spacing w:before="240"/>
    </w:pPr>
  </w:style>
  <w:style w:type="character" w:customStyle="1" w:styleId="HotSpot">
    <w:name w:val="HotSpot"/>
    <w:rsid w:val="00722C9F"/>
    <w:rPr>
      <w:color w:val="0033CC"/>
      <w:u w:val="none"/>
    </w:rPr>
  </w:style>
  <w:style w:type="paragraph" w:customStyle="1" w:styleId="BodyTextRight">
    <w:name w:val="Body Text Right"/>
    <w:basedOn w:val="BodyText"/>
    <w:rsid w:val="00722C9F"/>
    <w:pPr>
      <w:spacing w:before="0" w:after="0"/>
      <w:jc w:val="right"/>
    </w:pPr>
  </w:style>
  <w:style w:type="paragraph" w:styleId="Index3">
    <w:name w:val="index 3"/>
    <w:basedOn w:val="ListNumber2"/>
    <w:next w:val="Normal"/>
    <w:semiHidden/>
    <w:rsid w:val="00722C9F"/>
    <w:pPr>
      <w:numPr>
        <w:numId w:val="0"/>
      </w:numPr>
      <w:tabs>
        <w:tab w:val="right" w:leader="dot" w:pos="4176"/>
      </w:tabs>
    </w:pPr>
  </w:style>
  <w:style w:type="paragraph" w:styleId="ListNumber2">
    <w:name w:val="List Number 2"/>
    <w:basedOn w:val="List2"/>
    <w:rsid w:val="00722C9F"/>
    <w:pPr>
      <w:numPr>
        <w:numId w:val="8"/>
      </w:numPr>
      <w:tabs>
        <w:tab w:val="clear" w:pos="1060"/>
      </w:tabs>
    </w:pPr>
  </w:style>
  <w:style w:type="paragraph" w:customStyle="1" w:styleId="MarginNote">
    <w:name w:val="Margin Note"/>
    <w:basedOn w:val="BodyText"/>
    <w:rsid w:val="00722C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2C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2C9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22C9F"/>
    <w:rPr>
      <w:sz w:val="32"/>
    </w:rPr>
  </w:style>
  <w:style w:type="paragraph" w:customStyle="1" w:styleId="HeadingProcedure">
    <w:name w:val="Heading Procedure"/>
    <w:basedOn w:val="HeadingBase"/>
    <w:next w:val="Normal"/>
    <w:rsid w:val="00722C9F"/>
    <w:pPr>
      <w:tabs>
        <w:tab w:val="left" w:pos="0"/>
      </w:tabs>
      <w:spacing w:before="120" w:after="60"/>
    </w:pPr>
    <w:rPr>
      <w:i/>
      <w:color w:val="918585"/>
      <w:sz w:val="22"/>
    </w:rPr>
  </w:style>
  <w:style w:type="paragraph" w:customStyle="1" w:styleId="TableBodyText">
    <w:name w:val="Table Body Text"/>
    <w:basedOn w:val="BodyText"/>
    <w:rsid w:val="00722C9F"/>
    <w:pPr>
      <w:spacing w:before="60" w:after="60"/>
    </w:pPr>
  </w:style>
  <w:style w:type="paragraph" w:styleId="ListContinue">
    <w:name w:val="List Continue"/>
    <w:basedOn w:val="List"/>
    <w:rsid w:val="00722C9F"/>
    <w:pPr>
      <w:ind w:firstLine="0"/>
    </w:pPr>
  </w:style>
  <w:style w:type="paragraph" w:customStyle="1" w:styleId="ListNote">
    <w:name w:val="List Note"/>
    <w:basedOn w:val="List"/>
    <w:rsid w:val="00722C9F"/>
    <w:pPr>
      <w:pBdr>
        <w:top w:val="single" w:sz="6" w:space="2" w:color="918585"/>
        <w:bottom w:val="single" w:sz="6" w:space="2" w:color="918585"/>
      </w:pBdr>
      <w:tabs>
        <w:tab w:val="left" w:pos="1021"/>
      </w:tabs>
      <w:ind w:firstLine="0"/>
    </w:pPr>
  </w:style>
  <w:style w:type="paragraph" w:customStyle="1" w:styleId="Warning">
    <w:name w:val="Warning"/>
    <w:basedOn w:val="BodyText"/>
    <w:rsid w:val="00722C9F"/>
    <w:pPr>
      <w:shd w:val="clear" w:color="auto" w:fill="D9D9D9"/>
      <w:tabs>
        <w:tab w:val="left" w:pos="992"/>
      </w:tabs>
      <w:ind w:left="119" w:right="119"/>
    </w:pPr>
    <w:rPr>
      <w:sz w:val="20"/>
    </w:rPr>
  </w:style>
  <w:style w:type="paragraph" w:customStyle="1" w:styleId="MarginIcons">
    <w:name w:val="Margin Icons"/>
    <w:basedOn w:val="BodyText"/>
    <w:rsid w:val="00722C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2C9F"/>
    <w:rPr>
      <w:rFonts w:ascii="Courier New" w:hAnsi="Courier New"/>
    </w:rPr>
  </w:style>
  <w:style w:type="paragraph" w:customStyle="1" w:styleId="NoteBullet">
    <w:name w:val="Note Bullet"/>
    <w:basedOn w:val="Note"/>
    <w:rsid w:val="00722C9F"/>
    <w:pPr>
      <w:tabs>
        <w:tab w:val="clear" w:pos="680"/>
      </w:tabs>
      <w:spacing w:before="60" w:after="60"/>
    </w:pPr>
  </w:style>
  <w:style w:type="paragraph" w:customStyle="1" w:styleId="SubHeading2">
    <w:name w:val="SubHeading2"/>
    <w:basedOn w:val="HeadingBase"/>
    <w:rsid w:val="00722C9F"/>
    <w:pPr>
      <w:spacing w:before="240" w:after="60"/>
    </w:pPr>
    <w:rPr>
      <w:sz w:val="20"/>
    </w:rPr>
  </w:style>
  <w:style w:type="paragraph" w:customStyle="1" w:styleId="SubHeading1">
    <w:name w:val="SubHeading1"/>
    <w:basedOn w:val="HeadingBase"/>
    <w:rsid w:val="00722C9F"/>
    <w:pPr>
      <w:spacing w:before="240" w:after="60"/>
    </w:pPr>
    <w:rPr>
      <w:color w:val="918585"/>
      <w:sz w:val="22"/>
    </w:rPr>
  </w:style>
  <w:style w:type="paragraph" w:customStyle="1" w:styleId="SideHeading">
    <w:name w:val="Side Heading"/>
    <w:basedOn w:val="HeadingBase"/>
    <w:rsid w:val="00722C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2C9F"/>
    <w:pPr>
      <w:numPr>
        <w:numId w:val="10"/>
      </w:numPr>
    </w:pPr>
  </w:style>
  <w:style w:type="paragraph" w:styleId="PlainText">
    <w:name w:val="Plain Text"/>
    <w:basedOn w:val="Normal"/>
    <w:link w:val="PlainTextChar"/>
    <w:rsid w:val="00722C9F"/>
    <w:rPr>
      <w:sz w:val="20"/>
    </w:rPr>
  </w:style>
  <w:style w:type="character" w:customStyle="1" w:styleId="PlainTextChar">
    <w:name w:val="Plain Text Char"/>
    <w:basedOn w:val="DefaultParagraphFont"/>
    <w:link w:val="PlainText"/>
    <w:rsid w:val="00722C9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22C9F"/>
    <w:rPr>
      <w:b/>
      <w:smallCaps/>
    </w:rPr>
  </w:style>
  <w:style w:type="paragraph" w:customStyle="1" w:styleId="TableListNumber">
    <w:name w:val="Table List Number"/>
    <w:basedOn w:val="ListNumber"/>
    <w:rsid w:val="00722C9F"/>
    <w:pPr>
      <w:numPr>
        <w:numId w:val="0"/>
      </w:numPr>
    </w:pPr>
  </w:style>
  <w:style w:type="paragraph" w:styleId="TOC4">
    <w:name w:val="toc 4"/>
    <w:basedOn w:val="TOCBase"/>
    <w:next w:val="Normal"/>
    <w:semiHidden/>
    <w:rsid w:val="00722C9F"/>
    <w:pPr>
      <w:tabs>
        <w:tab w:val="right" w:leader="dot" w:pos="9071"/>
      </w:tabs>
      <w:ind w:left="1701"/>
    </w:pPr>
  </w:style>
  <w:style w:type="paragraph" w:customStyle="1" w:styleId="ListAlpha">
    <w:name w:val="List Alpha"/>
    <w:basedOn w:val="List"/>
    <w:rsid w:val="00722C9F"/>
    <w:pPr>
      <w:numPr>
        <w:numId w:val="7"/>
      </w:numPr>
    </w:pPr>
  </w:style>
  <w:style w:type="paragraph" w:customStyle="1" w:styleId="ListAlpha2">
    <w:name w:val="List Alpha 2"/>
    <w:basedOn w:val="List2"/>
    <w:rsid w:val="00722C9F"/>
    <w:pPr>
      <w:numPr>
        <w:numId w:val="6"/>
      </w:numPr>
    </w:pPr>
  </w:style>
  <w:style w:type="paragraph" w:styleId="List2">
    <w:name w:val="List 2"/>
    <w:basedOn w:val="BodyText"/>
    <w:rsid w:val="00722C9F"/>
    <w:pPr>
      <w:tabs>
        <w:tab w:val="left" w:pos="680"/>
      </w:tabs>
      <w:spacing w:before="60" w:after="60"/>
      <w:ind w:left="680" w:hanging="340"/>
    </w:pPr>
  </w:style>
  <w:style w:type="paragraph" w:styleId="List3">
    <w:name w:val="List 3"/>
    <w:basedOn w:val="BodyText"/>
    <w:rsid w:val="00722C9F"/>
    <w:pPr>
      <w:tabs>
        <w:tab w:val="left" w:pos="1021"/>
      </w:tabs>
      <w:spacing w:before="60" w:after="60"/>
      <w:ind w:left="1020" w:hanging="340"/>
    </w:pPr>
  </w:style>
  <w:style w:type="paragraph" w:styleId="List4">
    <w:name w:val="List 4"/>
    <w:basedOn w:val="BodyText"/>
    <w:rsid w:val="00722C9F"/>
    <w:pPr>
      <w:tabs>
        <w:tab w:val="left" w:pos="1361"/>
      </w:tabs>
      <w:spacing w:before="60" w:after="60"/>
      <w:ind w:left="1361" w:hanging="340"/>
    </w:pPr>
  </w:style>
  <w:style w:type="paragraph" w:styleId="List5">
    <w:name w:val="List 5"/>
    <w:basedOn w:val="BodyText"/>
    <w:rsid w:val="00722C9F"/>
    <w:pPr>
      <w:tabs>
        <w:tab w:val="left" w:pos="1701"/>
      </w:tabs>
      <w:spacing w:before="60" w:after="60"/>
      <w:ind w:left="1701" w:hanging="340"/>
    </w:pPr>
  </w:style>
  <w:style w:type="paragraph" w:styleId="ListBullet3">
    <w:name w:val="List Bullet 3"/>
    <w:basedOn w:val="List3"/>
    <w:rsid w:val="00722C9F"/>
    <w:pPr>
      <w:numPr>
        <w:numId w:val="13"/>
      </w:numPr>
      <w:tabs>
        <w:tab w:val="clear" w:pos="1021"/>
      </w:tabs>
      <w:ind w:left="1037" w:hanging="357"/>
    </w:pPr>
  </w:style>
  <w:style w:type="paragraph" w:styleId="ListBullet4">
    <w:name w:val="List Bullet 4"/>
    <w:basedOn w:val="List4"/>
    <w:rsid w:val="00722C9F"/>
    <w:pPr>
      <w:numPr>
        <w:numId w:val="1"/>
      </w:numPr>
    </w:pPr>
  </w:style>
  <w:style w:type="paragraph" w:styleId="ListBullet5">
    <w:name w:val="List Bullet 5"/>
    <w:basedOn w:val="List5"/>
    <w:rsid w:val="00722C9F"/>
    <w:pPr>
      <w:numPr>
        <w:numId w:val="2"/>
      </w:numPr>
    </w:pPr>
  </w:style>
  <w:style w:type="paragraph" w:styleId="ListContinue2">
    <w:name w:val="List Continue 2"/>
    <w:basedOn w:val="List2"/>
    <w:rsid w:val="00722C9F"/>
    <w:pPr>
      <w:ind w:firstLine="0"/>
    </w:pPr>
  </w:style>
  <w:style w:type="paragraph" w:styleId="ListContinue3">
    <w:name w:val="List Continue 3"/>
    <w:basedOn w:val="List3"/>
    <w:rsid w:val="00722C9F"/>
    <w:pPr>
      <w:ind w:left="1021" w:firstLine="0"/>
    </w:pPr>
  </w:style>
  <w:style w:type="paragraph" w:styleId="ListContinue4">
    <w:name w:val="List Continue 4"/>
    <w:basedOn w:val="List4"/>
    <w:rsid w:val="00722C9F"/>
    <w:pPr>
      <w:ind w:firstLine="0"/>
    </w:pPr>
  </w:style>
  <w:style w:type="paragraph" w:styleId="ListContinue5">
    <w:name w:val="List Continue 5"/>
    <w:basedOn w:val="List5"/>
    <w:rsid w:val="00722C9F"/>
    <w:pPr>
      <w:ind w:firstLine="0"/>
    </w:pPr>
  </w:style>
  <w:style w:type="paragraph" w:styleId="ListNumber3">
    <w:name w:val="List Number 3"/>
    <w:basedOn w:val="List3"/>
    <w:rsid w:val="00722C9F"/>
    <w:pPr>
      <w:numPr>
        <w:numId w:val="3"/>
      </w:numPr>
    </w:pPr>
  </w:style>
  <w:style w:type="paragraph" w:styleId="ListNumber4">
    <w:name w:val="List Number 4"/>
    <w:basedOn w:val="List4"/>
    <w:rsid w:val="00722C9F"/>
    <w:pPr>
      <w:numPr>
        <w:numId w:val="4"/>
      </w:numPr>
    </w:pPr>
  </w:style>
  <w:style w:type="paragraph" w:styleId="ListNumber5">
    <w:name w:val="List Number 5"/>
    <w:basedOn w:val="List5"/>
    <w:rsid w:val="00722C9F"/>
    <w:pPr>
      <w:numPr>
        <w:numId w:val="5"/>
      </w:numPr>
    </w:pPr>
  </w:style>
  <w:style w:type="paragraph" w:styleId="BlockText">
    <w:name w:val="Block Text"/>
    <w:basedOn w:val="Normal"/>
    <w:rsid w:val="00722C9F"/>
    <w:pPr>
      <w:spacing w:after="120"/>
      <w:ind w:left="1440" w:right="1440"/>
    </w:pPr>
  </w:style>
  <w:style w:type="character" w:customStyle="1" w:styleId="Subscript">
    <w:name w:val="Subscript"/>
    <w:basedOn w:val="DefaultParagraphFont"/>
    <w:rsid w:val="00722C9F"/>
    <w:rPr>
      <w:sz w:val="16"/>
      <w:vertAlign w:val="subscript"/>
    </w:rPr>
  </w:style>
  <w:style w:type="character" w:customStyle="1" w:styleId="Superscript">
    <w:name w:val="Superscript"/>
    <w:basedOn w:val="DefaultParagraphFont"/>
    <w:rsid w:val="00722C9F"/>
    <w:rPr>
      <w:sz w:val="16"/>
      <w:vertAlign w:val="superscript"/>
    </w:rPr>
  </w:style>
  <w:style w:type="character" w:customStyle="1" w:styleId="Symbols">
    <w:name w:val="Symbols"/>
    <w:basedOn w:val="DefaultParagraphFont"/>
    <w:rsid w:val="00722C9F"/>
    <w:rPr>
      <w:rFonts w:ascii="Symbol" w:hAnsi="Symbol"/>
    </w:rPr>
  </w:style>
  <w:style w:type="character" w:customStyle="1" w:styleId="MenuOptions">
    <w:name w:val="Menu Options"/>
    <w:basedOn w:val="DefaultParagraphFont"/>
    <w:rsid w:val="00722C9F"/>
    <w:rPr>
      <w:rFonts w:ascii="Arial Narrow" w:hAnsi="Arial Narrow"/>
      <w:smallCaps/>
    </w:rPr>
  </w:style>
  <w:style w:type="character" w:customStyle="1" w:styleId="Buttons">
    <w:name w:val="Buttons"/>
    <w:basedOn w:val="DefaultParagraphFont"/>
    <w:rsid w:val="00722C9F"/>
    <w:rPr>
      <w:b/>
    </w:rPr>
  </w:style>
  <w:style w:type="character" w:customStyle="1" w:styleId="Underlined">
    <w:name w:val="Underlined"/>
    <w:basedOn w:val="DefaultParagraphFont"/>
    <w:rsid w:val="00722C9F"/>
    <w:rPr>
      <w:u w:val="single"/>
    </w:rPr>
  </w:style>
  <w:style w:type="paragraph" w:customStyle="1" w:styleId="TableBodyTextRight">
    <w:name w:val="Table Body Text Right"/>
    <w:basedOn w:val="TableBodyText"/>
    <w:rsid w:val="00722C9F"/>
    <w:pPr>
      <w:widowControl w:val="0"/>
      <w:autoSpaceDE w:val="0"/>
      <w:autoSpaceDN w:val="0"/>
      <w:adjustRightInd w:val="0"/>
      <w:jc w:val="right"/>
    </w:pPr>
    <w:rPr>
      <w:rFonts w:cs="Arial"/>
      <w:szCs w:val="18"/>
    </w:rPr>
  </w:style>
  <w:style w:type="paragraph" w:customStyle="1" w:styleId="CopyrightText">
    <w:name w:val="Copyright Text"/>
    <w:basedOn w:val="BodyText"/>
    <w:rsid w:val="00722C9F"/>
    <w:rPr>
      <w:sz w:val="18"/>
    </w:rPr>
  </w:style>
  <w:style w:type="paragraph" w:customStyle="1" w:styleId="BodySmallRight">
    <w:name w:val="Body Small Right"/>
    <w:basedOn w:val="BodyTextRight"/>
    <w:rsid w:val="00722C9F"/>
    <w:rPr>
      <w:sz w:val="18"/>
      <w:szCs w:val="18"/>
    </w:rPr>
  </w:style>
  <w:style w:type="paragraph" w:customStyle="1" w:styleId="MarginEdition">
    <w:name w:val="Margin Edition"/>
    <w:basedOn w:val="MarginNote"/>
    <w:rsid w:val="00722C9F"/>
    <w:pPr>
      <w:spacing w:before="0" w:after="0"/>
    </w:pPr>
    <w:rPr>
      <w:rFonts w:ascii="Times New Roman" w:hAnsi="Times New Roman"/>
      <w:color w:val="999999"/>
    </w:rPr>
  </w:style>
  <w:style w:type="paragraph" w:customStyle="1" w:styleId="Spacer">
    <w:name w:val="Spacer"/>
    <w:basedOn w:val="Normal"/>
    <w:rsid w:val="00722C9F"/>
    <w:rPr>
      <w:sz w:val="2"/>
      <w:szCs w:val="2"/>
    </w:rPr>
  </w:style>
  <w:style w:type="character" w:customStyle="1" w:styleId="Small">
    <w:name w:val="Small"/>
    <w:basedOn w:val="DefaultParagraphFont"/>
    <w:rsid w:val="00722C9F"/>
    <w:rPr>
      <w:sz w:val="16"/>
    </w:rPr>
  </w:style>
  <w:style w:type="paragraph" w:customStyle="1" w:styleId="WideTable">
    <w:name w:val="Wide Table"/>
    <w:basedOn w:val="Normal"/>
    <w:rsid w:val="00722C9F"/>
    <w:pPr>
      <w:ind w:left="-1418"/>
    </w:pPr>
    <w:rPr>
      <w:sz w:val="2"/>
      <w:szCs w:val="2"/>
    </w:rPr>
  </w:style>
  <w:style w:type="character" w:styleId="PageNumber">
    <w:name w:val="page number"/>
    <w:basedOn w:val="DefaultParagraphFont"/>
    <w:rsid w:val="00722C9F"/>
  </w:style>
  <w:style w:type="paragraph" w:styleId="Quote">
    <w:name w:val="Quote"/>
    <w:basedOn w:val="Heading1"/>
    <w:link w:val="QuoteChar"/>
    <w:qFormat/>
    <w:rsid w:val="00722C9F"/>
    <w:rPr>
      <w:b w:val="0"/>
      <w:sz w:val="72"/>
      <w:szCs w:val="72"/>
      <w:lang w:val="en-NZ"/>
    </w:rPr>
  </w:style>
  <w:style w:type="character" w:customStyle="1" w:styleId="QuoteChar">
    <w:name w:val="Quote Char"/>
    <w:basedOn w:val="DefaultParagraphFont"/>
    <w:link w:val="Quote"/>
    <w:rsid w:val="00722C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2C9F"/>
    <w:pPr>
      <w:pageBreakBefore/>
    </w:pPr>
  </w:style>
  <w:style w:type="paragraph" w:customStyle="1" w:styleId="Border">
    <w:name w:val="Border"/>
    <w:basedOn w:val="Normal"/>
    <w:qFormat/>
    <w:rsid w:val="00722C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2C9F"/>
    <w:rPr>
      <w:b/>
      <w:bCs/>
      <w:i/>
      <w:iCs/>
      <w:color w:val="auto"/>
    </w:rPr>
  </w:style>
  <w:style w:type="paragraph" w:styleId="IntenseQuote">
    <w:name w:val="Intense Quote"/>
    <w:basedOn w:val="Normal"/>
    <w:next w:val="Normal"/>
    <w:link w:val="IntenseQuoteChar"/>
    <w:uiPriority w:val="30"/>
    <w:qFormat/>
    <w:rsid w:val="00722C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2C9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22C9F"/>
    <w:rPr>
      <w:smallCaps/>
      <w:color w:val="auto"/>
      <w:u w:val="single"/>
    </w:rPr>
  </w:style>
  <w:style w:type="character" w:styleId="IntenseReference">
    <w:name w:val="Intense Reference"/>
    <w:basedOn w:val="DefaultParagraphFont"/>
    <w:uiPriority w:val="32"/>
    <w:qFormat/>
    <w:rsid w:val="00722C9F"/>
    <w:rPr>
      <w:b/>
      <w:bCs/>
      <w:smallCaps/>
      <w:color w:val="auto"/>
      <w:spacing w:val="5"/>
      <w:u w:val="single"/>
    </w:rPr>
  </w:style>
  <w:style w:type="paragraph" w:customStyle="1" w:styleId="2ColumnHeading">
    <w:name w:val="2Column Heading"/>
    <w:basedOn w:val="BodyText"/>
    <w:qFormat/>
    <w:rsid w:val="00722C9F"/>
    <w:pPr>
      <w:spacing w:after="60"/>
      <w:ind w:left="-2268"/>
    </w:pPr>
    <w:rPr>
      <w:b/>
    </w:rPr>
  </w:style>
  <w:style w:type="paragraph" w:customStyle="1" w:styleId="Heading1TOC">
    <w:name w:val="Heading1 TOC"/>
    <w:basedOn w:val="Normal"/>
    <w:qFormat/>
    <w:rsid w:val="00722C9F"/>
    <w:pPr>
      <w:spacing w:before="240" w:after="120"/>
    </w:pPr>
    <w:rPr>
      <w:rFonts w:ascii="Times New Roman" w:hAnsi="Times New Roman"/>
      <w:b/>
      <w:sz w:val="32"/>
    </w:rPr>
  </w:style>
  <w:style w:type="paragraph" w:customStyle="1" w:styleId="Heading2TOC">
    <w:name w:val="Heading2 TOC"/>
    <w:basedOn w:val="Normal"/>
    <w:qFormat/>
    <w:rsid w:val="00722C9F"/>
    <w:pPr>
      <w:spacing w:before="240" w:after="60"/>
    </w:pPr>
    <w:rPr>
      <w:rFonts w:ascii="Times New Roman" w:hAnsi="Times New Roman"/>
      <w:b/>
      <w:sz w:val="28"/>
    </w:rPr>
  </w:style>
  <w:style w:type="character" w:customStyle="1" w:styleId="Underline">
    <w:name w:val="Underline"/>
    <w:basedOn w:val="DefaultParagraphFont"/>
    <w:qFormat/>
    <w:rsid w:val="00722C9F"/>
    <w:rPr>
      <w:u w:val="single"/>
    </w:rPr>
  </w:style>
  <w:style w:type="character" w:customStyle="1" w:styleId="BoldandItalics">
    <w:name w:val="Bold and Italics"/>
    <w:qFormat/>
    <w:rsid w:val="00722C9F"/>
    <w:rPr>
      <w:b/>
      <w:i/>
      <w:u w:val="none"/>
    </w:rPr>
  </w:style>
  <w:style w:type="paragraph" w:styleId="BalloonText">
    <w:name w:val="Balloon Text"/>
    <w:basedOn w:val="Normal"/>
    <w:link w:val="BalloonTextChar"/>
    <w:rsid w:val="00722C9F"/>
    <w:rPr>
      <w:rFonts w:ascii="Tahoma" w:hAnsi="Tahoma" w:cs="Tahoma"/>
      <w:sz w:val="16"/>
      <w:szCs w:val="16"/>
    </w:rPr>
  </w:style>
  <w:style w:type="character" w:customStyle="1" w:styleId="BalloonTextChar">
    <w:name w:val="Balloon Text Char"/>
    <w:basedOn w:val="DefaultParagraphFont"/>
    <w:link w:val="BalloonText"/>
    <w:rsid w:val="00722C9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22C9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22C9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2425</Words>
  <Characters>15646</Characters>
  <Application>Microsoft Office Word</Application>
  <DocSecurity>0</DocSecurity>
  <Lines>456</Lines>
  <Paragraphs>266</Paragraphs>
  <ScaleCrop>false</ScaleCrop>
  <Company>Author-it Software Corporation Ltd.</Company>
  <LinksUpToDate>false</LinksUpToDate>
  <CharactersWithSpaces>17827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PMLTEST404A Perform chemical tests and procedures</dc:title>
  <dc:subject>Approved</dc:subject>
  <dc:creator>Manufacturing Skills Australia</dc:creator>
  <cp:keywords>Release: 1</cp:keywords>
  <dc:description>Copyright © 1996-2007 Author-it Software Corporation Ltd., all rights reserved.</dc:description>
  <cp:lastModifiedBy>Craig Taylor</cp:lastModifiedBy>
  <cp:revision>3</cp:revision>
  <dcterms:created xsi:type="dcterms:W3CDTF">2012-05-26T08:09:00Z</dcterms:created>
  <dcterms:modified xsi:type="dcterms:W3CDTF">2012-05-26T08:09:00Z</dcterms:modified>
</cp:coreProperties>
</file>