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229" w:rsidP="00726229">
      <w:pPr>
        <w:pStyle w:val="Title"/>
      </w:pPr>
      <w:r>
        <w:fldChar w:fldCharType="begin"/>
      </w:r>
      <w:r>
        <w:instrText xml:space="preserve"> TITLE   \* MERGEFORMAT </w:instrText>
      </w:r>
      <w:r>
        <w:fldChar w:fldCharType="separate"/>
      </w:r>
      <w:r>
        <w:t>PMLTEST402B Prepare, standardise and use solutions</w:t>
      </w:r>
      <w:r>
        <w:fldChar w:fldCharType="end"/>
      </w:r>
    </w:p>
    <w:p w:rsidR="00726229" w:rsidP="00726229">
      <w:pPr>
        <w:pStyle w:val="Version"/>
        <w:sectPr w:rsidSect="009976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604" w:rsidP="00997604">
      <w:pPr>
        <w:pStyle w:val="SuperHeading"/>
      </w:pPr>
      <w:r w:rsidRPr="00997604">
        <w:t>PMLTEST402B Prepare, standardise and use solutions</w:t>
      </w:r>
    </w:p>
    <w:p w:rsidR="00000000" w:rsidRPr="00997604" w:rsidP="00997604">
      <w:pPr>
        <w:pStyle w:val="Heading1"/>
      </w:pPr>
      <w:bookmarkStart w:id="1" w:name="O_312209"/>
      <w:bookmarkEnd w:id="1"/>
      <w:r w:rsidRPr="00997604">
        <w:t>Modification History</w:t>
      </w:r>
    </w:p>
    <w:p w:rsidR="00000000" w:rsidRPr="00997604" w:rsidP="00997604">
      <w:pPr>
        <w:pStyle w:val="Heading1"/>
      </w:pPr>
      <w:bookmarkStart w:id="2" w:name="O_312211"/>
      <w:bookmarkEnd w:id="2"/>
      <w:r w:rsidRPr="00997604">
        <w:t>Unit Descriptor</w:t>
      </w:r>
    </w:p>
    <w:p w:rsidR="00000000" w:rsidRPr="00997604" w:rsidP="00997604">
      <w:pPr>
        <w:pStyle w:val="BodyText"/>
      </w:pPr>
      <w:r w:rsidRPr="00997604">
        <w:t>This unit of competency covers the ability to prepare, standardise and use solutions to monitor the quality of prepared</w:t>
      </w:r>
      <w:r w:rsidRPr="00997604">
        <w:t xml:space="preserve"> solutions.</w:t>
      </w:r>
    </w:p>
    <w:p w:rsidR="00000000" w:rsidRPr="00997604" w:rsidP="00997604">
      <w:pPr>
        <w:pStyle w:val="BodyText"/>
      </w:pPr>
      <w:r w:rsidRPr="00997604">
        <w:t>This unit of competency has no prerequisites.</w:t>
      </w:r>
    </w:p>
    <w:p w:rsidR="00000000" w:rsidRPr="00997604" w:rsidP="00997604">
      <w:pPr>
        <w:pStyle w:val="BodyText"/>
      </w:pPr>
      <w:r w:rsidRPr="00997604">
        <w:t>This unit of competency is applicable to laboratory technicians working in all industries.</w:t>
      </w:r>
    </w:p>
    <w:p w:rsidR="00000000" w:rsidRPr="00997604" w:rsidP="00997604">
      <w:pPr>
        <w:pStyle w:val="BodyText"/>
      </w:pPr>
      <w:r w:rsidRPr="00997604">
        <w:t>Industry representatives have provided case studies to illustrate the practical application of this unit of</w:t>
      </w:r>
      <w:r w:rsidRPr="00997604">
        <w:t xml:space="preserve"> competency and to show its relevance in a workplace setting. These are found at the end of this unit of competency under the section This competency in practice.</w:t>
      </w:r>
    </w:p>
    <w:p w:rsidR="00000000" w:rsidRPr="00997604" w:rsidP="00997604">
      <w:pPr>
        <w:pStyle w:val="AllowPageBreak"/>
      </w:pPr>
    </w:p>
    <w:p w:rsidR="00000000" w:rsidRPr="00997604" w:rsidP="00997604">
      <w:pPr>
        <w:pStyle w:val="Heading1"/>
      </w:pPr>
      <w:bookmarkStart w:id="3" w:name="O_312208"/>
      <w:bookmarkEnd w:id="3"/>
      <w:r w:rsidRPr="00997604">
        <w:t>Application of the Unit</w:t>
      </w:r>
    </w:p>
    <w:p w:rsidR="00000000" w:rsidRPr="00997604" w:rsidP="00997604">
      <w:pPr>
        <w:pStyle w:val="Heading1"/>
      </w:pPr>
      <w:bookmarkStart w:id="4" w:name="O_312207"/>
      <w:bookmarkEnd w:id="4"/>
      <w:r w:rsidRPr="00997604">
        <w:t>Licensing/Regulatory Information</w:t>
      </w:r>
    </w:p>
    <w:p w:rsidR="00000000" w:rsidRPr="00997604" w:rsidP="00997604">
      <w:pPr>
        <w:pStyle w:val="Heading1"/>
      </w:pPr>
      <w:bookmarkStart w:id="5" w:name="O_312206"/>
      <w:bookmarkEnd w:id="5"/>
      <w:r w:rsidRPr="00997604">
        <w:t>Pre-Requisites</w:t>
      </w:r>
    </w:p>
    <w:p w:rsidR="00000000" w:rsidRPr="00997604" w:rsidP="00997604">
      <w:pPr>
        <w:pStyle w:val="Heading1"/>
      </w:pPr>
      <w:bookmarkStart w:id="6" w:name="O_312205"/>
      <w:bookmarkEnd w:id="6"/>
      <w:r w:rsidRPr="00997604">
        <w:t>Employability Skills Information</w:t>
      </w:r>
    </w:p>
    <w:p w:rsidR="00000000" w:rsidRPr="00997604" w:rsidP="00997604">
      <w:pPr>
        <w:pStyle w:val="Heading1"/>
      </w:pPr>
      <w:bookmarkStart w:id="7" w:name="O_312200"/>
      <w:bookmarkEnd w:id="7"/>
      <w:r w:rsidRPr="00997604">
        <w:t>Elements and Performance Criteria Pre-Content</w:t>
      </w:r>
    </w:p>
    <w:p w:rsidR="00000000" w:rsidRPr="00997604" w:rsidP="00997604">
      <w:pPr>
        <w:pStyle w:val="BodyText"/>
      </w:pPr>
      <w:r w:rsidRPr="00997604">
        <w:t>Elements describe the essential outcomes of a unit of competency.</w:t>
      </w:r>
    </w:p>
    <w:p w:rsidR="00000000" w:rsidRPr="00997604" w:rsidP="00997604">
      <w:pPr>
        <w:pStyle w:val="BodyText"/>
      </w:pPr>
      <w:r w:rsidRPr="00997604">
        <w:t>Performance Criteria describe the level of performance required to demonstrate achievement of the element.</w:t>
      </w:r>
    </w:p>
    <w:p w:rsidR="00000000" w:rsidRPr="00997604" w:rsidP="00997604">
      <w:pPr>
        <w:pStyle w:val="AllowPageBreak"/>
      </w:pPr>
    </w:p>
    <w:p w:rsidR="00000000" w:rsidRPr="00997604" w:rsidP="00997604">
      <w:pPr>
        <w:pStyle w:val="Heading1"/>
      </w:pPr>
      <w:bookmarkStart w:id="8" w:name="O_312204"/>
      <w:bookmarkEnd w:id="8"/>
      <w:r w:rsidRPr="0099760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2622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rPr>
                <w:rStyle w:val="SpecialBold"/>
              </w:rPr>
              <w:t>Elements and Performance Criteria</w:t>
            </w:r>
          </w:p>
        </w:tc>
      </w:tr>
      <w:tr w:rsidTr="0072622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97604" w:rsidP="00997604">
            <w:pPr>
              <w:pStyle w:val="BodyText"/>
            </w:pPr>
            <w:r w:rsidRPr="0099760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rPr>
                <w:rStyle w:val="SpecialBold"/>
              </w:rPr>
              <w:t>Performance Criteria</w:t>
            </w:r>
          </w:p>
        </w:tc>
      </w:tr>
      <w:tr w:rsidTr="0072622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1</w:t>
            </w:r>
          </w:p>
        </w:tc>
        <w:tc>
          <w:tcPr>
            <w:tcW w:w="3000" w:type="dxa"/>
            <w:vMerge w:val="restart"/>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Prepare solutions</w:t>
            </w:r>
          </w:p>
        </w:tc>
        <w:tc>
          <w:tcPr>
            <w:tcW w:w="5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1.1</w:t>
            </w:r>
          </w:p>
        </w:tc>
        <w:tc>
          <w:tcPr>
            <w:tcW w:w="51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Select appropriate procedure for solution preparation</w:t>
            </w:r>
          </w:p>
        </w:tc>
      </w:tr>
      <w:tr w:rsidTr="007262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1.2</w:t>
            </w:r>
          </w:p>
        </w:tc>
        <w:tc>
          <w:tcPr>
            <w:tcW w:w="51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Select equipment, materials and solvent of specified purity</w:t>
            </w:r>
          </w:p>
        </w:tc>
      </w:tr>
      <w:tr w:rsidTr="007262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1.3</w:t>
            </w:r>
          </w:p>
        </w:tc>
        <w:tc>
          <w:tcPr>
            <w:tcW w:w="51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Measure appropriate quantities of reagents for solution preparation and record data.</w:t>
            </w:r>
          </w:p>
        </w:tc>
      </w:tr>
      <w:tr w:rsidTr="007262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1.4</w:t>
            </w:r>
          </w:p>
        </w:tc>
        <w:tc>
          <w:tcPr>
            <w:tcW w:w="51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Select and assemble specified laboratory equipment and appropriate grade of glassware</w:t>
            </w:r>
          </w:p>
        </w:tc>
      </w:tr>
      <w:tr w:rsidTr="007262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1.5</w:t>
            </w:r>
          </w:p>
        </w:tc>
        <w:tc>
          <w:tcPr>
            <w:tcW w:w="51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Perform specified dilutions</w:t>
            </w:r>
          </w:p>
        </w:tc>
      </w:tr>
      <w:tr w:rsidTr="007262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1.6</w:t>
            </w:r>
          </w:p>
        </w:tc>
        <w:tc>
          <w:tcPr>
            <w:tcW w:w="51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Prepare solutions to achieve homogeneous mix of the specified concentration</w:t>
            </w:r>
          </w:p>
        </w:tc>
      </w:tr>
      <w:tr w:rsidTr="007262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1.7</w:t>
            </w:r>
          </w:p>
        </w:tc>
        <w:tc>
          <w:tcPr>
            <w:tcW w:w="51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Label and store solutions to maintain identity and stability</w:t>
            </w:r>
          </w:p>
        </w:tc>
      </w:tr>
      <w:tr w:rsidTr="0072622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2</w:t>
            </w:r>
          </w:p>
        </w:tc>
        <w:tc>
          <w:tcPr>
            <w:tcW w:w="3000" w:type="dxa"/>
            <w:vMerge w:val="restart"/>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Standardise and use volumetric solutions</w:t>
            </w:r>
          </w:p>
        </w:tc>
        <w:tc>
          <w:tcPr>
            <w:tcW w:w="5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2.1</w:t>
            </w:r>
          </w:p>
        </w:tc>
        <w:tc>
          <w:tcPr>
            <w:tcW w:w="51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Assemble appropriate laboratory equipment</w:t>
            </w:r>
          </w:p>
        </w:tc>
      </w:tr>
      <w:tr w:rsidTr="007262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2.2</w:t>
            </w:r>
          </w:p>
        </w:tc>
        <w:tc>
          <w:tcPr>
            <w:tcW w:w="51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Perform serial dilutions as required</w:t>
            </w:r>
          </w:p>
        </w:tc>
      </w:tr>
      <w:tr w:rsidTr="007262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2.3</w:t>
            </w:r>
          </w:p>
        </w:tc>
        <w:tc>
          <w:tcPr>
            <w:tcW w:w="51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Standardise the solution to the required specified range and precision</w:t>
            </w:r>
          </w:p>
        </w:tc>
      </w:tr>
      <w:tr w:rsidTr="007262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2.4</w:t>
            </w:r>
          </w:p>
        </w:tc>
        <w:tc>
          <w:tcPr>
            <w:tcW w:w="51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Label and store solutions to maintain identity and stability</w:t>
            </w:r>
          </w:p>
        </w:tc>
      </w:tr>
      <w:tr w:rsidTr="007262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2.5</w:t>
            </w:r>
          </w:p>
        </w:tc>
        <w:tc>
          <w:tcPr>
            <w:tcW w:w="51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Use standard volumetric solutions to determine concentration of unknown solutions</w:t>
            </w:r>
          </w:p>
        </w:tc>
      </w:tr>
      <w:tr w:rsidTr="0072622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3</w:t>
            </w:r>
          </w:p>
        </w:tc>
        <w:tc>
          <w:tcPr>
            <w:tcW w:w="3000" w:type="dxa"/>
            <w:vMerge w:val="restart"/>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Calculate and record data</w:t>
            </w:r>
          </w:p>
        </w:tc>
        <w:tc>
          <w:tcPr>
            <w:tcW w:w="5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3.1</w:t>
            </w:r>
          </w:p>
        </w:tc>
        <w:tc>
          <w:tcPr>
            <w:tcW w:w="51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Calculate specified concentrations</w:t>
            </w:r>
          </w:p>
        </w:tc>
      </w:tr>
      <w:tr w:rsidTr="007262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3.2</w:t>
            </w:r>
          </w:p>
        </w:tc>
        <w:tc>
          <w:tcPr>
            <w:tcW w:w="51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Use authorised procedure if data is to be modified</w:t>
            </w:r>
          </w:p>
        </w:tc>
      </w:tr>
      <w:tr w:rsidTr="007262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3.3</w:t>
            </w:r>
          </w:p>
        </w:tc>
        <w:tc>
          <w:tcPr>
            <w:tcW w:w="51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Record all relevant details as per laboratory procedures and report results</w:t>
            </w:r>
          </w:p>
        </w:tc>
      </w:tr>
      <w:tr w:rsidTr="007262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3.4</w:t>
            </w:r>
          </w:p>
        </w:tc>
        <w:tc>
          <w:tcPr>
            <w:tcW w:w="51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Report concentration with appropriate units</w:t>
            </w:r>
          </w:p>
        </w:tc>
      </w:tr>
      <w:tr w:rsidTr="0072622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4</w:t>
            </w:r>
          </w:p>
        </w:tc>
        <w:tc>
          <w:tcPr>
            <w:tcW w:w="3000" w:type="dxa"/>
            <w:vMerge w:val="restart"/>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Monitor the quality of laboratory solutions</w:t>
            </w:r>
          </w:p>
        </w:tc>
        <w:tc>
          <w:tcPr>
            <w:tcW w:w="5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4.1</w:t>
            </w:r>
          </w:p>
        </w:tc>
        <w:tc>
          <w:tcPr>
            <w:tcW w:w="51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Check solutions for visual deterioration and expiry date</w:t>
            </w:r>
          </w:p>
        </w:tc>
      </w:tr>
      <w:tr w:rsidTr="007262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4.2</w:t>
            </w:r>
          </w:p>
        </w:tc>
        <w:tc>
          <w:tcPr>
            <w:tcW w:w="51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Restandardise or dispose of dated or deteriorated solutions</w:t>
            </w:r>
          </w:p>
        </w:tc>
      </w:tr>
      <w:tr w:rsidTr="007262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4.3</w:t>
            </w:r>
          </w:p>
        </w:tc>
        <w:tc>
          <w:tcPr>
            <w:tcW w:w="51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Record details and label solutions as per laboratory procedures.</w:t>
            </w:r>
          </w:p>
        </w:tc>
      </w:tr>
      <w:tr w:rsidTr="0072622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5</w:t>
            </w:r>
          </w:p>
        </w:tc>
        <w:tc>
          <w:tcPr>
            <w:tcW w:w="3000" w:type="dxa"/>
            <w:vMerge w:val="restart"/>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Maintain a safe work environment</w:t>
            </w:r>
          </w:p>
        </w:tc>
        <w:tc>
          <w:tcPr>
            <w:tcW w:w="5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5.1</w:t>
            </w:r>
          </w:p>
        </w:tc>
        <w:tc>
          <w:tcPr>
            <w:tcW w:w="51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Use established safe work practices and personal protective equipment to ensure personal safety and that of other laboratory personnel</w:t>
            </w:r>
          </w:p>
        </w:tc>
      </w:tr>
      <w:tr w:rsidTr="007262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5.2</w:t>
            </w:r>
          </w:p>
        </w:tc>
        <w:tc>
          <w:tcPr>
            <w:tcW w:w="51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 xml:space="preserve">Clean up spills using appropriate techniques to protect personnel, work area </w:t>
            </w:r>
            <w:r w:rsidRPr="00997604">
              <w:t>and environment</w:t>
            </w:r>
          </w:p>
        </w:tc>
      </w:tr>
      <w:tr w:rsidTr="007262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5.3</w:t>
            </w:r>
          </w:p>
        </w:tc>
        <w:tc>
          <w:tcPr>
            <w:tcW w:w="51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Minimise generation of waste and environmental impacts</w:t>
            </w:r>
          </w:p>
        </w:tc>
      </w:tr>
      <w:tr w:rsidTr="007262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5.4</w:t>
            </w:r>
          </w:p>
        </w:tc>
        <w:tc>
          <w:tcPr>
            <w:tcW w:w="51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Ensure the safe collection of laboratory and hazardous waste for subsequent disposal</w:t>
            </w:r>
          </w:p>
        </w:tc>
      </w:tr>
      <w:tr w:rsidTr="007262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5.5</w:t>
            </w:r>
          </w:p>
        </w:tc>
        <w:tc>
          <w:tcPr>
            <w:tcW w:w="5100" w:type="dxa"/>
            <w:tcBorders>
              <w:top w:val="nil"/>
              <w:left w:val="nil"/>
              <w:bottom w:val="nil"/>
              <w:right w:val="nil"/>
            </w:tcBorders>
            <w:tcMar>
              <w:top w:w="0" w:type="dxa"/>
              <w:left w:w="62" w:type="dxa"/>
              <w:bottom w:w="0" w:type="dxa"/>
              <w:right w:w="62" w:type="dxa"/>
            </w:tcMar>
          </w:tcPr>
          <w:p w:rsidR="00000000" w:rsidRPr="00997604" w:rsidP="00997604">
            <w:pPr>
              <w:pStyle w:val="BodyText"/>
            </w:pPr>
            <w:r w:rsidRPr="00997604">
              <w:t>Store equipment and reagents as required.</w:t>
            </w:r>
          </w:p>
        </w:tc>
      </w:tr>
    </w:tbl>
    <w:p w:rsidR="00000000" w:rsidRPr="00997604" w:rsidP="00997604">
      <w:pPr>
        <w:pStyle w:val="BodyText"/>
      </w:pPr>
    </w:p>
    <w:p w:rsidR="00000000" w:rsidRPr="00997604" w:rsidP="00997604">
      <w:pPr>
        <w:pStyle w:val="AllowPageBreak"/>
      </w:pPr>
    </w:p>
    <w:p w:rsidR="00000000" w:rsidRPr="00997604" w:rsidP="00997604">
      <w:pPr>
        <w:pStyle w:val="Heading1"/>
      </w:pPr>
      <w:bookmarkStart w:id="9" w:name="O_312203"/>
      <w:bookmarkEnd w:id="9"/>
      <w:r w:rsidRPr="00997604">
        <w:t>Required Skills and Knowledge</w:t>
      </w:r>
    </w:p>
    <w:p w:rsidR="00000000" w:rsidRPr="00997604" w:rsidP="00997604">
      <w:pPr>
        <w:pStyle w:val="Heading1"/>
      </w:pPr>
      <w:bookmarkStart w:id="10" w:name="O_312202"/>
      <w:bookmarkEnd w:id="10"/>
      <w:r w:rsidRPr="00997604">
        <w:t>Evidence Guide</w:t>
      </w:r>
    </w:p>
    <w:p w:rsidR="00000000" w:rsidRPr="00997604" w:rsidP="00997604">
      <w:pPr>
        <w:pStyle w:val="BodyText"/>
      </w:pPr>
      <w:r w:rsidRPr="00997604">
        <w:t>The Evidence Guide describes the underpinning knowledge and skills that must be demonstrated to prove competence.</w:t>
      </w:r>
    </w:p>
    <w:p w:rsidR="00000000" w:rsidRPr="00997604" w:rsidP="00997604">
      <w:pPr>
        <w:pStyle w:val="BodyText"/>
      </w:pPr>
      <w:r w:rsidRPr="00997604">
        <w:rPr>
          <w:rStyle w:val="SpecialBold"/>
        </w:rPr>
        <w:t>Critical aspects of competency</w:t>
      </w:r>
    </w:p>
    <w:p w:rsidR="00000000" w:rsidRPr="00997604" w:rsidP="00997604">
      <w:pPr>
        <w:pStyle w:val="BodyText"/>
      </w:pPr>
      <w:r w:rsidRPr="00997604">
        <w:t xml:space="preserve">Competency must be demonstrated in the ability to </w:t>
      </w:r>
      <w:r w:rsidRPr="00997604">
        <w:t>perform consistently at the required standard. In particular, the assessor should look to see that the candidate can:</w:t>
      </w:r>
    </w:p>
    <w:p w:rsidR="00000000" w:rsidRPr="00997604" w:rsidP="00997604">
      <w:pPr>
        <w:pStyle w:val="BodyText"/>
      </w:pPr>
      <w:r w:rsidRPr="00997604">
        <w:t>use balances and volumetric glassware appropriately</w:t>
      </w:r>
    </w:p>
    <w:p w:rsidR="00000000" w:rsidRPr="00997604" w:rsidP="00997604">
      <w:pPr>
        <w:pStyle w:val="BodyText"/>
      </w:pPr>
      <w:r w:rsidRPr="00997604">
        <w:t>select and use primary and secondary standards appropriately</w:t>
      </w:r>
    </w:p>
    <w:p w:rsidR="00000000" w:rsidRPr="00997604" w:rsidP="00997604">
      <w:pPr>
        <w:pStyle w:val="BodyText"/>
      </w:pPr>
      <w:r w:rsidRPr="00997604">
        <w:t>select and use indicators appropriately</w:t>
      </w:r>
    </w:p>
    <w:p w:rsidR="00000000" w:rsidRPr="00997604" w:rsidP="00997604">
      <w:pPr>
        <w:pStyle w:val="BodyText"/>
      </w:pPr>
      <w:r w:rsidRPr="00997604">
        <w:t>select and care for electrodes appropriately</w:t>
      </w:r>
    </w:p>
    <w:p w:rsidR="00000000" w:rsidRPr="00997604" w:rsidP="00997604">
      <w:pPr>
        <w:pStyle w:val="BodyText"/>
      </w:pPr>
      <w:r w:rsidRPr="00997604">
        <w:t>perform QA checks for solution performance (for example, enzyme activity, ferric chloride for phenolic solutions, isotonicity for saline)</w:t>
      </w:r>
    </w:p>
    <w:p w:rsidR="00000000" w:rsidRPr="00997604" w:rsidP="00997604">
      <w:pPr>
        <w:pStyle w:val="BodyText"/>
      </w:pPr>
      <w:r w:rsidRPr="00997604">
        <w:t>perform titrations using laborato</w:t>
      </w:r>
      <w:r w:rsidRPr="00997604">
        <w:t>ry procedures with required accuracy and precision and within required timelines</w:t>
      </w:r>
    </w:p>
    <w:p w:rsidR="00000000" w:rsidRPr="00997604" w:rsidP="00997604">
      <w:pPr>
        <w:pStyle w:val="BodyText"/>
      </w:pPr>
      <w:r w:rsidRPr="00997604">
        <w:t>calculate the concentration of the solution given the chemical reaction for the titration</w:t>
      </w:r>
    </w:p>
    <w:p w:rsidR="00000000" w:rsidRPr="00997604" w:rsidP="00997604">
      <w:pPr>
        <w:pStyle w:val="BodyText"/>
      </w:pPr>
      <w:r w:rsidRPr="00997604">
        <w:t>recognise control results that are not within acceptable range</w:t>
      </w:r>
    </w:p>
    <w:p w:rsidR="00000000" w:rsidRPr="00997604" w:rsidP="00997604">
      <w:pPr>
        <w:pStyle w:val="BodyText"/>
      </w:pPr>
      <w:r w:rsidRPr="00997604">
        <w:t>record results to ente</w:t>
      </w:r>
      <w:r w:rsidRPr="00997604">
        <w:t>rprise standards</w:t>
      </w:r>
    </w:p>
    <w:p w:rsidR="00000000" w:rsidRPr="00997604" w:rsidP="00997604">
      <w:pPr>
        <w:pStyle w:val="BodyText"/>
      </w:pPr>
      <w:r w:rsidRPr="00997604">
        <w:t>label and store solutions in accordance with enterprise procedures</w:t>
      </w:r>
    </w:p>
    <w:p w:rsidR="00000000" w:rsidRPr="00997604" w:rsidP="00997604">
      <w:pPr>
        <w:pStyle w:val="BodyText"/>
      </w:pPr>
      <w:r w:rsidRPr="00997604">
        <w:t>interpret and follow enterprise standard operating procedures (SOPs)</w:t>
      </w:r>
    </w:p>
    <w:p w:rsidR="00000000" w:rsidRPr="00997604" w:rsidP="00997604">
      <w:pPr>
        <w:pStyle w:val="BodyText"/>
      </w:pPr>
      <w:r w:rsidRPr="00997604">
        <w:t xml:space="preserve">interpret and use safety information, such as that provided by material safety data sheets (MSDSs) and </w:t>
      </w:r>
      <w:r w:rsidRPr="00997604">
        <w:t>follow relevant safety procedures.</w:t>
      </w:r>
    </w:p>
    <w:p w:rsidR="00000000" w:rsidRPr="00997604" w:rsidP="00997604">
      <w:pPr>
        <w:pStyle w:val="BodyText"/>
      </w:pPr>
      <w:r w:rsidRPr="00997604">
        <w:rPr>
          <w:rStyle w:val="SpecialBold"/>
        </w:rPr>
        <w:t>Underpinning knowledge</w:t>
      </w:r>
    </w:p>
    <w:p w:rsidR="00000000" w:rsidRPr="00997604" w:rsidP="00997604">
      <w:pPr>
        <w:pStyle w:val="BodyText"/>
      </w:pPr>
      <w:r w:rsidRPr="00997604">
        <w:t>Competency includes the ability to apply and explain:</w:t>
      </w:r>
    </w:p>
    <w:p w:rsidR="00000000" w:rsidRPr="00997604" w:rsidP="00997604">
      <w:pPr>
        <w:pStyle w:val="BodyText"/>
      </w:pPr>
      <w:r w:rsidRPr="00997604">
        <w:t>solution terminology, chemistry of acids, bases, buffers, redox reactions and complexometric reactions</w:t>
      </w:r>
    </w:p>
    <w:p w:rsidR="00000000" w:rsidRPr="00997604" w:rsidP="00997604">
      <w:pPr>
        <w:pStyle w:val="BodyText"/>
      </w:pPr>
      <w:r w:rsidRPr="00997604">
        <w:t>grades of glassware, reagents and their u</w:t>
      </w:r>
      <w:r w:rsidRPr="00997604">
        <w:t>se</w:t>
      </w:r>
    </w:p>
    <w:p w:rsidR="00000000" w:rsidRPr="00997604" w:rsidP="00997604">
      <w:pPr>
        <w:pStyle w:val="BodyText"/>
      </w:pPr>
      <w:r w:rsidRPr="00997604">
        <w:t xml:space="preserve">reactions used for standardisation and desirable characteristics </w:t>
      </w:r>
    </w:p>
    <w:p w:rsidR="00000000" w:rsidRPr="00997604" w:rsidP="00997604">
      <w:pPr>
        <w:pStyle w:val="BodyText"/>
      </w:pPr>
      <w:r w:rsidRPr="00997604">
        <w:t>determination of equivalence points using indicators and graphical methods</w:t>
      </w:r>
    </w:p>
    <w:p w:rsidR="00000000" w:rsidRPr="00997604" w:rsidP="00997604">
      <w:pPr>
        <w:pStyle w:val="BodyText"/>
      </w:pPr>
      <w:r w:rsidRPr="00997604">
        <w:t>calculation methods, including appropriate units, uncertainties and balancing equations</w:t>
      </w:r>
    </w:p>
    <w:p w:rsidR="00000000" w:rsidRPr="00997604" w:rsidP="00997604">
      <w:pPr>
        <w:pStyle w:val="BodyText"/>
      </w:pPr>
      <w:r w:rsidRPr="00997604">
        <w:t>enterprise communication</w:t>
      </w:r>
      <w:r w:rsidRPr="00997604">
        <w:t xml:space="preserve"> and reporting procedures</w:t>
      </w:r>
    </w:p>
    <w:p w:rsidR="00000000" w:rsidRPr="00997604" w:rsidP="00997604">
      <w:pPr>
        <w:pStyle w:val="BodyText"/>
      </w:pPr>
      <w:r w:rsidRPr="00997604">
        <w:t>OHS procedures, including those for using corrosive materials</w:t>
      </w:r>
    </w:p>
    <w:p w:rsidR="00000000" w:rsidRPr="00997604" w:rsidP="00997604">
      <w:pPr>
        <w:pStyle w:val="BodyText"/>
      </w:pPr>
      <w:r w:rsidRPr="00997604">
        <w:t>relevant health, safety and environment requirements.</w:t>
      </w:r>
    </w:p>
    <w:p w:rsidR="00000000" w:rsidRPr="00997604" w:rsidP="00997604">
      <w:pPr>
        <w:pStyle w:val="BodyText"/>
      </w:pPr>
      <w:r w:rsidRPr="00997604">
        <w:rPr>
          <w:rStyle w:val="SpecialBold"/>
        </w:rPr>
        <w:t>Assessment context and methods</w:t>
      </w:r>
    </w:p>
    <w:p w:rsidR="00000000" w:rsidRPr="00997604" w:rsidP="00997604">
      <w:pPr>
        <w:pStyle w:val="BodyText"/>
      </w:pPr>
      <w:r w:rsidRPr="00997604">
        <w:t>This unit of competency is to be assessed in the workplace or simulated workplace e</w:t>
      </w:r>
      <w:r w:rsidRPr="00997604">
        <w:t xml:space="preserve">nvironment. </w:t>
      </w:r>
    </w:p>
    <w:p w:rsidR="00000000" w:rsidRPr="00997604" w:rsidP="00997604">
      <w:pPr>
        <w:pStyle w:val="BodyText"/>
      </w:pPr>
      <w:r w:rsidRPr="00997604">
        <w:t>The following assessment methods are suggested:</w:t>
      </w:r>
    </w:p>
    <w:p w:rsidR="00000000" w:rsidRPr="00997604" w:rsidP="00997604">
      <w:pPr>
        <w:pStyle w:val="BodyText"/>
      </w:pPr>
      <w:r w:rsidRPr="00997604">
        <w:t>inspection and/or testing of solutions prepared by the candidate</w:t>
      </w:r>
    </w:p>
    <w:p w:rsidR="00000000" w:rsidRPr="00997604" w:rsidP="00997604">
      <w:pPr>
        <w:pStyle w:val="BodyText"/>
      </w:pPr>
      <w:r w:rsidRPr="00997604">
        <w:t>review of records and workplace documentation completed by candidate</w:t>
      </w:r>
    </w:p>
    <w:p w:rsidR="00000000" w:rsidRPr="00997604" w:rsidP="00997604">
      <w:pPr>
        <w:pStyle w:val="BodyText"/>
      </w:pPr>
      <w:r w:rsidRPr="00997604">
        <w:t>review of work outputs by the candidate over time to ensure a</w:t>
      </w:r>
      <w:r w:rsidRPr="00997604">
        <w:t>ccuracy, consistency and timeliness</w:t>
      </w:r>
    </w:p>
    <w:p w:rsidR="00000000" w:rsidRPr="00997604" w:rsidP="00997604">
      <w:pPr>
        <w:pStyle w:val="BodyText"/>
      </w:pPr>
      <w:r w:rsidRPr="00997604">
        <w:t>feedback from peers and supervisors</w:t>
      </w:r>
    </w:p>
    <w:p w:rsidR="00000000" w:rsidRPr="00997604" w:rsidP="00997604">
      <w:pPr>
        <w:pStyle w:val="BodyText"/>
      </w:pPr>
      <w:r w:rsidRPr="00997604">
        <w:t>observation of the candidate preparing, standardising and using a range of solutions</w:t>
      </w:r>
    </w:p>
    <w:p w:rsidR="00000000" w:rsidRPr="00997604" w:rsidP="00997604">
      <w:pPr>
        <w:pStyle w:val="BodyText"/>
      </w:pPr>
      <w:r w:rsidRPr="00997604">
        <w:t>oral or written questioning.</w:t>
      </w:r>
    </w:p>
    <w:p w:rsidR="00000000" w:rsidRPr="00997604" w:rsidP="00997604">
      <w:pPr>
        <w:pStyle w:val="BodyText"/>
      </w:pPr>
      <w:r w:rsidRPr="00997604">
        <w:t>In all cases, practical assessment should be supported by questions to assess underpinning knowledge and those aspects of competency which are difficult to assess directly. Questioning techniques should suit the language and literacy levels of the candidat</w:t>
      </w:r>
      <w:r w:rsidRPr="00997604">
        <w:t>e.</w:t>
      </w:r>
    </w:p>
    <w:p w:rsidR="00000000" w:rsidRPr="00997604" w:rsidP="00997604">
      <w:pPr>
        <w:pStyle w:val="BodyText"/>
      </w:pPr>
      <w:r w:rsidRPr="00997604">
        <w:rPr>
          <w:rStyle w:val="SpecialBold"/>
        </w:rPr>
        <w:t>Interdependent assessment of unit</w:t>
      </w:r>
    </w:p>
    <w:p w:rsidR="00000000" w:rsidRPr="00997604" w:rsidP="00997604">
      <w:pPr>
        <w:pStyle w:val="BodyText"/>
      </w:pPr>
      <w:r w:rsidRPr="00997604">
        <w:t>This unit of competency may be assessed with:</w:t>
      </w:r>
    </w:p>
    <w:p w:rsidR="00000000" w:rsidRPr="00997604" w:rsidP="00997604">
      <w:pPr>
        <w:pStyle w:val="BodyText"/>
      </w:pPr>
      <w:r w:rsidRPr="00997604">
        <w:rPr>
          <w:rStyle w:val="SpecialBold"/>
        </w:rPr>
        <w:t>PMLTEST400</w:t>
      </w:r>
      <w:r w:rsidRPr="00997604">
        <w:t xml:space="preserve"> and </w:t>
      </w:r>
      <w:r w:rsidRPr="00997604">
        <w:rPr>
          <w:rStyle w:val="SpecialBold"/>
        </w:rPr>
        <w:t>PMLTEST500</w:t>
      </w:r>
      <w:r w:rsidRPr="00997604">
        <w:t xml:space="preserve"> series units dealing with sampling, tests and measurements.</w:t>
      </w:r>
    </w:p>
    <w:p w:rsidR="00000000" w:rsidRPr="00997604" w:rsidP="00997604">
      <w:pPr>
        <w:pStyle w:val="BodyText"/>
      </w:pPr>
      <w:r w:rsidRPr="00997604">
        <w:rPr>
          <w:rStyle w:val="SpecialBold"/>
        </w:rPr>
        <w:t>Resource implications</w:t>
      </w:r>
    </w:p>
    <w:p w:rsidR="00000000" w:rsidRPr="00997604" w:rsidP="00997604">
      <w:pPr>
        <w:pStyle w:val="BodyText"/>
      </w:pPr>
      <w:r w:rsidRPr="00997604">
        <w:t>Resources may include:</w:t>
      </w:r>
    </w:p>
    <w:p w:rsidR="00000000" w:rsidRPr="00997604" w:rsidP="00997604">
      <w:pPr>
        <w:pStyle w:val="BodyText"/>
      </w:pPr>
      <w:r w:rsidRPr="00997604">
        <w:t>standard laboratory equipped with appropri</w:t>
      </w:r>
      <w:r w:rsidRPr="00997604">
        <w:t>ate volumetric equipment</w:t>
      </w:r>
    </w:p>
    <w:p w:rsidR="00000000" w:rsidRPr="00997604" w:rsidP="00997604">
      <w:pPr>
        <w:pStyle w:val="BodyText"/>
      </w:pPr>
      <w:r w:rsidRPr="00997604">
        <w:t>laboratory reagents and equipment</w:t>
      </w:r>
    </w:p>
    <w:p w:rsidR="00000000" w:rsidRPr="00997604" w:rsidP="00997604">
      <w:pPr>
        <w:pStyle w:val="BodyText"/>
      </w:pPr>
      <w:r w:rsidRPr="00997604">
        <w:t>standard operating procedures (SOPs) and testing methods.</w:t>
      </w:r>
    </w:p>
    <w:p w:rsidR="00000000" w:rsidRPr="00997604" w:rsidP="00997604">
      <w:pPr>
        <w:pStyle w:val="BodyText"/>
      </w:pPr>
      <w:r w:rsidRPr="00997604">
        <w:rPr>
          <w:rStyle w:val="SpecialBold"/>
        </w:rPr>
        <w:t>This competency in practice</w:t>
      </w:r>
    </w:p>
    <w:p w:rsidR="00000000" w:rsidRPr="00997604" w:rsidP="00997604">
      <w:pPr>
        <w:pStyle w:val="BodyText"/>
      </w:pPr>
      <w:r w:rsidRPr="00997604">
        <w:rPr>
          <w:rStyle w:val="SpecialBold"/>
        </w:rPr>
        <w:t>Manufacturing</w:t>
      </w:r>
    </w:p>
    <w:p w:rsidR="00000000" w:rsidRPr="00997604" w:rsidP="00997604">
      <w:pPr>
        <w:pStyle w:val="BodyText"/>
      </w:pPr>
      <w:r w:rsidRPr="00997604">
        <w:t>A standard solution is used to determine the concentration of unknown solutions. The quality of t</w:t>
      </w:r>
      <w:r w:rsidRPr="00997604">
        <w:t>hese analyses is critically related to the accuracy with which the concentration of the standard solution is known. Therefore, laboratory technicians spend considerable effort to ensure that the materials and methods used for the preparation and standardis</w:t>
      </w:r>
      <w:r w:rsidRPr="00997604">
        <w:t>ation will lead to a solution of accurately known concentration. For example, anhydrous sodium carbonate is often used to prepare solutions to determine the concentrations of acids. The sodium carbonate is heated at a suitable temperature to remove any tra</w:t>
      </w:r>
      <w:r w:rsidRPr="00997604">
        <w:t xml:space="preserve">ce of moisture and cooled in a dessicator. An appropriate quantity is dissolved in distilled water and made up to volume in a volumetric flask. This solution of known concentration is then titrated with acids of unknown concentration and the concentration </w:t>
      </w:r>
      <w:r w:rsidRPr="00997604">
        <w:t xml:space="preserve">of the acids determined. </w:t>
      </w:r>
    </w:p>
    <w:p w:rsidR="00000000" w:rsidRPr="00997604" w:rsidP="00997604">
      <w:pPr>
        <w:pStyle w:val="BodyText"/>
      </w:pPr>
      <w:r w:rsidRPr="00997604">
        <w:rPr>
          <w:rStyle w:val="SpecialBold"/>
        </w:rPr>
        <w:t>Biotechnology</w:t>
      </w:r>
    </w:p>
    <w:p w:rsidR="00000000" w:rsidRPr="00997604" w:rsidP="00997604">
      <w:pPr>
        <w:pStyle w:val="BodyText"/>
      </w:pPr>
      <w:r w:rsidRPr="00997604">
        <w:t>A technical officer arrived at work on Monday morning and discovered that the freezer had been turned off over the weekend and the restriction nucleases had thawed. These enzymes were to be used that morning. The tec</w:t>
      </w:r>
      <w:r w:rsidRPr="00997604">
        <w:t>hnician needed to check the enzyme activity to determine whether the enzymes had been denatured by the rise in temperature. The technician quickly set up a digestion mix of affected enzyme with some viral DNA of known sequence. The digest produced DNA frag</w:t>
      </w:r>
      <w:r w:rsidRPr="00997604">
        <w:t>ments of expected length, showing the enzyme still had activity. The technician reported the incident along with the results to the supervisor, who decided that the enzymes could be used for that day.</w:t>
      </w:r>
    </w:p>
    <w:p w:rsidR="00000000" w:rsidRPr="00997604" w:rsidP="00997604">
      <w:pPr>
        <w:pStyle w:val="BodyText"/>
      </w:pPr>
      <w:r w:rsidRPr="00997604">
        <w:rPr>
          <w:rStyle w:val="SpecialBold"/>
        </w:rPr>
        <w:t>Environmental</w:t>
      </w:r>
    </w:p>
    <w:p w:rsidR="00000000" w:rsidRPr="00997604" w:rsidP="00997604">
      <w:pPr>
        <w:pStyle w:val="BodyText"/>
      </w:pPr>
      <w:r w:rsidRPr="00997604">
        <w:t>A laboratory technician was required to d</w:t>
      </w:r>
      <w:r w:rsidRPr="00997604">
        <w:t>etermine the total acidity of a water sample as part of a quality control program. The total acidity was measured by titrating the water sample with sodium hydroxide of known concentration using an appropriate indicator. The concentration of the sodium hyd</w:t>
      </w:r>
      <w:r w:rsidRPr="00997604">
        <w:t>roxide was determined via a volumetric titration against a primary standard of potassium hydrogen phthalate.</w:t>
      </w:r>
    </w:p>
    <w:p w:rsidR="00000000" w:rsidRPr="00997604" w:rsidP="00997604">
      <w:pPr>
        <w:pStyle w:val="BodyText"/>
      </w:pPr>
      <w:r w:rsidRPr="00997604">
        <w:t>The value of the total acidity was determined by multiplying the volume of sodium hydroxide used with a numerical 'factor' which had been determine</w:t>
      </w:r>
      <w:r w:rsidRPr="00997604">
        <w:t>d by the laboratory supervisor in order to save time. The value of the 'factor' was displayed on the titration equipment. However, a new technical assistant did the full calculation and found that his/her result differed slightly from that obtained using t</w:t>
      </w:r>
      <w:r w:rsidRPr="00997604">
        <w:t>he 'factor'. After discussion with the laboratory supervisor it was agreed that the error was in the 'factor' and the assumption that each new batch of sodium hydroxide prepared was exactly the same concentration as all previous batches. This was incorrect</w:t>
      </w:r>
      <w:r w:rsidRPr="00997604">
        <w:t xml:space="preserve"> as the concentration of each batch differed slightly and its actual concentration was determined accurate, using the primary standard. The procedure was changed so that the full calculation was required for all tests.</w:t>
      </w:r>
    </w:p>
    <w:p w:rsidR="00000000" w:rsidRPr="00997604" w:rsidP="00997604">
      <w:pPr>
        <w:pStyle w:val="BodyText"/>
      </w:pPr>
      <w:r w:rsidRPr="00997604">
        <w:rPr>
          <w:rStyle w:val="SpecialBold"/>
        </w:rPr>
        <w:t>Key Competencies</w:t>
      </w:r>
    </w:p>
    <w:p w:rsidR="00000000" w:rsidRPr="00997604" w:rsidP="00997604">
      <w:pPr>
        <w:pStyle w:val="BodyText"/>
      </w:pPr>
      <w:r w:rsidRPr="00997604">
        <w:t>The seven key compet</w:t>
      </w:r>
      <w:r w:rsidRPr="00997604">
        <w:t>encies represent generic skills considered for effective work participation. The bracketed numbering against each of the key competencies indicates the performance level required in this unit. These are stand-alone levels and do not correspond to the Austr</w:t>
      </w:r>
      <w:r w:rsidRPr="00997604">
        <w:t>alian Qualifications Framework (AQF).</w:t>
      </w:r>
    </w:p>
    <w:p w:rsidR="00000000" w:rsidRPr="00997604" w:rsidP="00997604">
      <w:pPr>
        <w:pStyle w:val="BodyText"/>
      </w:pPr>
      <w:r w:rsidRPr="00997604">
        <w:t>Level (1) represents the competence to undertake tasks effectively</w:t>
      </w:r>
    </w:p>
    <w:p w:rsidR="00000000" w:rsidRPr="00997604" w:rsidP="00997604">
      <w:pPr>
        <w:pStyle w:val="BodyText"/>
      </w:pPr>
      <w:r w:rsidRPr="00997604">
        <w:t>Level (2) represents the competence to manage tasks</w:t>
      </w:r>
    </w:p>
    <w:p w:rsidR="00000000" w:rsidRPr="00997604" w:rsidP="00997604">
      <w:pPr>
        <w:pStyle w:val="BodyText"/>
      </w:pPr>
      <w:r w:rsidRPr="00997604">
        <w:t>Level (3) represents the competence to use concepts for evaluating and reshaping tasks.</w:t>
      </w: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726229">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Collecting,</w:t>
            </w:r>
            <w:r w:rsidRPr="00997604">
              <w:t xml:space="preserve"> analysing and organising information </w:t>
            </w:r>
          </w:p>
        </w:tc>
        <w:tc>
          <w:tcPr>
            <w:tcW w:w="1285"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 xml:space="preserve">Communicating ideas and information </w:t>
            </w:r>
          </w:p>
        </w:tc>
        <w:tc>
          <w:tcPr>
            <w:tcW w:w="1285"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Planning and organising activities</w:t>
            </w:r>
          </w:p>
        </w:tc>
        <w:tc>
          <w:tcPr>
            <w:tcW w:w="1285"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Working with others and in teams</w:t>
            </w:r>
          </w:p>
        </w:tc>
        <w:tc>
          <w:tcPr>
            <w:tcW w:w="1285"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Using mathematical ideas and techniques</w:t>
            </w:r>
          </w:p>
        </w:tc>
        <w:tc>
          <w:tcPr>
            <w:tcW w:w="1285"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Solving problems</w:t>
            </w:r>
          </w:p>
        </w:tc>
        <w:tc>
          <w:tcPr>
            <w:tcW w:w="1285"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 xml:space="preserve">Using technology </w:t>
            </w:r>
          </w:p>
        </w:tc>
      </w:tr>
      <w:tr w:rsidTr="00726229">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 xml:space="preserve">Level 2 </w:t>
            </w:r>
          </w:p>
        </w:tc>
        <w:tc>
          <w:tcPr>
            <w:tcW w:w="1285"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 xml:space="preserve">Level 2 </w:t>
            </w:r>
          </w:p>
        </w:tc>
        <w:tc>
          <w:tcPr>
            <w:tcW w:w="1285"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 xml:space="preserve">Level 2 </w:t>
            </w:r>
          </w:p>
        </w:tc>
        <w:tc>
          <w:tcPr>
            <w:tcW w:w="1285"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 xml:space="preserve">Level 2 </w:t>
            </w:r>
          </w:p>
        </w:tc>
        <w:tc>
          <w:tcPr>
            <w:tcW w:w="1285"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 xml:space="preserve">Level 2 </w:t>
            </w:r>
          </w:p>
        </w:tc>
        <w:tc>
          <w:tcPr>
            <w:tcW w:w="1285" w:type="dxa"/>
            <w:tcBorders>
              <w:top w:val="nil"/>
              <w:left w:val="nil"/>
              <w:bottom w:val="nil"/>
              <w:right w:val="nil"/>
            </w:tcBorders>
            <w:tcMar>
              <w:top w:w="0" w:type="dxa"/>
              <w:left w:w="62" w:type="dxa"/>
              <w:bottom w:w="0" w:type="dxa"/>
              <w:right w:w="62" w:type="dxa"/>
            </w:tcMar>
          </w:tcPr>
          <w:p w:rsidR="00000000" w:rsidP="00997604">
            <w:pPr>
              <w:pStyle w:val="BodyText"/>
              <w:rPr>
                <w:lang w:val="en-NZ"/>
              </w:rPr>
            </w:pPr>
            <w:r w:rsidRPr="00997604">
              <w:t xml:space="preserve">Level 2 </w:t>
            </w:r>
          </w:p>
        </w:tc>
        <w:tc>
          <w:tcPr>
            <w:tcW w:w="1285" w:type="dxa"/>
            <w:tcBorders>
              <w:top w:val="nil"/>
              <w:left w:val="nil"/>
              <w:bottom w:val="nil"/>
              <w:right w:val="nil"/>
            </w:tcBorders>
            <w:tcMar>
              <w:top w:w="0" w:type="dxa"/>
              <w:left w:w="62" w:type="dxa"/>
              <w:bottom w:w="0" w:type="dxa"/>
              <w:right w:w="62" w:type="dxa"/>
            </w:tcMar>
          </w:tcPr>
          <w:p w:rsidR="00000000" w:rsidRPr="00997604" w:rsidP="00997604">
            <w:pPr>
              <w:pStyle w:val="BodyText"/>
            </w:pPr>
            <w:r w:rsidRPr="00997604">
              <w:t xml:space="preserve">Level 2 </w:t>
            </w:r>
          </w:p>
        </w:tc>
      </w:tr>
    </w:tbl>
    <w:p w:rsidR="00000000" w:rsidRPr="00997604" w:rsidP="00997604">
      <w:pPr>
        <w:pStyle w:val="BodyText"/>
      </w:pPr>
    </w:p>
    <w:p w:rsidR="00000000" w:rsidRPr="00997604" w:rsidP="00997604">
      <w:pPr>
        <w:pStyle w:val="AllowPageBreak"/>
      </w:pPr>
    </w:p>
    <w:p w:rsidR="00000000" w:rsidRPr="00997604" w:rsidP="00997604">
      <w:pPr>
        <w:pStyle w:val="Heading1"/>
      </w:pPr>
      <w:bookmarkStart w:id="11" w:name="O_312201"/>
      <w:bookmarkEnd w:id="11"/>
      <w:r w:rsidRPr="00997604">
        <w:t>Range Statement</w:t>
      </w:r>
    </w:p>
    <w:p w:rsidR="00000000" w:rsidRPr="00997604" w:rsidP="00997604">
      <w:pPr>
        <w:pStyle w:val="BodyText"/>
      </w:pPr>
      <w:r w:rsidRPr="00997604">
        <w:t>The range of variables relates to the unit of competency as a whole. It allows for different work environments and situations that will affect performance.</w:t>
      </w:r>
    </w:p>
    <w:p w:rsidR="00000000" w:rsidRPr="00997604" w:rsidP="00997604">
      <w:pPr>
        <w:pStyle w:val="BodyText"/>
      </w:pPr>
      <w:r w:rsidRPr="00997604">
        <w:t>Where reference is made to industry Co</w:t>
      </w:r>
      <w:r w:rsidRPr="00997604">
        <w:t>des of Practice, and/or Australian/international standards, it is expected the latest version will be used.</w:t>
      </w:r>
    </w:p>
    <w:p w:rsidR="00000000" w:rsidRPr="00997604" w:rsidP="00997604">
      <w:pPr>
        <w:pStyle w:val="BodyText"/>
      </w:pPr>
      <w:r w:rsidRPr="00997604">
        <w:t>This unit of competency describes the work conducted by laboratory technicians who prepare, standardise and use solutions and monitor the quality of</w:t>
      </w:r>
      <w:r w:rsidRPr="00997604">
        <w:t xml:space="preserve"> the prepared solutions.</w:t>
      </w:r>
    </w:p>
    <w:p w:rsidR="00000000" w:rsidRPr="00997604" w:rsidP="00997604">
      <w:pPr>
        <w:pStyle w:val="BodyText"/>
      </w:pPr>
      <w:r w:rsidRPr="00997604">
        <w:t>All operations must comply with relevant standards, appropriate procedures and/or enterprise requirements. These procedures may include or have been prepared from:</w:t>
      </w:r>
    </w:p>
    <w:p w:rsidR="00000000" w:rsidRPr="00997604" w:rsidP="00997604">
      <w:pPr>
        <w:pStyle w:val="BodyText"/>
      </w:pPr>
      <w:r w:rsidRPr="00997604">
        <w:t>Australian and international standards, such as:</w:t>
      </w:r>
    </w:p>
    <w:p w:rsidR="00000000" w:rsidRPr="00997604" w:rsidP="00997604">
      <w:pPr>
        <w:pStyle w:val="BodyText"/>
      </w:pPr>
      <w:r w:rsidRPr="00997604">
        <w:t>AS ISO/IEC 17025 General requirements for the competence of testing and calibration laboratories</w:t>
      </w:r>
    </w:p>
    <w:p w:rsidR="00000000" w:rsidRPr="00997604" w:rsidP="00997604">
      <w:pPr>
        <w:pStyle w:val="BodyText"/>
      </w:pPr>
      <w:r w:rsidRPr="00997604">
        <w:t>ISO 9000 series Quality management and quality assurance standards</w:t>
      </w:r>
    </w:p>
    <w:p w:rsidR="00000000" w:rsidRPr="00997604" w:rsidP="00997604">
      <w:pPr>
        <w:pStyle w:val="BodyText"/>
      </w:pPr>
      <w:r w:rsidRPr="00997604">
        <w:t>AS 2243 Safety in laboratories</w:t>
      </w:r>
    </w:p>
    <w:p w:rsidR="00000000" w:rsidRPr="00997604" w:rsidP="00997604">
      <w:pPr>
        <w:pStyle w:val="BodyText"/>
      </w:pPr>
      <w:r w:rsidRPr="00997604">
        <w:t>AS 2830 Good laboratory practice</w:t>
      </w:r>
    </w:p>
    <w:p w:rsidR="00000000" w:rsidRPr="00997604" w:rsidP="00997604">
      <w:pPr>
        <w:pStyle w:val="BodyText"/>
      </w:pPr>
      <w:r w:rsidRPr="00997604">
        <w:t>Codes of Practice, such as G</w:t>
      </w:r>
      <w:r w:rsidRPr="00997604">
        <w:t>LP and GMP</w:t>
      </w:r>
    </w:p>
    <w:p w:rsidR="00000000" w:rsidRPr="00997604" w:rsidP="00997604">
      <w:pPr>
        <w:pStyle w:val="BodyText"/>
      </w:pPr>
      <w:r w:rsidRPr="00997604">
        <w:t>material safety data sheets (MSDSs)</w:t>
      </w:r>
    </w:p>
    <w:p w:rsidR="00000000" w:rsidRPr="00997604" w:rsidP="00997604">
      <w:pPr>
        <w:pStyle w:val="BodyText"/>
      </w:pPr>
      <w:r w:rsidRPr="00997604">
        <w:t>National Measurement Act</w:t>
      </w:r>
    </w:p>
    <w:p w:rsidR="00000000" w:rsidRPr="00997604" w:rsidP="00997604">
      <w:pPr>
        <w:pStyle w:val="BodyText"/>
      </w:pPr>
      <w:r w:rsidRPr="00997604">
        <w:t>standard operating procedures (SOPs)</w:t>
      </w:r>
    </w:p>
    <w:p w:rsidR="00000000" w:rsidRPr="00997604" w:rsidP="00997604">
      <w:pPr>
        <w:pStyle w:val="BodyText"/>
      </w:pPr>
      <w:r w:rsidRPr="00997604">
        <w:t>quality manuals, equipment and procedure manuals</w:t>
      </w:r>
    </w:p>
    <w:p w:rsidR="00000000" w:rsidRPr="00997604" w:rsidP="00997604">
      <w:pPr>
        <w:pStyle w:val="BodyText"/>
      </w:pPr>
      <w:r w:rsidRPr="00997604">
        <w:t>enterprise and reporting procedures</w:t>
      </w:r>
    </w:p>
    <w:p w:rsidR="00000000" w:rsidRPr="00997604" w:rsidP="00997604">
      <w:pPr>
        <w:pStyle w:val="BodyText"/>
      </w:pPr>
      <w:r w:rsidRPr="00997604">
        <w:t>production and laboratory schedules</w:t>
      </w:r>
    </w:p>
    <w:p w:rsidR="00000000" w:rsidRPr="00997604" w:rsidP="00997604">
      <w:pPr>
        <w:pStyle w:val="BodyText"/>
      </w:pPr>
      <w:r w:rsidRPr="00997604">
        <w:t>material, production, prod</w:t>
      </w:r>
      <w:r w:rsidRPr="00997604">
        <w:t>uct and solution specifications</w:t>
      </w:r>
    </w:p>
    <w:p w:rsidR="00000000" w:rsidRPr="00997604" w:rsidP="00997604">
      <w:pPr>
        <w:pStyle w:val="BodyText"/>
      </w:pPr>
      <w:r w:rsidRPr="00997604">
        <w:t>waste minimisation and safe disposal procedures.</w:t>
      </w:r>
    </w:p>
    <w:p w:rsidR="00000000" w:rsidRPr="00997604" w:rsidP="00997604">
      <w:pPr>
        <w:pStyle w:val="BodyText"/>
      </w:pPr>
      <w:r w:rsidRPr="00997604">
        <w:t>Solutions may include but are not limited to:</w:t>
      </w:r>
    </w:p>
    <w:p w:rsidR="00000000" w:rsidRPr="00997604" w:rsidP="00997604">
      <w:pPr>
        <w:pStyle w:val="BodyText"/>
      </w:pPr>
      <w:r w:rsidRPr="00997604">
        <w:t xml:space="preserve">solutions of strong/weak acids and bases </w:t>
      </w:r>
    </w:p>
    <w:p w:rsidR="00000000" w:rsidRPr="00997604" w:rsidP="00997604">
      <w:pPr>
        <w:pStyle w:val="BodyText"/>
      </w:pPr>
      <w:r w:rsidRPr="00997604">
        <w:t xml:space="preserve">oxidising/reducing agents </w:t>
      </w:r>
    </w:p>
    <w:p w:rsidR="00000000" w:rsidRPr="00997604" w:rsidP="00997604">
      <w:pPr>
        <w:pStyle w:val="BodyText"/>
      </w:pPr>
      <w:r w:rsidRPr="00997604">
        <w:t>solutions used for complexometric or precipitation titration</w:t>
      </w:r>
      <w:r w:rsidRPr="00997604">
        <w:t xml:space="preserve">s </w:t>
      </w:r>
    </w:p>
    <w:p w:rsidR="00000000" w:rsidRPr="00997604" w:rsidP="00997604">
      <w:pPr>
        <w:pStyle w:val="BodyText"/>
      </w:pPr>
      <w:r w:rsidRPr="00997604">
        <w:t>stains for cells and tissues, enzymes, buffers and antibodies</w:t>
      </w:r>
    </w:p>
    <w:p w:rsidR="00000000" w:rsidRPr="00997604" w:rsidP="00997604">
      <w:pPr>
        <w:pStyle w:val="BodyText"/>
      </w:pPr>
      <w:r w:rsidRPr="00997604">
        <w:t>diluents for maintaining isotonicity</w:t>
      </w:r>
    </w:p>
    <w:p w:rsidR="00000000" w:rsidRPr="00997604" w:rsidP="00997604">
      <w:pPr>
        <w:pStyle w:val="BodyText"/>
      </w:pPr>
      <w:r w:rsidRPr="00997604">
        <w:t>organic solutions and histological fixatives.</w:t>
      </w:r>
    </w:p>
    <w:p w:rsidR="00000000" w:rsidRPr="00997604" w:rsidP="00997604">
      <w:pPr>
        <w:pStyle w:val="BodyText"/>
      </w:pPr>
      <w:r w:rsidRPr="00997604">
        <w:t>Apparatus and reagents which may be used to prepare standard solutions include:</w:t>
      </w:r>
    </w:p>
    <w:p w:rsidR="00000000" w:rsidRPr="00997604" w:rsidP="00997604">
      <w:pPr>
        <w:pStyle w:val="BodyText"/>
      </w:pPr>
      <w:r w:rsidRPr="00997604">
        <w:t xml:space="preserve">balances </w:t>
      </w:r>
    </w:p>
    <w:p w:rsidR="00000000" w:rsidRPr="00997604" w:rsidP="00997604">
      <w:pPr>
        <w:pStyle w:val="BodyText"/>
      </w:pPr>
      <w:r w:rsidRPr="00997604">
        <w:t>pipettes, burettes</w:t>
      </w:r>
      <w:r w:rsidRPr="00997604">
        <w:t xml:space="preserve">, volumetric glassware, weighing bottles </w:t>
      </w:r>
    </w:p>
    <w:p w:rsidR="00000000" w:rsidRPr="00997604" w:rsidP="00997604">
      <w:pPr>
        <w:pStyle w:val="BodyText"/>
      </w:pPr>
      <w:r w:rsidRPr="00997604">
        <w:t xml:space="preserve">dessicators, filtering media </w:t>
      </w:r>
    </w:p>
    <w:p w:rsidR="00000000" w:rsidRPr="00997604" w:rsidP="00997604">
      <w:pPr>
        <w:pStyle w:val="BodyText"/>
      </w:pPr>
      <w:r w:rsidRPr="00997604">
        <w:t xml:space="preserve">ovens, muffle furnaces </w:t>
      </w:r>
    </w:p>
    <w:p w:rsidR="00000000" w:rsidRPr="00997604" w:rsidP="00997604">
      <w:pPr>
        <w:pStyle w:val="BodyText"/>
      </w:pPr>
      <w:r w:rsidRPr="00997604">
        <w:t xml:space="preserve">solutions, indicators, primary and secondary standards </w:t>
      </w:r>
    </w:p>
    <w:p w:rsidR="00000000" w:rsidRPr="00997604" w:rsidP="00997604">
      <w:pPr>
        <w:pStyle w:val="BodyText"/>
      </w:pPr>
      <w:r w:rsidRPr="00997604">
        <w:t>auto titrators, pH meters and other related meters and electrodes for determining equivalence points, to</w:t>
      </w:r>
      <w:r w:rsidRPr="00997604">
        <w:t xml:space="preserve">p pan and analytical balances </w:t>
      </w:r>
    </w:p>
    <w:p w:rsidR="00000000" w:rsidRPr="00997604" w:rsidP="00997604">
      <w:pPr>
        <w:pStyle w:val="BodyText"/>
      </w:pPr>
      <w:r w:rsidRPr="00997604">
        <w:t>magnetic stirrers and heaters, water baths.</w:t>
      </w:r>
    </w:p>
    <w:p w:rsidR="00000000" w:rsidRPr="00997604" w:rsidP="00997604">
      <w:pPr>
        <w:pStyle w:val="BodyText"/>
      </w:pPr>
      <w:r w:rsidRPr="00997604">
        <w:t>Checking useability of solutions could include:</w:t>
      </w:r>
    </w:p>
    <w:p w:rsidR="00000000" w:rsidRPr="00997604" w:rsidP="00997604">
      <w:pPr>
        <w:pStyle w:val="BodyText"/>
      </w:pPr>
      <w:r w:rsidRPr="00997604">
        <w:t>examining stained samples for correct staining reactions</w:t>
      </w:r>
    </w:p>
    <w:p w:rsidR="00000000" w:rsidRPr="00997604" w:rsidP="00997604">
      <w:pPr>
        <w:pStyle w:val="BodyText"/>
      </w:pPr>
      <w:r w:rsidRPr="00997604">
        <w:t>performing pH checks</w:t>
      </w:r>
    </w:p>
    <w:p w:rsidR="00000000" w:rsidRPr="00997604" w:rsidP="00997604">
      <w:pPr>
        <w:pStyle w:val="BodyText"/>
      </w:pPr>
      <w:r w:rsidRPr="00997604">
        <w:t>confirming enzyme activity</w:t>
      </w:r>
    </w:p>
    <w:p w:rsidR="00000000" w:rsidRPr="00997604" w:rsidP="00997604">
      <w:pPr>
        <w:pStyle w:val="BodyText"/>
      </w:pPr>
      <w:r w:rsidRPr="00997604">
        <w:t>checking red cell suspensions for haemolysis.</w:t>
      </w:r>
    </w:p>
    <w:p w:rsidR="00000000" w:rsidRPr="00997604" w:rsidP="00997604">
      <w:pPr>
        <w:pStyle w:val="BodyText"/>
      </w:pPr>
      <w:r w:rsidRPr="00997604">
        <w:t>Hazards may include:</w:t>
      </w:r>
    </w:p>
    <w:p w:rsidR="00000000" w:rsidRPr="00997604" w:rsidP="00997604">
      <w:pPr>
        <w:pStyle w:val="BodyText"/>
      </w:pPr>
      <w:r w:rsidRPr="00997604">
        <w:t>chemicals, such as strong acids and bases, stains</w:t>
      </w:r>
    </w:p>
    <w:p w:rsidR="00000000" w:rsidRPr="00997604" w:rsidP="00997604">
      <w:pPr>
        <w:pStyle w:val="BodyText"/>
      </w:pPr>
      <w:r w:rsidRPr="00997604">
        <w:t>sharps, broken glassware</w:t>
      </w:r>
    </w:p>
    <w:p w:rsidR="00000000" w:rsidRPr="00997604" w:rsidP="00997604">
      <w:pPr>
        <w:pStyle w:val="BodyText"/>
      </w:pPr>
      <w:r w:rsidRPr="00997604">
        <w:t>burners, hot plates, ovens, furnaces.</w:t>
      </w:r>
    </w:p>
    <w:p w:rsidR="00000000" w:rsidRPr="00997604" w:rsidP="00997604">
      <w:pPr>
        <w:pStyle w:val="BodyText"/>
      </w:pPr>
      <w:r w:rsidRPr="00997604">
        <w:t>Safe work practices may include:</w:t>
      </w:r>
    </w:p>
    <w:p w:rsidR="00000000" w:rsidRPr="00997604" w:rsidP="00997604">
      <w:pPr>
        <w:pStyle w:val="BodyText"/>
      </w:pPr>
      <w:r w:rsidRPr="00997604">
        <w:t>use of material safety data sheets (MSDSs)</w:t>
      </w:r>
    </w:p>
    <w:p w:rsidR="00000000" w:rsidRPr="00997604" w:rsidP="00997604">
      <w:pPr>
        <w:pStyle w:val="BodyText"/>
      </w:pPr>
      <w:r w:rsidRPr="00997604">
        <w:t>use of personal protective equipment, such as gloves, safety glasses, goggles, faceguards, coveralls, gown</w:t>
      </w:r>
    </w:p>
    <w:p w:rsidR="00000000" w:rsidRPr="00997604" w:rsidP="00997604">
      <w:pPr>
        <w:pStyle w:val="BodyText"/>
      </w:pPr>
      <w:r w:rsidRPr="00997604">
        <w:t>use of biohazard containers, laminar flow cabinets, fumehoods</w:t>
      </w:r>
    </w:p>
    <w:p w:rsidR="00000000" w:rsidRPr="00997604" w:rsidP="00997604">
      <w:pPr>
        <w:pStyle w:val="BodyText"/>
      </w:pPr>
      <w:r w:rsidRPr="00997604">
        <w:t>correct labelling of reagents and hazardous materials</w:t>
      </w:r>
    </w:p>
    <w:p w:rsidR="00000000" w:rsidRPr="00997604" w:rsidP="00997604">
      <w:pPr>
        <w:pStyle w:val="BodyText"/>
      </w:pPr>
      <w:r w:rsidRPr="00997604">
        <w:t>handling and storing hazardous ma</w:t>
      </w:r>
      <w:r w:rsidRPr="00997604">
        <w:t>terials and equipment in accordance with labels, MSDS, manufacturer's instructions, enterprise procedures and regulations</w:t>
      </w:r>
    </w:p>
    <w:p w:rsidR="00000000" w:rsidRPr="00997604" w:rsidP="00997604">
      <w:pPr>
        <w:pStyle w:val="BodyText"/>
      </w:pPr>
      <w:r w:rsidRPr="00997604">
        <w:t>regular cleaning and/or decontaminating of equipment and work areas.</w:t>
      </w:r>
    </w:p>
    <w:p w:rsidR="00000000" w:rsidRPr="00997604" w:rsidP="00997604">
      <w:pPr>
        <w:pStyle w:val="BodyText"/>
      </w:pPr>
      <w:r w:rsidRPr="00997604">
        <w:rPr>
          <w:rStyle w:val="SpecialBold"/>
        </w:rPr>
        <w:t>Health</w:t>
      </w:r>
      <w:r w:rsidRPr="00997604">
        <w:t xml:space="preserve">, </w:t>
      </w:r>
      <w:r w:rsidRPr="00997604">
        <w:rPr>
          <w:rStyle w:val="SpecialBold"/>
        </w:rPr>
        <w:t>safety and environment</w:t>
      </w:r>
    </w:p>
    <w:p w:rsidR="00000000" w:rsidRPr="00997604" w:rsidP="00997604">
      <w:pPr>
        <w:pStyle w:val="BodyText"/>
      </w:pPr>
      <w:r w:rsidRPr="00997604">
        <w:t xml:space="preserve">All operations to which this unit </w:t>
      </w:r>
      <w:r w:rsidRPr="00997604">
        <w:t>applies are subject to stringent health, safety and environmental (HSE) requirements, which may be imposed through State or Federal legislation, and these must not be compromised at any time. Where there is an apparent conflict between performance criteria</w:t>
      </w:r>
      <w:r w:rsidRPr="00997604">
        <w:t xml:space="preserve"> and HSE requirements, the HSE requirements take precedence.</w:t>
      </w:r>
    </w:p>
    <w:p w:rsidR="00000000" w:rsidRPr="00997604" w:rsidP="00997604">
      <w:pPr>
        <w:pStyle w:val="BodyText"/>
      </w:pPr>
      <w:r w:rsidRPr="00997604">
        <w:t>All operations assume the potential hazardous nature of samples and require standard precautions to be applied. Users should access and apply current industry understanding of infection control i</w:t>
      </w:r>
      <w:r w:rsidRPr="00997604">
        <w:t>ssued by the National Health and Medical Research Council and State and Territory Departments of Health. All operations are performed in accordance with standard operating procedures.</w:t>
      </w:r>
    </w:p>
    <w:p w:rsidR="00000000" w:rsidRPr="00997604" w:rsidP="00997604">
      <w:pPr>
        <w:pStyle w:val="AllowPageBreak"/>
      </w:pPr>
    </w:p>
    <w:p w:rsidR="00000000" w:rsidRPr="00997604" w:rsidP="00997604">
      <w:pPr>
        <w:pStyle w:val="Heading1"/>
      </w:pPr>
      <w:bookmarkStart w:id="12" w:name="O_312210"/>
      <w:bookmarkEnd w:id="12"/>
      <w:r w:rsidRPr="00997604">
        <w:t>Unit Sector(s)</w:t>
      </w:r>
    </w:p>
    <w:p w:rsidR="00000000" w:rsidRPr="00997604" w:rsidP="00997604"/>
    <w:sectPr w:rsidSect="009976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6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6229" w:rsidP="007262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6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229" w:rsidP="009976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26229" w:rsidP="009976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26229" w:rsidP="009976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6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6229" w:rsidP="0072622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6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229" w:rsidP="00997604">
    <w:pPr>
      <w:pStyle w:val="Header"/>
      <w:framePr w:wrap="around"/>
    </w:pPr>
    <w:r>
      <w:fldChar w:fldCharType="begin"/>
    </w:r>
    <w:r>
      <w:instrText xml:space="preserve"> TITLE   \* MERGEFORMAT </w:instrText>
    </w:r>
    <w:r>
      <w:fldChar w:fldCharType="separate"/>
    </w:r>
    <w:r>
      <w:t>PMLTEST402B Prepare, standardise and use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26229" w:rsidP="009976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6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7604"/>
    <w:pPr>
      <w:spacing w:before="360" w:after="60"/>
      <w:outlineLvl w:val="0"/>
    </w:pPr>
    <w:rPr>
      <w:sz w:val="32"/>
    </w:rPr>
  </w:style>
  <w:style w:type="paragraph" w:styleId="Heading2">
    <w:name w:val="heading 2"/>
    <w:basedOn w:val="HeadingBase"/>
    <w:next w:val="BodyText"/>
    <w:link w:val="Heading2Char"/>
    <w:qFormat/>
    <w:rsid w:val="00997604"/>
    <w:pPr>
      <w:keepLines/>
      <w:spacing w:before="240" w:after="120"/>
      <w:outlineLvl w:val="1"/>
    </w:pPr>
    <w:rPr>
      <w:sz w:val="28"/>
      <w:szCs w:val="40"/>
    </w:rPr>
  </w:style>
  <w:style w:type="paragraph" w:styleId="Heading3">
    <w:name w:val="heading 3"/>
    <w:basedOn w:val="HeadingBase"/>
    <w:next w:val="BodyText"/>
    <w:link w:val="Heading3Char"/>
    <w:qFormat/>
    <w:rsid w:val="00997604"/>
    <w:pPr>
      <w:spacing w:before="180" w:after="120"/>
      <w:outlineLvl w:val="2"/>
    </w:pPr>
    <w:rPr>
      <w:spacing w:val="-10"/>
      <w:kern w:val="32"/>
    </w:rPr>
  </w:style>
  <w:style w:type="paragraph" w:styleId="Heading4">
    <w:name w:val="heading 4"/>
    <w:basedOn w:val="HeadingBase"/>
    <w:next w:val="BodyText"/>
    <w:link w:val="Heading4Char"/>
    <w:qFormat/>
    <w:rsid w:val="00997604"/>
    <w:pPr>
      <w:spacing w:before="160" w:after="120"/>
      <w:outlineLvl w:val="3"/>
    </w:pPr>
    <w:rPr>
      <w:sz w:val="22"/>
    </w:rPr>
  </w:style>
  <w:style w:type="paragraph" w:styleId="Heading5">
    <w:name w:val="heading 5"/>
    <w:basedOn w:val="HeadingBase"/>
    <w:next w:val="Normal"/>
    <w:link w:val="Heading5Char"/>
    <w:qFormat/>
    <w:rsid w:val="00997604"/>
    <w:pPr>
      <w:spacing w:before="80"/>
      <w:outlineLvl w:val="4"/>
    </w:pPr>
    <w:rPr>
      <w:color w:val="918585"/>
      <w:sz w:val="20"/>
    </w:rPr>
  </w:style>
  <w:style w:type="paragraph" w:styleId="Heading6">
    <w:name w:val="heading 6"/>
    <w:basedOn w:val="HeadingBase"/>
    <w:next w:val="Normal"/>
    <w:link w:val="Heading6Char"/>
    <w:qFormat/>
    <w:rsid w:val="00997604"/>
    <w:pPr>
      <w:spacing w:before="60"/>
      <w:outlineLvl w:val="5"/>
    </w:pPr>
    <w:rPr>
      <w:color w:val="918585"/>
      <w:sz w:val="20"/>
    </w:rPr>
  </w:style>
  <w:style w:type="paragraph" w:styleId="Heading7">
    <w:name w:val="heading 7"/>
    <w:basedOn w:val="Normal"/>
    <w:next w:val="Normal"/>
    <w:link w:val="Heading7Char"/>
    <w:qFormat/>
    <w:rsid w:val="00997604"/>
    <w:pPr>
      <w:ind w:left="720"/>
      <w:outlineLvl w:val="6"/>
    </w:pPr>
    <w:rPr>
      <w:i/>
    </w:rPr>
  </w:style>
  <w:style w:type="paragraph" w:styleId="Heading8">
    <w:name w:val="heading 8"/>
    <w:basedOn w:val="Normal"/>
    <w:next w:val="Normal"/>
    <w:link w:val="Heading8Char"/>
    <w:qFormat/>
    <w:rsid w:val="00997604"/>
    <w:pPr>
      <w:ind w:left="720"/>
      <w:outlineLvl w:val="7"/>
    </w:pPr>
    <w:rPr>
      <w:i/>
    </w:rPr>
  </w:style>
  <w:style w:type="paragraph" w:styleId="Heading9">
    <w:name w:val="heading 9"/>
    <w:basedOn w:val="Normal"/>
    <w:next w:val="Normal"/>
    <w:link w:val="Heading9Char"/>
    <w:qFormat/>
    <w:rsid w:val="00997604"/>
    <w:pPr>
      <w:ind w:left="720"/>
      <w:outlineLvl w:val="8"/>
    </w:pPr>
    <w:rPr>
      <w:i/>
    </w:rPr>
  </w:style>
  <w:style w:type="character" w:default="1" w:styleId="DefaultParagraphFont">
    <w:name w:val="Default Paragraph Font"/>
    <w:uiPriority w:val="1"/>
    <w:unhideWhenUsed/>
    <w:rsid w:val="009976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604"/>
  </w:style>
  <w:style w:type="character" w:customStyle="1" w:styleId="Heading1Char">
    <w:name w:val="Heading 1 Char"/>
    <w:link w:val="Heading1"/>
    <w:rsid w:val="00997604"/>
    <w:rPr>
      <w:rFonts w:ascii="Times New Roman" w:eastAsia="Times New Roman" w:hAnsi="Times New Roman" w:cs="Times New Roman"/>
      <w:b/>
      <w:sz w:val="32"/>
      <w:szCs w:val="20"/>
      <w:lang w:eastAsia="en-US"/>
    </w:rPr>
  </w:style>
  <w:style w:type="paragraph" w:styleId="BodyText">
    <w:name w:val="Body Text"/>
    <w:basedOn w:val="Normal"/>
    <w:link w:val="BodyTextChar"/>
    <w:rsid w:val="00997604"/>
    <w:pPr>
      <w:spacing w:before="120" w:after="120"/>
      <w:contextualSpacing/>
    </w:pPr>
    <w:rPr>
      <w:rFonts w:ascii="Times New Roman" w:hAnsi="Times New Roman"/>
      <w:sz w:val="24"/>
      <w:szCs w:val="22"/>
    </w:rPr>
  </w:style>
  <w:style w:type="character" w:customStyle="1" w:styleId="BodyTextChar">
    <w:name w:val="Body Text Char"/>
    <w:link w:val="BodyText"/>
    <w:rsid w:val="00997604"/>
    <w:rPr>
      <w:rFonts w:ascii="Times New Roman" w:eastAsia="Times New Roman" w:hAnsi="Times New Roman" w:cs="Times New Roman"/>
      <w:sz w:val="24"/>
      <w:lang w:val="en-US" w:eastAsia="en-US"/>
    </w:rPr>
  </w:style>
  <w:style w:type="paragraph" w:styleId="Footer">
    <w:name w:val="footer"/>
    <w:basedOn w:val="Normal"/>
    <w:link w:val="FooterChar"/>
    <w:rsid w:val="009976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97604"/>
    <w:rPr>
      <w:rFonts w:ascii="Times New Roman" w:eastAsia="Times New Roman" w:hAnsi="Times New Roman" w:cs="Times New Roman"/>
      <w:sz w:val="16"/>
      <w:lang w:val="en-US" w:eastAsia="en-US"/>
    </w:rPr>
  </w:style>
  <w:style w:type="character" w:customStyle="1" w:styleId="SpecialBold">
    <w:name w:val="Special Bold"/>
    <w:rsid w:val="00997604"/>
    <w:rPr>
      <w:b/>
      <w:spacing w:val="0"/>
    </w:rPr>
  </w:style>
  <w:style w:type="paragraph" w:styleId="Header">
    <w:name w:val="header"/>
    <w:basedOn w:val="Normal"/>
    <w:link w:val="HeaderChar"/>
    <w:rsid w:val="009976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976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7604"/>
    <w:pPr>
      <w:spacing w:before="240" w:after="120"/>
      <w:outlineLvl w:val="0"/>
    </w:pPr>
    <w:rPr>
      <w:rFonts w:ascii="Times New Roman" w:hAnsi="Times New Roman"/>
      <w:b/>
      <w:sz w:val="28"/>
    </w:rPr>
  </w:style>
  <w:style w:type="paragraph" w:customStyle="1" w:styleId="AllowPageBreak">
    <w:name w:val="AllowPageBreak"/>
    <w:rsid w:val="009976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97604"/>
    <w:rPr>
      <w:rFonts w:ascii="Times New Roman" w:eastAsia="Times New Roman" w:hAnsi="Times New Roman" w:cs="Times New Roman"/>
      <w:b/>
      <w:sz w:val="28"/>
      <w:szCs w:val="40"/>
      <w:lang w:eastAsia="en-US"/>
    </w:rPr>
  </w:style>
  <w:style w:type="character" w:customStyle="1" w:styleId="Heading3Char">
    <w:name w:val="Heading 3 Char"/>
    <w:link w:val="Heading3"/>
    <w:rsid w:val="0099760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97604"/>
    <w:rPr>
      <w:rFonts w:ascii="Times New Roman" w:eastAsia="Times New Roman" w:hAnsi="Times New Roman" w:cs="Times New Roman"/>
      <w:b/>
      <w:szCs w:val="20"/>
      <w:lang w:eastAsia="en-US"/>
    </w:rPr>
  </w:style>
  <w:style w:type="character" w:customStyle="1" w:styleId="Heading5Char">
    <w:name w:val="Heading 5 Char"/>
    <w:link w:val="Heading5"/>
    <w:rsid w:val="0099760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976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6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76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7604"/>
    <w:rPr>
      <w:rFonts w:ascii="Courier New" w:eastAsia="Times New Roman" w:hAnsi="Courier New" w:cs="Times New Roman"/>
      <w:i/>
      <w:szCs w:val="20"/>
      <w:lang w:val="en-US" w:eastAsia="en-US"/>
    </w:rPr>
  </w:style>
  <w:style w:type="paragraph" w:customStyle="1" w:styleId="HeadingBase">
    <w:name w:val="Heading Base"/>
    <w:rsid w:val="009976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604"/>
    <w:pPr>
      <w:tabs>
        <w:tab w:val="right" w:leader="dot" w:pos="9072"/>
      </w:tabs>
      <w:ind w:left="567"/>
    </w:pPr>
    <w:rPr>
      <w:szCs w:val="22"/>
    </w:rPr>
  </w:style>
  <w:style w:type="paragraph" w:customStyle="1" w:styleId="TOCBase">
    <w:name w:val="TOC Base"/>
    <w:rsid w:val="009976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604"/>
    <w:pPr>
      <w:tabs>
        <w:tab w:val="right" w:leader="dot" w:pos="9072"/>
      </w:tabs>
      <w:spacing w:before="40" w:after="40"/>
      <w:ind w:left="284"/>
    </w:pPr>
    <w:rPr>
      <w:rFonts w:ascii="Times New Roman" w:hAnsi="Times New Roman"/>
    </w:rPr>
  </w:style>
  <w:style w:type="paragraph" w:styleId="TOC1">
    <w:name w:val="toc 1"/>
    <w:basedOn w:val="TOCBase"/>
    <w:next w:val="Normal"/>
    <w:rsid w:val="009976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7604"/>
    <w:pPr>
      <w:spacing w:before="5040"/>
      <w:jc w:val="center"/>
    </w:pPr>
    <w:rPr>
      <w:sz w:val="48"/>
      <w:szCs w:val="72"/>
      <w:lang w:val="en-US"/>
    </w:rPr>
  </w:style>
  <w:style w:type="character" w:customStyle="1" w:styleId="TitleChar">
    <w:name w:val="Title Char"/>
    <w:link w:val="Title"/>
    <w:rsid w:val="009976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604"/>
    <w:pPr>
      <w:tabs>
        <w:tab w:val="left" w:pos="3600"/>
        <w:tab w:val="left" w:pos="3958"/>
      </w:tabs>
    </w:pPr>
  </w:style>
  <w:style w:type="paragraph" w:styleId="List">
    <w:name w:val="List"/>
    <w:basedOn w:val="BodyText"/>
    <w:next w:val="BodyText"/>
    <w:rsid w:val="00997604"/>
    <w:pPr>
      <w:tabs>
        <w:tab w:val="left" w:pos="340"/>
      </w:tabs>
      <w:spacing w:before="60" w:after="60"/>
      <w:ind w:left="340" w:hanging="340"/>
    </w:pPr>
  </w:style>
  <w:style w:type="paragraph" w:styleId="ListBullet">
    <w:name w:val="List Bullet"/>
    <w:basedOn w:val="List"/>
    <w:rsid w:val="00997604"/>
    <w:pPr>
      <w:numPr>
        <w:numId w:val="11"/>
      </w:numPr>
      <w:tabs>
        <w:tab w:val="clear" w:pos="340"/>
      </w:tabs>
      <w:spacing w:before="40" w:after="40"/>
    </w:pPr>
  </w:style>
  <w:style w:type="paragraph" w:customStyle="1" w:styleId="Note">
    <w:name w:val="Note"/>
    <w:basedOn w:val="BodyText"/>
    <w:rsid w:val="009976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604"/>
    <w:pPr>
      <w:framePr w:wrap="auto" w:hAnchor="text" w:y="6049"/>
    </w:pPr>
    <w:rPr>
      <w:color w:val="000000"/>
      <w:sz w:val="40"/>
    </w:rPr>
  </w:style>
  <w:style w:type="paragraph" w:customStyle="1" w:styleId="TOCTitle">
    <w:name w:val="TOCTitle"/>
    <w:basedOn w:val="Heading1"/>
    <w:rsid w:val="00997604"/>
    <w:pPr>
      <w:spacing w:after="240"/>
      <w:jc w:val="center"/>
      <w:outlineLvl w:val="9"/>
    </w:pPr>
    <w:rPr>
      <w:caps/>
    </w:rPr>
  </w:style>
  <w:style w:type="paragraph" w:customStyle="1" w:styleId="Version">
    <w:name w:val="Version"/>
    <w:rsid w:val="009976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7604"/>
    <w:pPr>
      <w:numPr>
        <w:numId w:val="12"/>
      </w:numPr>
      <w:tabs>
        <w:tab w:val="clear" w:pos="680"/>
      </w:tabs>
    </w:pPr>
  </w:style>
  <w:style w:type="paragraph" w:styleId="Index1">
    <w:name w:val="index 1"/>
    <w:basedOn w:val="Normal"/>
    <w:next w:val="Normal"/>
    <w:semiHidden/>
    <w:rsid w:val="00997604"/>
    <w:pPr>
      <w:keepNext w:val="0"/>
      <w:tabs>
        <w:tab w:val="right" w:pos="4176"/>
      </w:tabs>
      <w:ind w:left="198" w:hanging="198"/>
    </w:pPr>
    <w:rPr>
      <w:rFonts w:ascii="Garamond" w:hAnsi="Garamond"/>
    </w:rPr>
  </w:style>
  <w:style w:type="paragraph" w:styleId="IndexHeading">
    <w:name w:val="index heading"/>
    <w:basedOn w:val="Normal"/>
    <w:next w:val="Index1"/>
    <w:semiHidden/>
    <w:rsid w:val="00997604"/>
    <w:pPr>
      <w:spacing w:before="120" w:after="120"/>
    </w:pPr>
    <w:rPr>
      <w:rFonts w:ascii="Arial" w:hAnsi="Arial"/>
      <w:b/>
      <w:color w:val="918585"/>
      <w:sz w:val="24"/>
    </w:rPr>
  </w:style>
  <w:style w:type="paragraph" w:customStyle="1" w:styleId="Chapter">
    <w:name w:val="Chapter"/>
    <w:basedOn w:val="Normal"/>
    <w:rsid w:val="00997604"/>
    <w:pPr>
      <w:spacing w:before="240"/>
    </w:pPr>
    <w:rPr>
      <w:rFonts w:ascii="Times New Roman" w:hAnsi="Times New Roman"/>
      <w:smallCaps/>
      <w:spacing w:val="80"/>
      <w:sz w:val="28"/>
    </w:rPr>
  </w:style>
  <w:style w:type="paragraph" w:customStyle="1" w:styleId="InChapter">
    <w:name w:val="InChapter"/>
    <w:basedOn w:val="Heading3"/>
    <w:rsid w:val="00997604"/>
    <w:pPr>
      <w:spacing w:after="240"/>
      <w:outlineLvl w:val="9"/>
    </w:pPr>
    <w:rPr>
      <w:noProof/>
    </w:rPr>
  </w:style>
  <w:style w:type="paragraph" w:styleId="Index2">
    <w:name w:val="index 2"/>
    <w:basedOn w:val="Normal"/>
    <w:next w:val="Normal"/>
    <w:semiHidden/>
    <w:rsid w:val="00997604"/>
    <w:pPr>
      <w:tabs>
        <w:tab w:val="right" w:pos="4176"/>
      </w:tabs>
      <w:ind w:left="568" w:hanging="284"/>
    </w:pPr>
    <w:rPr>
      <w:rFonts w:ascii="Garamond" w:hAnsi="Garamond"/>
    </w:rPr>
  </w:style>
  <w:style w:type="paragraph" w:customStyle="1" w:styleId="Byline">
    <w:name w:val="Byline"/>
    <w:rsid w:val="009976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604"/>
    <w:pPr>
      <w:tabs>
        <w:tab w:val="clear" w:pos="3600"/>
        <w:tab w:val="clear" w:pos="3958"/>
      </w:tabs>
      <w:jc w:val="right"/>
    </w:pPr>
  </w:style>
  <w:style w:type="character" w:styleId="Emphasis">
    <w:name w:val="Emphasis"/>
    <w:qFormat/>
    <w:rsid w:val="00997604"/>
    <w:rPr>
      <w:i/>
    </w:rPr>
  </w:style>
  <w:style w:type="paragraph" w:styleId="Caption">
    <w:name w:val="caption"/>
    <w:basedOn w:val="BodyText"/>
    <w:next w:val="Normal"/>
    <w:qFormat/>
    <w:rsid w:val="00997604"/>
    <w:pPr>
      <w:framePr w:w="2268" w:hSpace="181" w:vSpace="181" w:wrap="around" w:vAnchor="text" w:hAnchor="page" w:x="1135" w:y="285" w:anchorLock="1"/>
    </w:pPr>
    <w:rPr>
      <w:i/>
    </w:rPr>
  </w:style>
  <w:style w:type="paragraph" w:customStyle="1" w:styleId="MiniTOCTitle">
    <w:name w:val="MiniTOCTitle"/>
    <w:basedOn w:val="Heading4"/>
    <w:rsid w:val="00997604"/>
    <w:pPr>
      <w:spacing w:before="240"/>
      <w:outlineLvl w:val="9"/>
    </w:pPr>
    <w:rPr>
      <w:noProof/>
      <w:sz w:val="24"/>
    </w:rPr>
  </w:style>
  <w:style w:type="paragraph" w:customStyle="1" w:styleId="MiniTOCItem">
    <w:name w:val="MiniTOCItem"/>
    <w:basedOn w:val="ListBullet"/>
    <w:rsid w:val="00997604"/>
    <w:pPr>
      <w:numPr>
        <w:numId w:val="0"/>
      </w:numPr>
      <w:tabs>
        <w:tab w:val="right" w:leader="dot" w:pos="6521"/>
      </w:tabs>
      <w:spacing w:before="0" w:after="0"/>
    </w:pPr>
  </w:style>
  <w:style w:type="paragraph" w:customStyle="1" w:styleId="TOFTitle">
    <w:name w:val="TOFTitle"/>
    <w:basedOn w:val="TOCTitle"/>
    <w:rsid w:val="00997604"/>
  </w:style>
  <w:style w:type="paragraph" w:styleId="TableofFigures">
    <w:name w:val="table of figures"/>
    <w:basedOn w:val="Normal"/>
    <w:next w:val="Normal"/>
    <w:semiHidden/>
    <w:rsid w:val="00997604"/>
    <w:pPr>
      <w:tabs>
        <w:tab w:val="right" w:leader="dot" w:pos="9072"/>
      </w:tabs>
      <w:ind w:left="970" w:hanging="403"/>
    </w:pPr>
    <w:rPr>
      <w:rFonts w:ascii="Times New Roman" w:hAnsi="Times New Roman"/>
      <w:b/>
    </w:rPr>
  </w:style>
  <w:style w:type="paragraph" w:styleId="ListNumber">
    <w:name w:val="List Number"/>
    <w:basedOn w:val="List"/>
    <w:rsid w:val="00997604"/>
    <w:pPr>
      <w:numPr>
        <w:numId w:val="9"/>
      </w:numPr>
    </w:pPr>
  </w:style>
  <w:style w:type="character" w:customStyle="1" w:styleId="WingdingSymbols">
    <w:name w:val="Wingding Symbols"/>
    <w:rsid w:val="00997604"/>
    <w:rPr>
      <w:rFonts w:ascii="Wingdings" w:hAnsi="Wingdings"/>
    </w:rPr>
  </w:style>
  <w:style w:type="paragraph" w:customStyle="1" w:styleId="TableHeading">
    <w:name w:val="Table Heading"/>
    <w:basedOn w:val="HeadingBase"/>
    <w:rsid w:val="00997604"/>
    <w:pPr>
      <w:keepLines/>
      <w:pBdr>
        <w:bottom w:val="single" w:sz="6" w:space="1" w:color="918585"/>
      </w:pBdr>
      <w:spacing w:before="240"/>
    </w:pPr>
  </w:style>
  <w:style w:type="character" w:customStyle="1" w:styleId="HotSpot">
    <w:name w:val="HotSpot"/>
    <w:rsid w:val="00997604"/>
    <w:rPr>
      <w:color w:val="0033CC"/>
      <w:u w:val="none"/>
    </w:rPr>
  </w:style>
  <w:style w:type="paragraph" w:customStyle="1" w:styleId="BodyTextRight">
    <w:name w:val="Body Text Right"/>
    <w:basedOn w:val="BodyText"/>
    <w:rsid w:val="00997604"/>
    <w:pPr>
      <w:spacing w:before="0" w:after="0"/>
      <w:jc w:val="right"/>
    </w:pPr>
  </w:style>
  <w:style w:type="paragraph" w:styleId="Index3">
    <w:name w:val="index 3"/>
    <w:basedOn w:val="ListNumber2"/>
    <w:next w:val="Normal"/>
    <w:semiHidden/>
    <w:rsid w:val="00997604"/>
    <w:pPr>
      <w:numPr>
        <w:numId w:val="0"/>
      </w:numPr>
      <w:tabs>
        <w:tab w:val="right" w:leader="dot" w:pos="4176"/>
      </w:tabs>
    </w:pPr>
  </w:style>
  <w:style w:type="paragraph" w:styleId="ListNumber2">
    <w:name w:val="List Number 2"/>
    <w:basedOn w:val="List2"/>
    <w:rsid w:val="00997604"/>
    <w:pPr>
      <w:numPr>
        <w:numId w:val="8"/>
      </w:numPr>
      <w:tabs>
        <w:tab w:val="clear" w:pos="1060"/>
      </w:tabs>
    </w:pPr>
  </w:style>
  <w:style w:type="paragraph" w:customStyle="1" w:styleId="MarginNote">
    <w:name w:val="Margin Note"/>
    <w:basedOn w:val="BodyText"/>
    <w:rsid w:val="009976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6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976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7604"/>
    <w:rPr>
      <w:sz w:val="32"/>
    </w:rPr>
  </w:style>
  <w:style w:type="paragraph" w:customStyle="1" w:styleId="HeadingProcedure">
    <w:name w:val="Heading Procedure"/>
    <w:basedOn w:val="HeadingBase"/>
    <w:next w:val="Normal"/>
    <w:rsid w:val="00997604"/>
    <w:pPr>
      <w:tabs>
        <w:tab w:val="left" w:pos="0"/>
      </w:tabs>
      <w:spacing w:before="120" w:after="60"/>
    </w:pPr>
    <w:rPr>
      <w:i/>
      <w:color w:val="918585"/>
      <w:sz w:val="22"/>
    </w:rPr>
  </w:style>
  <w:style w:type="paragraph" w:customStyle="1" w:styleId="TableBodyText">
    <w:name w:val="Table Body Text"/>
    <w:basedOn w:val="BodyText"/>
    <w:rsid w:val="00997604"/>
    <w:pPr>
      <w:spacing w:before="60" w:after="60"/>
    </w:pPr>
  </w:style>
  <w:style w:type="paragraph" w:styleId="ListContinue">
    <w:name w:val="List Continue"/>
    <w:basedOn w:val="List"/>
    <w:rsid w:val="00997604"/>
    <w:pPr>
      <w:ind w:firstLine="0"/>
    </w:pPr>
  </w:style>
  <w:style w:type="paragraph" w:customStyle="1" w:styleId="ListNote">
    <w:name w:val="List Note"/>
    <w:basedOn w:val="List"/>
    <w:rsid w:val="00997604"/>
    <w:pPr>
      <w:pBdr>
        <w:top w:val="single" w:sz="6" w:space="2" w:color="918585"/>
        <w:bottom w:val="single" w:sz="6" w:space="2" w:color="918585"/>
      </w:pBdr>
      <w:tabs>
        <w:tab w:val="left" w:pos="1021"/>
      </w:tabs>
      <w:ind w:firstLine="0"/>
    </w:pPr>
  </w:style>
  <w:style w:type="paragraph" w:customStyle="1" w:styleId="Warning">
    <w:name w:val="Warning"/>
    <w:basedOn w:val="BodyText"/>
    <w:rsid w:val="00997604"/>
    <w:pPr>
      <w:shd w:val="clear" w:color="auto" w:fill="D9D9D9"/>
      <w:tabs>
        <w:tab w:val="left" w:pos="992"/>
      </w:tabs>
      <w:ind w:left="119" w:right="119"/>
    </w:pPr>
    <w:rPr>
      <w:sz w:val="20"/>
    </w:rPr>
  </w:style>
  <w:style w:type="paragraph" w:customStyle="1" w:styleId="MarginIcons">
    <w:name w:val="Margin Icons"/>
    <w:basedOn w:val="BodyText"/>
    <w:rsid w:val="0099760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97604"/>
    <w:rPr>
      <w:rFonts w:ascii="Courier New" w:hAnsi="Courier New"/>
    </w:rPr>
  </w:style>
  <w:style w:type="paragraph" w:customStyle="1" w:styleId="NoteBullet">
    <w:name w:val="Note Bullet"/>
    <w:basedOn w:val="Note"/>
    <w:rsid w:val="00997604"/>
    <w:pPr>
      <w:tabs>
        <w:tab w:val="clear" w:pos="680"/>
      </w:tabs>
      <w:spacing w:before="60" w:after="60"/>
    </w:pPr>
  </w:style>
  <w:style w:type="paragraph" w:customStyle="1" w:styleId="SubHeading2">
    <w:name w:val="SubHeading2"/>
    <w:basedOn w:val="HeadingBase"/>
    <w:rsid w:val="00997604"/>
    <w:pPr>
      <w:spacing w:before="240" w:after="60"/>
    </w:pPr>
    <w:rPr>
      <w:sz w:val="20"/>
    </w:rPr>
  </w:style>
  <w:style w:type="paragraph" w:customStyle="1" w:styleId="SubHeading1">
    <w:name w:val="SubHeading1"/>
    <w:basedOn w:val="HeadingBase"/>
    <w:rsid w:val="00997604"/>
    <w:pPr>
      <w:spacing w:before="240" w:after="60"/>
    </w:pPr>
    <w:rPr>
      <w:color w:val="918585"/>
      <w:sz w:val="22"/>
    </w:rPr>
  </w:style>
  <w:style w:type="paragraph" w:customStyle="1" w:styleId="SideHeading">
    <w:name w:val="Side Heading"/>
    <w:basedOn w:val="HeadingBase"/>
    <w:rsid w:val="009976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604"/>
    <w:pPr>
      <w:numPr>
        <w:numId w:val="10"/>
      </w:numPr>
    </w:pPr>
  </w:style>
  <w:style w:type="paragraph" w:styleId="PlainText">
    <w:name w:val="Plain Text"/>
    <w:basedOn w:val="Normal"/>
    <w:link w:val="PlainTextChar"/>
    <w:rsid w:val="00997604"/>
    <w:rPr>
      <w:sz w:val="20"/>
    </w:rPr>
  </w:style>
  <w:style w:type="character" w:customStyle="1" w:styleId="PlainTextChar">
    <w:name w:val="Plain Text Char"/>
    <w:basedOn w:val="DefaultParagraphFont"/>
    <w:link w:val="PlainText"/>
    <w:rsid w:val="00997604"/>
    <w:rPr>
      <w:rFonts w:ascii="Courier New" w:eastAsia="Times New Roman" w:hAnsi="Courier New" w:cs="Times New Roman"/>
      <w:sz w:val="20"/>
      <w:szCs w:val="20"/>
      <w:lang w:val="en-US" w:eastAsia="en-US"/>
    </w:rPr>
  </w:style>
  <w:style w:type="character" w:customStyle="1" w:styleId="MenuOption">
    <w:name w:val="Menu Option"/>
    <w:rsid w:val="00997604"/>
    <w:rPr>
      <w:b/>
      <w:smallCaps/>
    </w:rPr>
  </w:style>
  <w:style w:type="paragraph" w:customStyle="1" w:styleId="TableListNumber">
    <w:name w:val="Table List Number"/>
    <w:basedOn w:val="ListNumber"/>
    <w:rsid w:val="00997604"/>
    <w:pPr>
      <w:numPr>
        <w:numId w:val="0"/>
      </w:numPr>
    </w:pPr>
  </w:style>
  <w:style w:type="paragraph" w:styleId="TOC4">
    <w:name w:val="toc 4"/>
    <w:basedOn w:val="TOCBase"/>
    <w:next w:val="Normal"/>
    <w:semiHidden/>
    <w:rsid w:val="00997604"/>
    <w:pPr>
      <w:tabs>
        <w:tab w:val="right" w:leader="dot" w:pos="9071"/>
      </w:tabs>
      <w:ind w:left="1701"/>
    </w:pPr>
  </w:style>
  <w:style w:type="paragraph" w:customStyle="1" w:styleId="ListAlpha">
    <w:name w:val="List Alpha"/>
    <w:basedOn w:val="List"/>
    <w:rsid w:val="00997604"/>
    <w:pPr>
      <w:numPr>
        <w:numId w:val="7"/>
      </w:numPr>
    </w:pPr>
  </w:style>
  <w:style w:type="paragraph" w:customStyle="1" w:styleId="ListAlpha2">
    <w:name w:val="List Alpha 2"/>
    <w:basedOn w:val="List2"/>
    <w:rsid w:val="00997604"/>
    <w:pPr>
      <w:numPr>
        <w:numId w:val="6"/>
      </w:numPr>
    </w:pPr>
  </w:style>
  <w:style w:type="paragraph" w:styleId="List2">
    <w:name w:val="List 2"/>
    <w:basedOn w:val="BodyText"/>
    <w:rsid w:val="00997604"/>
    <w:pPr>
      <w:tabs>
        <w:tab w:val="left" w:pos="680"/>
      </w:tabs>
      <w:spacing w:before="60" w:after="60"/>
      <w:ind w:left="680" w:hanging="340"/>
    </w:pPr>
  </w:style>
  <w:style w:type="paragraph" w:styleId="List3">
    <w:name w:val="List 3"/>
    <w:basedOn w:val="BodyText"/>
    <w:rsid w:val="00997604"/>
    <w:pPr>
      <w:tabs>
        <w:tab w:val="left" w:pos="1021"/>
      </w:tabs>
      <w:spacing w:before="60" w:after="60"/>
      <w:ind w:left="1020" w:hanging="340"/>
    </w:pPr>
  </w:style>
  <w:style w:type="paragraph" w:styleId="List4">
    <w:name w:val="List 4"/>
    <w:basedOn w:val="BodyText"/>
    <w:rsid w:val="00997604"/>
    <w:pPr>
      <w:tabs>
        <w:tab w:val="left" w:pos="1361"/>
      </w:tabs>
      <w:spacing w:before="60" w:after="60"/>
      <w:ind w:left="1361" w:hanging="340"/>
    </w:pPr>
  </w:style>
  <w:style w:type="paragraph" w:styleId="List5">
    <w:name w:val="List 5"/>
    <w:basedOn w:val="BodyText"/>
    <w:rsid w:val="00997604"/>
    <w:pPr>
      <w:tabs>
        <w:tab w:val="left" w:pos="1701"/>
      </w:tabs>
      <w:spacing w:before="60" w:after="60"/>
      <w:ind w:left="1701" w:hanging="340"/>
    </w:pPr>
  </w:style>
  <w:style w:type="paragraph" w:styleId="ListBullet3">
    <w:name w:val="List Bullet 3"/>
    <w:basedOn w:val="List3"/>
    <w:rsid w:val="00997604"/>
    <w:pPr>
      <w:numPr>
        <w:numId w:val="13"/>
      </w:numPr>
      <w:tabs>
        <w:tab w:val="clear" w:pos="1021"/>
      </w:tabs>
      <w:ind w:left="1037" w:hanging="357"/>
    </w:pPr>
  </w:style>
  <w:style w:type="paragraph" w:styleId="ListBullet4">
    <w:name w:val="List Bullet 4"/>
    <w:basedOn w:val="List4"/>
    <w:rsid w:val="00997604"/>
    <w:pPr>
      <w:numPr>
        <w:numId w:val="1"/>
      </w:numPr>
    </w:pPr>
  </w:style>
  <w:style w:type="paragraph" w:styleId="ListBullet5">
    <w:name w:val="List Bullet 5"/>
    <w:basedOn w:val="List5"/>
    <w:rsid w:val="00997604"/>
    <w:pPr>
      <w:numPr>
        <w:numId w:val="2"/>
      </w:numPr>
    </w:pPr>
  </w:style>
  <w:style w:type="paragraph" w:styleId="ListContinue2">
    <w:name w:val="List Continue 2"/>
    <w:basedOn w:val="List2"/>
    <w:rsid w:val="00997604"/>
    <w:pPr>
      <w:ind w:firstLine="0"/>
    </w:pPr>
  </w:style>
  <w:style w:type="paragraph" w:styleId="ListContinue3">
    <w:name w:val="List Continue 3"/>
    <w:basedOn w:val="List3"/>
    <w:rsid w:val="00997604"/>
    <w:pPr>
      <w:ind w:left="1021" w:firstLine="0"/>
    </w:pPr>
  </w:style>
  <w:style w:type="paragraph" w:styleId="ListContinue4">
    <w:name w:val="List Continue 4"/>
    <w:basedOn w:val="List4"/>
    <w:rsid w:val="00997604"/>
    <w:pPr>
      <w:ind w:firstLine="0"/>
    </w:pPr>
  </w:style>
  <w:style w:type="paragraph" w:styleId="ListContinue5">
    <w:name w:val="List Continue 5"/>
    <w:basedOn w:val="List5"/>
    <w:rsid w:val="00997604"/>
    <w:pPr>
      <w:ind w:firstLine="0"/>
    </w:pPr>
  </w:style>
  <w:style w:type="paragraph" w:styleId="ListNumber3">
    <w:name w:val="List Number 3"/>
    <w:basedOn w:val="List3"/>
    <w:rsid w:val="00997604"/>
    <w:pPr>
      <w:numPr>
        <w:numId w:val="3"/>
      </w:numPr>
    </w:pPr>
  </w:style>
  <w:style w:type="paragraph" w:styleId="ListNumber4">
    <w:name w:val="List Number 4"/>
    <w:basedOn w:val="List4"/>
    <w:rsid w:val="00997604"/>
    <w:pPr>
      <w:numPr>
        <w:numId w:val="4"/>
      </w:numPr>
    </w:pPr>
  </w:style>
  <w:style w:type="paragraph" w:styleId="ListNumber5">
    <w:name w:val="List Number 5"/>
    <w:basedOn w:val="List5"/>
    <w:rsid w:val="00997604"/>
    <w:pPr>
      <w:numPr>
        <w:numId w:val="5"/>
      </w:numPr>
    </w:pPr>
  </w:style>
  <w:style w:type="paragraph" w:styleId="BlockText">
    <w:name w:val="Block Text"/>
    <w:basedOn w:val="Normal"/>
    <w:rsid w:val="00997604"/>
    <w:pPr>
      <w:spacing w:after="120"/>
      <w:ind w:left="1440" w:right="1440"/>
    </w:pPr>
  </w:style>
  <w:style w:type="character" w:customStyle="1" w:styleId="Subscript">
    <w:name w:val="Subscript"/>
    <w:rsid w:val="00997604"/>
    <w:rPr>
      <w:sz w:val="16"/>
      <w:vertAlign w:val="subscript"/>
    </w:rPr>
  </w:style>
  <w:style w:type="character" w:customStyle="1" w:styleId="Superscript">
    <w:name w:val="Superscript"/>
    <w:rsid w:val="00997604"/>
    <w:rPr>
      <w:sz w:val="16"/>
      <w:vertAlign w:val="superscript"/>
    </w:rPr>
  </w:style>
  <w:style w:type="character" w:customStyle="1" w:styleId="Symbols">
    <w:name w:val="Symbols"/>
    <w:rsid w:val="00997604"/>
    <w:rPr>
      <w:rFonts w:ascii="Symbol" w:hAnsi="Symbol"/>
    </w:rPr>
  </w:style>
  <w:style w:type="character" w:customStyle="1" w:styleId="MenuOptions">
    <w:name w:val="Menu Options"/>
    <w:rsid w:val="00997604"/>
    <w:rPr>
      <w:rFonts w:ascii="Arial Narrow" w:hAnsi="Arial Narrow"/>
      <w:smallCaps/>
    </w:rPr>
  </w:style>
  <w:style w:type="character" w:customStyle="1" w:styleId="Buttons">
    <w:name w:val="Buttons"/>
    <w:rsid w:val="00997604"/>
    <w:rPr>
      <w:b/>
    </w:rPr>
  </w:style>
  <w:style w:type="character" w:customStyle="1" w:styleId="Underlined">
    <w:name w:val="Underlined"/>
    <w:rsid w:val="00997604"/>
    <w:rPr>
      <w:u w:val="single"/>
    </w:rPr>
  </w:style>
  <w:style w:type="paragraph" w:customStyle="1" w:styleId="TableBodyTextRight">
    <w:name w:val="Table Body Text Right"/>
    <w:basedOn w:val="TableBodyText"/>
    <w:rsid w:val="00997604"/>
    <w:pPr>
      <w:widowControl w:val="0"/>
      <w:autoSpaceDE w:val="0"/>
      <w:autoSpaceDN w:val="0"/>
      <w:adjustRightInd w:val="0"/>
      <w:jc w:val="right"/>
    </w:pPr>
    <w:rPr>
      <w:rFonts w:cs="Arial"/>
      <w:szCs w:val="18"/>
    </w:rPr>
  </w:style>
  <w:style w:type="paragraph" w:customStyle="1" w:styleId="CopyrightText">
    <w:name w:val="Copyright Text"/>
    <w:basedOn w:val="BodyText"/>
    <w:rsid w:val="00997604"/>
    <w:rPr>
      <w:sz w:val="18"/>
    </w:rPr>
  </w:style>
  <w:style w:type="paragraph" w:customStyle="1" w:styleId="BodySmallRight">
    <w:name w:val="Body Small Right"/>
    <w:basedOn w:val="BodyTextRight"/>
    <w:rsid w:val="00997604"/>
    <w:rPr>
      <w:sz w:val="18"/>
      <w:szCs w:val="18"/>
    </w:rPr>
  </w:style>
  <w:style w:type="paragraph" w:customStyle="1" w:styleId="MarginEdition">
    <w:name w:val="Margin Edition"/>
    <w:basedOn w:val="MarginNote"/>
    <w:rsid w:val="00997604"/>
    <w:pPr>
      <w:spacing w:before="0" w:after="0"/>
    </w:pPr>
    <w:rPr>
      <w:rFonts w:ascii="Times New Roman" w:hAnsi="Times New Roman"/>
      <w:color w:val="999999"/>
    </w:rPr>
  </w:style>
  <w:style w:type="paragraph" w:customStyle="1" w:styleId="Spacer">
    <w:name w:val="Spacer"/>
    <w:basedOn w:val="Normal"/>
    <w:rsid w:val="00997604"/>
    <w:rPr>
      <w:sz w:val="2"/>
      <w:szCs w:val="2"/>
    </w:rPr>
  </w:style>
  <w:style w:type="character" w:customStyle="1" w:styleId="Small">
    <w:name w:val="Small"/>
    <w:rsid w:val="00997604"/>
    <w:rPr>
      <w:sz w:val="16"/>
    </w:rPr>
  </w:style>
  <w:style w:type="paragraph" w:customStyle="1" w:styleId="WideTable">
    <w:name w:val="Wide Table"/>
    <w:basedOn w:val="Normal"/>
    <w:rsid w:val="00997604"/>
    <w:pPr>
      <w:ind w:left="-1418"/>
    </w:pPr>
    <w:rPr>
      <w:sz w:val="2"/>
      <w:szCs w:val="2"/>
    </w:rPr>
  </w:style>
  <w:style w:type="character" w:styleId="PageNumber">
    <w:name w:val="page number"/>
    <w:rsid w:val="00997604"/>
  </w:style>
  <w:style w:type="paragraph" w:styleId="Quote">
    <w:name w:val="Quote"/>
    <w:basedOn w:val="Heading1"/>
    <w:link w:val="QuoteChar"/>
    <w:qFormat/>
    <w:rsid w:val="00997604"/>
    <w:rPr>
      <w:b w:val="0"/>
      <w:sz w:val="72"/>
      <w:szCs w:val="72"/>
      <w:lang w:val="en-NZ"/>
    </w:rPr>
  </w:style>
  <w:style w:type="character" w:customStyle="1" w:styleId="QuoteChar">
    <w:name w:val="Quote Char"/>
    <w:link w:val="Quote"/>
    <w:rsid w:val="009976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604"/>
    <w:pPr>
      <w:pageBreakBefore/>
    </w:pPr>
  </w:style>
  <w:style w:type="paragraph" w:customStyle="1" w:styleId="Border">
    <w:name w:val="Border"/>
    <w:basedOn w:val="Normal"/>
    <w:qFormat/>
    <w:rsid w:val="00997604"/>
    <w:pPr>
      <w:pBdr>
        <w:top w:val="single" w:sz="18" w:space="1" w:color="auto"/>
      </w:pBdr>
    </w:pPr>
    <w:rPr>
      <w:rFonts w:ascii="Times New Roman" w:hAnsi="Times New Roman"/>
      <w:color w:val="FFFFFF"/>
      <w:sz w:val="2"/>
    </w:rPr>
  </w:style>
  <w:style w:type="character" w:styleId="IntenseEmphasis">
    <w:name w:val="Intense Emphasis"/>
    <w:uiPriority w:val="21"/>
    <w:qFormat/>
    <w:rsid w:val="00997604"/>
    <w:rPr>
      <w:b/>
      <w:bCs/>
      <w:i/>
      <w:iCs/>
      <w:color w:val="auto"/>
    </w:rPr>
  </w:style>
  <w:style w:type="paragraph" w:styleId="IntenseQuote">
    <w:name w:val="Intense Quote"/>
    <w:basedOn w:val="Normal"/>
    <w:next w:val="Normal"/>
    <w:link w:val="IntenseQuoteChar"/>
    <w:uiPriority w:val="30"/>
    <w:qFormat/>
    <w:rsid w:val="0099760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97604"/>
    <w:rPr>
      <w:rFonts w:ascii="Courier New" w:eastAsia="Times New Roman" w:hAnsi="Courier New" w:cs="Times New Roman"/>
      <w:b/>
      <w:bCs/>
      <w:i/>
      <w:iCs/>
      <w:szCs w:val="20"/>
      <w:lang w:val="en-US" w:eastAsia="en-US"/>
    </w:rPr>
  </w:style>
  <w:style w:type="character" w:styleId="SubtleReference">
    <w:name w:val="Subtle Reference"/>
    <w:uiPriority w:val="31"/>
    <w:qFormat/>
    <w:rsid w:val="00997604"/>
    <w:rPr>
      <w:smallCaps/>
      <w:color w:val="auto"/>
      <w:u w:val="single"/>
    </w:rPr>
  </w:style>
  <w:style w:type="character" w:styleId="IntenseReference">
    <w:name w:val="Intense Reference"/>
    <w:uiPriority w:val="32"/>
    <w:qFormat/>
    <w:rsid w:val="00997604"/>
    <w:rPr>
      <w:b/>
      <w:bCs/>
      <w:smallCaps/>
      <w:color w:val="auto"/>
      <w:spacing w:val="5"/>
      <w:u w:val="single"/>
    </w:rPr>
  </w:style>
  <w:style w:type="paragraph" w:customStyle="1" w:styleId="2ColumnHeading">
    <w:name w:val="2Column Heading"/>
    <w:basedOn w:val="BodyText"/>
    <w:qFormat/>
    <w:rsid w:val="00997604"/>
    <w:pPr>
      <w:spacing w:after="60"/>
      <w:ind w:left="-2268"/>
    </w:pPr>
    <w:rPr>
      <w:b/>
    </w:rPr>
  </w:style>
  <w:style w:type="paragraph" w:customStyle="1" w:styleId="Heading1TOC">
    <w:name w:val="Heading1 TOC"/>
    <w:basedOn w:val="Normal"/>
    <w:qFormat/>
    <w:rsid w:val="00997604"/>
    <w:pPr>
      <w:spacing w:before="240" w:after="120"/>
    </w:pPr>
    <w:rPr>
      <w:rFonts w:ascii="Times New Roman" w:hAnsi="Times New Roman"/>
      <w:b/>
      <w:sz w:val="32"/>
    </w:rPr>
  </w:style>
  <w:style w:type="paragraph" w:customStyle="1" w:styleId="Heading2TOC">
    <w:name w:val="Heading2 TOC"/>
    <w:basedOn w:val="Normal"/>
    <w:qFormat/>
    <w:rsid w:val="00997604"/>
    <w:pPr>
      <w:spacing w:before="240" w:after="60"/>
    </w:pPr>
    <w:rPr>
      <w:rFonts w:ascii="Times New Roman" w:hAnsi="Times New Roman"/>
      <w:b/>
      <w:sz w:val="28"/>
    </w:rPr>
  </w:style>
  <w:style w:type="character" w:customStyle="1" w:styleId="Underline">
    <w:name w:val="Underline"/>
    <w:qFormat/>
    <w:rsid w:val="00997604"/>
    <w:rPr>
      <w:u w:val="single"/>
    </w:rPr>
  </w:style>
  <w:style w:type="character" w:customStyle="1" w:styleId="BoldandItalics">
    <w:name w:val="Bold and Italics"/>
    <w:qFormat/>
    <w:rsid w:val="00997604"/>
    <w:rPr>
      <w:b/>
      <w:i/>
      <w:u w:val="none"/>
    </w:rPr>
  </w:style>
  <w:style w:type="paragraph" w:styleId="BalloonText">
    <w:name w:val="Balloon Text"/>
    <w:basedOn w:val="Normal"/>
    <w:link w:val="BalloonTextChar"/>
    <w:rsid w:val="00997604"/>
    <w:rPr>
      <w:rFonts w:ascii="Tahoma" w:hAnsi="Tahoma" w:cs="Tahoma"/>
      <w:sz w:val="16"/>
      <w:szCs w:val="16"/>
    </w:rPr>
  </w:style>
  <w:style w:type="character" w:customStyle="1" w:styleId="BalloonTextChar">
    <w:name w:val="Balloon Text Char"/>
    <w:link w:val="BalloonText"/>
    <w:rsid w:val="009976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760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9760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C3365A1D.dotm</Template>
  <TotalTime>0</TotalTime>
  <Pages>6</Pages>
  <Words>1883</Words>
  <Characters>11531</Characters>
  <Application>Microsoft Office Word</Application>
  <DocSecurity>0</DocSecurity>
  <Lines>353</Lines>
  <Paragraphs>204</Paragraphs>
  <ScaleCrop>false</ScaleCrop>
  <Company>Author-it Software Corporation Ltd.</Company>
  <LinksUpToDate>false</LinksUpToDate>
  <CharactersWithSpaces>13231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PMLTEST402B Prepare, standardise and use solutions</dc:title>
  <dc:subject>Approved</dc:subject>
  <dc:creator>Manufacturing Skills Australia</dc:creator>
  <cp:keywords>Release: 1</cp:keywords>
  <dc:description>Copyright © 1996-2007 Author-it Software Corporation Ltd., all rights reserved.</dc:description>
  <cp:lastModifiedBy>Narendra Tomar</cp:lastModifiedBy>
  <cp:revision>3</cp:revision>
  <dcterms:created xsi:type="dcterms:W3CDTF">2012-05-26T08:09:00Z</dcterms:created>
  <dcterms:modified xsi:type="dcterms:W3CDTF">2012-05-26T08:09:00Z</dcterms:modified>
</cp:coreProperties>
</file>