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2A6" w:rsidP="00A622A6">
      <w:pPr>
        <w:pStyle w:val="Title"/>
      </w:pPr>
      <w:r>
        <w:fldChar w:fldCharType="begin"/>
      </w:r>
      <w:r>
        <w:instrText xml:space="preserve"> TITLE   \* MERGEFORMAT </w:instrText>
      </w:r>
      <w:r>
        <w:fldChar w:fldCharType="separate"/>
      </w:r>
      <w:r>
        <w:t>PMLTEST307B Prepare trial batches for evaluation</w:t>
      </w:r>
      <w:r>
        <w:fldChar w:fldCharType="end"/>
      </w:r>
    </w:p>
    <w:p w:rsidR="00A622A6" w:rsidP="00A622A6">
      <w:pPr>
        <w:pStyle w:val="Version"/>
        <w:sectPr w:rsidSect="00F15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FE7" w:rsidP="00F15FE7">
      <w:pPr>
        <w:pStyle w:val="SuperHeading"/>
      </w:pPr>
      <w:r w:rsidRPr="00F15FE7">
        <w:t>PMLTEST307B Prepare trial batches for evaluation</w:t>
      </w:r>
    </w:p>
    <w:p w:rsidR="00000000" w:rsidRPr="00F15FE7" w:rsidP="00F15FE7">
      <w:pPr>
        <w:pStyle w:val="Heading1"/>
      </w:pPr>
      <w:bookmarkStart w:id="1" w:name="O_312197"/>
      <w:bookmarkEnd w:id="1"/>
      <w:r w:rsidRPr="00F15FE7">
        <w:t>Modification History</w:t>
      </w:r>
    </w:p>
    <w:p w:rsidR="00000000" w:rsidRPr="00F15FE7" w:rsidP="00F15FE7">
      <w:pPr>
        <w:pStyle w:val="Heading1"/>
      </w:pPr>
      <w:bookmarkStart w:id="2" w:name="O_312199"/>
      <w:bookmarkEnd w:id="2"/>
      <w:r w:rsidRPr="00F15FE7">
        <w:t>Unit Descriptor</w:t>
      </w:r>
    </w:p>
    <w:p w:rsidR="00000000" w:rsidRPr="00F15FE7" w:rsidP="00F15FE7">
      <w:pPr>
        <w:pStyle w:val="BodyText"/>
      </w:pPr>
      <w:r w:rsidRPr="00F15FE7">
        <w:t xml:space="preserve">This unit of competence covers the ability to prepare trial batches of materials for evaluation. Materials can include soil, minerals </w:t>
      </w:r>
      <w:r w:rsidRPr="00F15FE7">
        <w:t>and manufactured products, such as concrete, asphalt, food, plastics, paint and other industrial chemicals.</w:t>
      </w:r>
    </w:p>
    <w:p w:rsidR="00000000" w:rsidRPr="00F15FE7" w:rsidP="00F15FE7">
      <w:pPr>
        <w:pStyle w:val="BodyText"/>
      </w:pPr>
      <w:r w:rsidRPr="00F15FE7">
        <w:t>This unit of competency has no prerequisites.</w:t>
      </w:r>
    </w:p>
    <w:p w:rsidR="00000000" w:rsidRPr="00F15FE7" w:rsidP="00F15FE7">
      <w:pPr>
        <w:pStyle w:val="BodyText"/>
      </w:pPr>
      <w:r w:rsidRPr="00F15FE7">
        <w:t>This unit of competency is applicable to laboratory assistants working in all industry sectors.</w:t>
      </w:r>
    </w:p>
    <w:p w:rsidR="00000000" w:rsidRPr="00F15FE7" w:rsidP="00F15FE7">
      <w:pPr>
        <w:pStyle w:val="BodyText"/>
      </w:pPr>
      <w:r w:rsidRPr="00F15FE7">
        <w:t>Indust</w:t>
      </w:r>
      <w:r w:rsidRPr="00F15FE7">
        <w:t>ry representatives have provided case studies to illustrate the practical application of this unit of competency and to show its relevance in a workplace setting. These are found at the end of this unit of competency under the section This competency in pr</w:t>
      </w:r>
      <w:r w:rsidRPr="00F15FE7">
        <w:t>actice.</w:t>
      </w:r>
    </w:p>
    <w:p w:rsidR="00000000" w:rsidRPr="00F15FE7" w:rsidP="00F15FE7">
      <w:pPr>
        <w:pStyle w:val="AllowPageBreak"/>
      </w:pPr>
    </w:p>
    <w:p w:rsidR="00000000" w:rsidRPr="00F15FE7" w:rsidP="00F15FE7">
      <w:pPr>
        <w:pStyle w:val="Heading1"/>
      </w:pPr>
      <w:bookmarkStart w:id="3" w:name="O_312196"/>
      <w:bookmarkEnd w:id="3"/>
      <w:r w:rsidRPr="00F15FE7">
        <w:t>Application of the Unit</w:t>
      </w:r>
    </w:p>
    <w:p w:rsidR="00000000" w:rsidRPr="00F15FE7" w:rsidP="00F15FE7">
      <w:pPr>
        <w:pStyle w:val="Heading1"/>
      </w:pPr>
      <w:bookmarkStart w:id="4" w:name="O_312195"/>
      <w:bookmarkEnd w:id="4"/>
      <w:r w:rsidRPr="00F15FE7">
        <w:t>Licensing/Regulatory Information</w:t>
      </w:r>
    </w:p>
    <w:p w:rsidR="00000000" w:rsidRPr="00F15FE7" w:rsidP="00F15FE7">
      <w:pPr>
        <w:pStyle w:val="Heading1"/>
      </w:pPr>
      <w:bookmarkStart w:id="5" w:name="O_312194"/>
      <w:bookmarkEnd w:id="5"/>
      <w:r w:rsidRPr="00F15FE7">
        <w:t>Pre-Requisites</w:t>
      </w:r>
    </w:p>
    <w:p w:rsidR="00000000" w:rsidRPr="00F15FE7" w:rsidP="00F15FE7">
      <w:pPr>
        <w:pStyle w:val="Heading1"/>
      </w:pPr>
      <w:bookmarkStart w:id="6" w:name="O_312193"/>
      <w:bookmarkEnd w:id="6"/>
      <w:r w:rsidRPr="00F15FE7">
        <w:t>Employability Skills Information</w:t>
      </w:r>
    </w:p>
    <w:p w:rsidR="00000000" w:rsidRPr="00F15FE7" w:rsidP="00F15FE7">
      <w:pPr>
        <w:pStyle w:val="Heading1"/>
      </w:pPr>
      <w:bookmarkStart w:id="7" w:name="O_312188"/>
      <w:bookmarkEnd w:id="7"/>
      <w:r w:rsidRPr="00F15FE7">
        <w:t>Elements and Performance Criteria Pre-Content</w:t>
      </w:r>
    </w:p>
    <w:p w:rsidR="00000000" w:rsidRPr="00F15FE7" w:rsidP="00F15FE7">
      <w:pPr>
        <w:pStyle w:val="BodyText"/>
      </w:pPr>
      <w:r w:rsidRPr="00F15FE7">
        <w:t>Elements describe the essential outcomes of a unit of competency.</w:t>
      </w:r>
    </w:p>
    <w:p w:rsidR="00000000" w:rsidRPr="00F15FE7" w:rsidP="00F15FE7">
      <w:pPr>
        <w:pStyle w:val="BodyText"/>
      </w:pPr>
      <w:r w:rsidRPr="00F15FE7">
        <w:t>Performance Criteria describe the level of performance required to demonstrate achievement of the element.</w:t>
      </w:r>
    </w:p>
    <w:p w:rsidR="00000000" w:rsidRPr="00F15FE7" w:rsidP="00F15FE7">
      <w:pPr>
        <w:pStyle w:val="AllowPageBreak"/>
      </w:pPr>
    </w:p>
    <w:p w:rsidR="00000000" w:rsidRPr="00F15FE7" w:rsidP="00F15FE7">
      <w:pPr>
        <w:pStyle w:val="Heading1"/>
      </w:pPr>
      <w:bookmarkStart w:id="8" w:name="O_312192"/>
      <w:bookmarkEnd w:id="8"/>
      <w:r w:rsidRPr="00F15FE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622A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rPr>
                <w:rStyle w:val="SpecialBold"/>
              </w:rPr>
              <w:t>Elements and Performance Criteri</w:t>
            </w:r>
            <w:r w:rsidRPr="00F15FE7">
              <w:rPr>
                <w:rStyle w:val="SpecialBold"/>
              </w:rPr>
              <w:t>a</w:t>
            </w:r>
          </w:p>
        </w:tc>
      </w:tr>
      <w:tr w:rsidTr="00A622A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5FE7" w:rsidP="00F15FE7">
            <w:pPr>
              <w:pStyle w:val="BodyText"/>
            </w:pPr>
            <w:r w:rsidRPr="00F15FE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rPr>
                <w:rStyle w:val="SpecialBold"/>
              </w:rPr>
              <w:t>Performance Criteria</w:t>
            </w:r>
          </w:p>
        </w:tc>
      </w:tr>
      <w:tr w:rsidTr="00A62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1</w:t>
            </w:r>
          </w:p>
        </w:tc>
        <w:tc>
          <w:tcPr>
            <w:tcW w:w="30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Prepare for trial batch mixing</w:t>
            </w: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1.1</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Identify the job, materials, appropriate procedures and safety requirements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1.2</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Record description of the job to be undertaken, compare with specification and report any variations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1.3</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Select and prepare tools, equipment and materials </w:t>
            </w:r>
            <w:r w:rsidRPr="00F15FE7">
              <w:t>in accordance with job requirements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1.4</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Confirm the properties and quantities</w:t>
            </w:r>
            <w:r w:rsidRPr="00F15FE7">
              <w:t xml:space="preserve"> of materials to be used</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1.5</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Confirm that the required materials are available and ready for use</w:t>
            </w:r>
          </w:p>
        </w:tc>
      </w:tr>
      <w:tr w:rsidTr="00A62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2</w:t>
            </w:r>
          </w:p>
        </w:tc>
        <w:tc>
          <w:tcPr>
            <w:tcW w:w="30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Mix trial batch for evaluation</w:t>
            </w: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2.1</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Measure out quantities of materials ready for mixing</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2.2</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Mix the materials according to established procedures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2.3</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Discharge the mixture ready for inspection and testing according to established procedures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2.4</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Record details of the mix and any observations according to established procedures</w:t>
            </w:r>
          </w:p>
        </w:tc>
      </w:tr>
      <w:tr w:rsidTr="00A62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3</w:t>
            </w:r>
          </w:p>
        </w:tc>
        <w:tc>
          <w:tcPr>
            <w:tcW w:w="30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Evaluate properties of the mixture by ins</w:t>
            </w:r>
            <w:r w:rsidRPr="00F15FE7">
              <w:t>pection and standard test methods</w:t>
            </w: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3.1</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Obtain representative samples of the mix for testing</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3.2</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Perform specified tests according to established procedures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3.3</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Handle and transport samples in accordance with established procedures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3.4</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Label samples and record details in accordance with established procedures</w:t>
            </w:r>
          </w:p>
        </w:tc>
      </w:tr>
      <w:tr w:rsidTr="00A62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4</w:t>
            </w:r>
          </w:p>
        </w:tc>
        <w:tc>
          <w:tcPr>
            <w:tcW w:w="30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Clean equipment and dispose of materials</w:t>
            </w: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4.1</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Clean mixing, measuring, sampling and testing equipment after use</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4.2</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Return unused materials to storage</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4.3</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Dispose of excess materials safely and ethically</w:t>
            </w:r>
          </w:p>
        </w:tc>
      </w:tr>
      <w:tr w:rsidTr="00A62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5</w:t>
            </w:r>
          </w:p>
        </w:tc>
        <w:tc>
          <w:tcPr>
            <w:tcW w:w="30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Maintain records</w:t>
            </w: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5.1</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Record data in accordance with established procedures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5.2</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Maintain equipment records in accordance with established procedures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5.3</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Maintain confidentiality of enterprise information</w:t>
            </w:r>
          </w:p>
        </w:tc>
      </w:tr>
      <w:tr w:rsidTr="00A62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6</w:t>
            </w:r>
          </w:p>
        </w:tc>
        <w:tc>
          <w:tcPr>
            <w:tcW w:w="3000" w:type="dxa"/>
            <w:vMerge w:val="restart"/>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Maintain a safe work environment</w:t>
            </w: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6.1</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Use established safe work practices and personal protective equipment to ensure personal safety and that of other laboratory personnel</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6.2</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Minimise the generation of wastes and environmental impacts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6.3</w:t>
            </w:r>
          </w:p>
        </w:tc>
        <w:tc>
          <w:tcPr>
            <w:tcW w:w="51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Ensure safe disposal of laboratory and hazardous wastes</w:t>
            </w:r>
          </w:p>
        </w:tc>
      </w:tr>
      <w:tr w:rsidTr="00A62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6.4</w:t>
            </w:r>
          </w:p>
        </w:tc>
        <w:tc>
          <w:tcPr>
            <w:tcW w:w="5100" w:type="dxa"/>
            <w:tcBorders>
              <w:top w:val="nil"/>
              <w:left w:val="nil"/>
              <w:bottom w:val="nil"/>
              <w:right w:val="nil"/>
            </w:tcBorders>
            <w:tcMar>
              <w:top w:w="0" w:type="dxa"/>
              <w:left w:w="62" w:type="dxa"/>
              <w:bottom w:w="0" w:type="dxa"/>
              <w:right w:w="62" w:type="dxa"/>
            </w:tcMar>
          </w:tcPr>
          <w:p w:rsidR="00000000" w:rsidRPr="00F15FE7" w:rsidP="00F15FE7">
            <w:pPr>
              <w:pStyle w:val="BodyText"/>
            </w:pPr>
            <w:r w:rsidRPr="00F15FE7">
              <w:t>Clean, care for and store equipment and reagents as required.</w:t>
            </w:r>
          </w:p>
        </w:tc>
      </w:tr>
    </w:tbl>
    <w:p w:rsidR="00000000" w:rsidRPr="00F15FE7" w:rsidP="00F15FE7">
      <w:pPr>
        <w:pStyle w:val="BodyText"/>
      </w:pPr>
    </w:p>
    <w:p w:rsidR="00000000" w:rsidRPr="00F15FE7" w:rsidP="00F15FE7">
      <w:pPr>
        <w:pStyle w:val="AllowPageBreak"/>
      </w:pPr>
    </w:p>
    <w:p w:rsidR="00000000" w:rsidRPr="00F15FE7" w:rsidP="00F15FE7">
      <w:pPr>
        <w:pStyle w:val="Heading1"/>
      </w:pPr>
      <w:bookmarkStart w:id="9" w:name="O_312191"/>
      <w:bookmarkEnd w:id="9"/>
      <w:r w:rsidRPr="00F15FE7">
        <w:t>Required Skills and Knowledge</w:t>
      </w:r>
    </w:p>
    <w:p w:rsidR="00000000" w:rsidRPr="00F15FE7" w:rsidP="00F15FE7">
      <w:pPr>
        <w:pStyle w:val="Heading1"/>
      </w:pPr>
      <w:bookmarkStart w:id="10" w:name="O_312190"/>
      <w:bookmarkEnd w:id="10"/>
      <w:r w:rsidRPr="00F15FE7">
        <w:t>Evidence Guide</w:t>
      </w:r>
    </w:p>
    <w:p w:rsidR="00000000" w:rsidRPr="00F15FE7" w:rsidP="00F15FE7">
      <w:pPr>
        <w:pStyle w:val="BodyText"/>
      </w:pPr>
      <w:r w:rsidRPr="00F15FE7">
        <w:t>The Evidence Guide describes the underpinning knowledge and skills that must be demonstrated to prove competence.</w:t>
      </w:r>
    </w:p>
    <w:p w:rsidR="00000000" w:rsidRPr="00F15FE7" w:rsidP="00F15FE7">
      <w:pPr>
        <w:pStyle w:val="BodyText"/>
      </w:pPr>
      <w:r w:rsidRPr="00F15FE7">
        <w:rPr>
          <w:rStyle w:val="SpecialBold"/>
        </w:rPr>
        <w:t>Critical aspects of competency</w:t>
      </w:r>
    </w:p>
    <w:p w:rsidR="00000000" w:rsidRPr="00F15FE7" w:rsidP="00F15FE7">
      <w:pPr>
        <w:pStyle w:val="BodyText"/>
      </w:pPr>
      <w:r w:rsidRPr="00F15FE7">
        <w:t>Competency must be demonstrated in the ability to perform consistently at the required s</w:t>
      </w:r>
      <w:r w:rsidRPr="00F15FE7">
        <w:t>tandard. In particular, assessors should look to see that the candidate:</w:t>
      </w:r>
    </w:p>
    <w:p w:rsidR="00000000" w:rsidRPr="00F15FE7" w:rsidP="00F15FE7">
      <w:pPr>
        <w:pStyle w:val="BodyText"/>
      </w:pPr>
      <w:r w:rsidRPr="00F15FE7">
        <w:t>calculates batch quantities, concentrations and other relevant parameters</w:t>
      </w:r>
    </w:p>
    <w:p w:rsidR="00000000" w:rsidRPr="00F15FE7" w:rsidP="00F15FE7">
      <w:pPr>
        <w:pStyle w:val="BodyText"/>
      </w:pPr>
      <w:r w:rsidRPr="00F15FE7">
        <w:t>follows standard operating procedures</w:t>
      </w:r>
    </w:p>
    <w:p w:rsidR="00000000" w:rsidRPr="00F15FE7" w:rsidP="00F15FE7">
      <w:pPr>
        <w:pStyle w:val="BodyText"/>
      </w:pPr>
      <w:r w:rsidRPr="00F15FE7">
        <w:t>measures quantities accurately</w:t>
      </w:r>
    </w:p>
    <w:p w:rsidR="00000000" w:rsidRPr="00F15FE7" w:rsidP="00F15FE7">
      <w:pPr>
        <w:pStyle w:val="BodyText"/>
      </w:pPr>
      <w:r w:rsidRPr="00F15FE7">
        <w:t>takes representative samples</w:t>
      </w:r>
    </w:p>
    <w:p w:rsidR="00000000" w:rsidRPr="00F15FE7" w:rsidP="00F15FE7">
      <w:pPr>
        <w:pStyle w:val="BodyText"/>
      </w:pPr>
      <w:r w:rsidRPr="00F15FE7">
        <w:t xml:space="preserve">identifies </w:t>
      </w:r>
      <w:r w:rsidRPr="00F15FE7">
        <w:t>and describes materials accurately</w:t>
      </w:r>
    </w:p>
    <w:p w:rsidR="00000000" w:rsidRPr="00F15FE7" w:rsidP="00F15FE7">
      <w:pPr>
        <w:pStyle w:val="BodyText"/>
      </w:pPr>
      <w:r w:rsidRPr="00F15FE7">
        <w:t>handles and transports samples correctly</w:t>
      </w:r>
    </w:p>
    <w:p w:rsidR="00000000" w:rsidRPr="00F15FE7" w:rsidP="00F15FE7">
      <w:pPr>
        <w:pStyle w:val="BodyText"/>
      </w:pPr>
      <w:r w:rsidRPr="00F15FE7">
        <w:t xml:space="preserve">records sampling and testing information </w:t>
      </w:r>
    </w:p>
    <w:p w:rsidR="00000000" w:rsidRPr="00F15FE7" w:rsidP="00F15FE7">
      <w:pPr>
        <w:pStyle w:val="BodyText"/>
      </w:pPr>
      <w:r w:rsidRPr="00F15FE7">
        <w:t xml:space="preserve">uses tools and equipment effectively and efficiently </w:t>
      </w:r>
    </w:p>
    <w:p w:rsidR="00000000" w:rsidRPr="00F15FE7" w:rsidP="00F15FE7">
      <w:pPr>
        <w:pStyle w:val="BodyText"/>
      </w:pPr>
      <w:r w:rsidRPr="00F15FE7">
        <w:t>observes, interprets and reports atypical situations</w:t>
      </w:r>
    </w:p>
    <w:p w:rsidR="00000000" w:rsidRPr="00F15FE7" w:rsidP="00F15FE7">
      <w:pPr>
        <w:pStyle w:val="BodyText"/>
      </w:pPr>
      <w:r w:rsidRPr="00F15FE7">
        <w:t>communicates problems to approp</w:t>
      </w:r>
      <w:r w:rsidRPr="00F15FE7">
        <w:t>riate personnel</w:t>
      </w:r>
    </w:p>
    <w:p w:rsidR="00000000" w:rsidRPr="00F15FE7" w:rsidP="00F15FE7">
      <w:pPr>
        <w:pStyle w:val="BodyText"/>
      </w:pPr>
      <w:r w:rsidRPr="00F15FE7">
        <w:t>records and communicates work results</w:t>
      </w:r>
    </w:p>
    <w:p w:rsidR="00000000" w:rsidRPr="00F15FE7" w:rsidP="00F15FE7">
      <w:pPr>
        <w:pStyle w:val="BodyText"/>
      </w:pPr>
      <w:r w:rsidRPr="00F15FE7">
        <w:t>works safely</w:t>
      </w:r>
    </w:p>
    <w:p w:rsidR="00000000" w:rsidRPr="00F15FE7" w:rsidP="00F15FE7">
      <w:pPr>
        <w:pStyle w:val="BodyText"/>
      </w:pPr>
      <w:r w:rsidRPr="00F15FE7">
        <w:t>interprets information from materials safety data sheets.</w:t>
      </w:r>
    </w:p>
    <w:p w:rsidR="00000000" w:rsidRPr="00F15FE7" w:rsidP="00F15FE7">
      <w:pPr>
        <w:pStyle w:val="BodyText"/>
      </w:pPr>
      <w:r w:rsidRPr="00F15FE7">
        <w:rPr>
          <w:rStyle w:val="SpecialBold"/>
        </w:rPr>
        <w:t>Underpinning knowledge</w:t>
      </w:r>
    </w:p>
    <w:p w:rsidR="00000000" w:rsidRPr="00F15FE7" w:rsidP="00F15FE7">
      <w:pPr>
        <w:pStyle w:val="BodyText"/>
      </w:pPr>
      <w:r w:rsidRPr="00F15FE7">
        <w:t>Competency includes the ability to apply and explain:</w:t>
      </w:r>
    </w:p>
    <w:p w:rsidR="00000000" w:rsidRPr="00F15FE7" w:rsidP="00F15FE7">
      <w:pPr>
        <w:pStyle w:val="BodyText"/>
      </w:pPr>
      <w:r w:rsidRPr="00F15FE7">
        <w:t>the properties of mixing materials and how they affect the properties of the final product</w:t>
      </w:r>
    </w:p>
    <w:p w:rsidR="00000000" w:rsidRPr="00F15FE7" w:rsidP="00F15FE7">
      <w:pPr>
        <w:pStyle w:val="BodyText"/>
      </w:pPr>
      <w:r w:rsidRPr="00F15FE7">
        <w:t>hazards involved with materials and equipment involved</w:t>
      </w:r>
    </w:p>
    <w:p w:rsidR="00000000" w:rsidRPr="00F15FE7" w:rsidP="00F15FE7">
      <w:pPr>
        <w:pStyle w:val="BodyText"/>
      </w:pPr>
      <w:r w:rsidRPr="00F15FE7">
        <w:t>measurement of mass and volume</w:t>
      </w:r>
    </w:p>
    <w:p w:rsidR="00000000" w:rsidRPr="00F15FE7" w:rsidP="00F15FE7">
      <w:pPr>
        <w:pStyle w:val="BodyText"/>
      </w:pPr>
      <w:r w:rsidRPr="00F15FE7">
        <w:t>basic calculations involving SI units, proportion, ratio, and percentage</w:t>
      </w:r>
    </w:p>
    <w:p w:rsidR="00000000" w:rsidRPr="00F15FE7" w:rsidP="00F15FE7">
      <w:pPr>
        <w:pStyle w:val="BodyText"/>
      </w:pPr>
      <w:r w:rsidRPr="00F15FE7">
        <w:t>repres</w:t>
      </w:r>
      <w:r w:rsidRPr="00F15FE7">
        <w:t>entative sampling</w:t>
      </w:r>
    </w:p>
    <w:p w:rsidR="00000000" w:rsidRPr="00F15FE7" w:rsidP="00F15FE7">
      <w:pPr>
        <w:pStyle w:val="BodyText"/>
      </w:pPr>
      <w:r w:rsidRPr="00F15FE7">
        <w:t>uses of various materials/enterprise products</w:t>
      </w:r>
    </w:p>
    <w:p w:rsidR="00000000" w:rsidRPr="00F15FE7" w:rsidP="00F15FE7">
      <w:pPr>
        <w:pStyle w:val="BodyText"/>
      </w:pPr>
      <w:r w:rsidRPr="00F15FE7">
        <w:t>basic testing methods for relevant materials</w:t>
      </w:r>
    </w:p>
    <w:p w:rsidR="00000000" w:rsidRPr="00F15FE7" w:rsidP="00F15FE7">
      <w:pPr>
        <w:pStyle w:val="BodyText"/>
      </w:pPr>
      <w:r w:rsidRPr="00F15FE7">
        <w:t>enterprise traceability requirements</w:t>
      </w:r>
    </w:p>
    <w:p w:rsidR="00000000" w:rsidRPr="00F15FE7" w:rsidP="00F15FE7">
      <w:pPr>
        <w:pStyle w:val="BodyText"/>
      </w:pPr>
      <w:r w:rsidRPr="00F15FE7">
        <w:t>relevant health, safety and environment requirements.</w:t>
      </w:r>
    </w:p>
    <w:p w:rsidR="00000000" w:rsidRPr="00F15FE7" w:rsidP="00F15FE7">
      <w:pPr>
        <w:pStyle w:val="BodyText"/>
      </w:pPr>
      <w:r w:rsidRPr="00F15FE7">
        <w:rPr>
          <w:rStyle w:val="SpecialBold"/>
        </w:rPr>
        <w:t>Assessment context and methods</w:t>
      </w:r>
    </w:p>
    <w:p w:rsidR="00000000" w:rsidRPr="00F15FE7" w:rsidP="00F15FE7">
      <w:pPr>
        <w:pStyle w:val="BodyText"/>
      </w:pPr>
      <w:r w:rsidRPr="00F15FE7">
        <w:t>This unit of competency i</w:t>
      </w:r>
      <w:r w:rsidRPr="00F15FE7">
        <w:t xml:space="preserve">s to be assessed in the workplace or simulated workplace environment. </w:t>
      </w:r>
    </w:p>
    <w:p w:rsidR="00000000" w:rsidRPr="00F15FE7" w:rsidP="00F15FE7">
      <w:pPr>
        <w:pStyle w:val="BodyText"/>
      </w:pPr>
      <w:r w:rsidRPr="00F15FE7">
        <w:t>The following assessment methods are suggested:</w:t>
      </w:r>
    </w:p>
    <w:p w:rsidR="00000000" w:rsidRPr="00F15FE7" w:rsidP="00F15FE7">
      <w:pPr>
        <w:pStyle w:val="BodyText"/>
      </w:pPr>
      <w:r w:rsidRPr="00F15FE7">
        <w:t>analysis of trial batches prepared by the candidate over a period of time to ensure accurate and consistent work is obtained within requi</w:t>
      </w:r>
      <w:r w:rsidRPr="00F15FE7">
        <w:t>red timelines</w:t>
      </w:r>
    </w:p>
    <w:p w:rsidR="00000000" w:rsidRPr="00F15FE7" w:rsidP="00F15FE7">
      <w:pPr>
        <w:pStyle w:val="BodyText"/>
      </w:pPr>
      <w:r w:rsidRPr="00F15FE7">
        <w:t>inspection of workplace documentation completed by the candidate</w:t>
      </w:r>
    </w:p>
    <w:p w:rsidR="00000000" w:rsidRPr="00F15FE7" w:rsidP="00F15FE7">
      <w:pPr>
        <w:pStyle w:val="BodyText"/>
      </w:pPr>
      <w:r w:rsidRPr="00F15FE7">
        <w:t>feedback from peers and supervisors</w:t>
      </w:r>
    </w:p>
    <w:p w:rsidR="00000000" w:rsidRPr="00F15FE7" w:rsidP="00F15FE7">
      <w:pPr>
        <w:pStyle w:val="BodyText"/>
      </w:pPr>
      <w:r w:rsidRPr="00F15FE7">
        <w:t>use of suitable simulation and/or a range of case studies/scenarios.</w:t>
      </w:r>
    </w:p>
    <w:p w:rsidR="00000000" w:rsidRPr="00F15FE7" w:rsidP="00F15FE7">
      <w:pPr>
        <w:pStyle w:val="BodyText"/>
      </w:pPr>
      <w:r w:rsidRPr="00F15FE7">
        <w:t>In all cases, practical assessment should be supported by questions to a</w:t>
      </w:r>
      <w:r w:rsidRPr="00F15FE7">
        <w:t>ssess underpinning knowledge and those aspects of competency which are difficult to assess directly. Questioning techniques should suit the language and literacy levels of the candidate.</w:t>
      </w:r>
    </w:p>
    <w:p w:rsidR="00000000" w:rsidRPr="00F15FE7" w:rsidP="00F15FE7">
      <w:pPr>
        <w:pStyle w:val="BodyText"/>
      </w:pPr>
      <w:r w:rsidRPr="00F15FE7">
        <w:rPr>
          <w:rStyle w:val="SpecialBold"/>
        </w:rPr>
        <w:t>Interdependent assessment of unit</w:t>
      </w:r>
    </w:p>
    <w:p w:rsidR="00000000" w:rsidRPr="00F15FE7" w:rsidP="00F15FE7">
      <w:pPr>
        <w:pStyle w:val="BodyText"/>
      </w:pPr>
      <w:r w:rsidRPr="00F15FE7">
        <w:t>This unit of competency may be asse</w:t>
      </w:r>
      <w:r w:rsidRPr="00F15FE7">
        <w:t>ssed with:</w:t>
      </w:r>
    </w:p>
    <w:p w:rsidR="00000000" w:rsidRPr="00F15FE7" w:rsidP="00F15FE7">
      <w:pPr>
        <w:pStyle w:val="BodyText"/>
      </w:pPr>
      <w:r w:rsidRPr="00F15FE7">
        <w:rPr>
          <w:rStyle w:val="SpecialBold"/>
        </w:rPr>
        <w:t>PMLSAMP302A Handle and transport samples or equipment</w:t>
      </w:r>
    </w:p>
    <w:p w:rsidR="00000000" w:rsidRPr="00F15FE7" w:rsidP="00F15FE7">
      <w:pPr>
        <w:pStyle w:val="BodyText"/>
      </w:pPr>
      <w:r w:rsidRPr="00F15FE7">
        <w:rPr>
          <w:rStyle w:val="SpecialBold"/>
        </w:rPr>
        <w:t>PMLSAMP400B Prepare representative samples in accordance with a sampling plan</w:t>
      </w:r>
    </w:p>
    <w:p w:rsidR="00000000" w:rsidRPr="00F15FE7" w:rsidP="00F15FE7">
      <w:pPr>
        <w:pStyle w:val="BodyText"/>
      </w:pPr>
      <w:r w:rsidRPr="00F15FE7">
        <w:rPr>
          <w:rStyle w:val="SpecialBold"/>
        </w:rPr>
        <w:t>PMLTEST300B Perform basic tests</w:t>
      </w:r>
      <w:r w:rsidRPr="00F15FE7">
        <w:t>.</w:t>
      </w:r>
    </w:p>
    <w:p w:rsidR="00000000" w:rsidRPr="00F15FE7" w:rsidP="00F15FE7">
      <w:pPr>
        <w:pStyle w:val="BodyText"/>
      </w:pPr>
      <w:r w:rsidRPr="00F15FE7">
        <w:rPr>
          <w:rStyle w:val="SpecialBold"/>
        </w:rPr>
        <w:t>Resource implications</w:t>
      </w:r>
    </w:p>
    <w:p w:rsidR="00000000" w:rsidRPr="00F15FE7" w:rsidP="00F15FE7">
      <w:pPr>
        <w:pStyle w:val="BodyText"/>
      </w:pPr>
      <w:r w:rsidRPr="00F15FE7">
        <w:t>Resources may include:</w:t>
      </w:r>
    </w:p>
    <w:p w:rsidR="00000000" w:rsidRPr="00F15FE7" w:rsidP="00F15FE7">
      <w:pPr>
        <w:pStyle w:val="BodyText"/>
      </w:pPr>
      <w:r w:rsidRPr="00F15FE7">
        <w:t xml:space="preserve">standard facility with appropriate </w:t>
      </w:r>
      <w:r w:rsidRPr="00F15FE7">
        <w:t>tools, equipment and materials</w:t>
      </w:r>
    </w:p>
    <w:p w:rsidR="00000000" w:rsidRPr="00F15FE7" w:rsidP="00F15FE7">
      <w:pPr>
        <w:pStyle w:val="BodyText"/>
      </w:pPr>
      <w:r w:rsidRPr="00F15FE7">
        <w:t>enterprise procedures, MSDS, product formulation/specifications.</w:t>
      </w:r>
    </w:p>
    <w:p w:rsidR="00000000" w:rsidRPr="00F15FE7" w:rsidP="00F15FE7">
      <w:pPr>
        <w:pStyle w:val="BodyText"/>
      </w:pPr>
      <w:r w:rsidRPr="00F15FE7">
        <w:rPr>
          <w:rStyle w:val="SpecialBold"/>
        </w:rPr>
        <w:t>This competency in practice</w:t>
      </w:r>
    </w:p>
    <w:p w:rsidR="00000000" w:rsidRPr="00F15FE7" w:rsidP="00F15FE7">
      <w:pPr>
        <w:pStyle w:val="BodyText"/>
      </w:pPr>
      <w:r w:rsidRPr="00F15FE7">
        <w:rPr>
          <w:rStyle w:val="SpecialBold"/>
        </w:rPr>
        <w:t>Construction materials</w:t>
      </w:r>
    </w:p>
    <w:p w:rsidR="00000000" w:rsidRPr="00F15FE7" w:rsidP="00F15FE7">
      <w:pPr>
        <w:pStyle w:val="BodyText"/>
      </w:pPr>
      <w:r w:rsidRPr="00F15FE7">
        <w:t>A laboratory assistant works</w:t>
      </w:r>
      <w:r w:rsidRPr="00F15FE7">
        <w:t xml:space="preserve"> for a concrete manufacturer. A client requires concrete for a specific project that cannot be supplied using existing standard mixes. The manufacturer must use special aggregates and cement to meet the durability and strength specifications for the projec</w:t>
      </w:r>
      <w:r w:rsidRPr="00F15FE7">
        <w:t>t. The laboratory manager obtains quantities of the materials for evaluation purposes. The assistant tests the aggregates to determine their grading properties. From these results, he/she designs a mix to satisfy the project specifications using a standard</w:t>
      </w:r>
      <w:r w:rsidRPr="00F15FE7">
        <w:t xml:space="preserve"> design method. The mix requires the use of pozzolanic materials and admixtures that were obtained from the suppliers.</w:t>
      </w:r>
    </w:p>
    <w:p w:rsidR="00000000" w:rsidRPr="00F15FE7" w:rsidP="00F15FE7">
      <w:pPr>
        <w:pStyle w:val="BodyText"/>
      </w:pPr>
      <w:r w:rsidRPr="00F15FE7">
        <w:t>The manager provides the assistant with the batch quantities required to produce one cubic metre of concrete. To test the mix design, the</w:t>
      </w:r>
      <w:r w:rsidRPr="00F15FE7">
        <w:t xml:space="preserve"> assistant will produce a 20-litre batch in the laboratory. She/he calculates that this quantity will provide sufficient material for the required tests, without undue waste. She/he calculates the quantity of each material required for the trial batch. The</w:t>
      </w:r>
      <w:r w:rsidRPr="00F15FE7">
        <w:t xml:space="preserve"> assistant selects and prepares the tools and equipment she/he needs to mix, sample and test the concrete. She/he wears overalls, safety boots and glasses, and uses a barrier cream. She/he measures out the quantities required for the trial batch, charges t</w:t>
      </w:r>
      <w:r w:rsidRPr="00F15FE7">
        <w:t>he mixer and allows it to mix for the specified time. She/he then discharges the concrete onto a suitable surface. She/he checks its slump, cohesiveness and air content, recording the data on standard enterprise forms. The manager inspects the concrete, an</w:t>
      </w:r>
      <w:r w:rsidRPr="00F15FE7">
        <w:t>d decides that it is over-sanded and has excessive slump. She/he adjusts the batch quantities and draws up amended values. She/he disposes of the excess concrete and cleans the equipment and tools.</w:t>
      </w:r>
    </w:p>
    <w:p w:rsidR="00000000" w:rsidRPr="00F15FE7" w:rsidP="00F15FE7">
      <w:pPr>
        <w:pStyle w:val="BodyText"/>
      </w:pPr>
      <w:r w:rsidRPr="00F15FE7">
        <w:t>She/he then mixes a new batch using the amended figures. T</w:t>
      </w:r>
      <w:r w:rsidRPr="00F15FE7">
        <w:t>his process continues until the manager is satisfied with the concrete quality. She/he then mixes a larger batch so that she/he can prepare specimens for testing its hardened-state properties.</w:t>
      </w:r>
    </w:p>
    <w:p w:rsidR="00000000" w:rsidRPr="00F15FE7" w:rsidP="00F15FE7">
      <w:pPr>
        <w:pStyle w:val="BodyText"/>
      </w:pPr>
      <w:r w:rsidRPr="00F15FE7">
        <w:rPr>
          <w:rStyle w:val="SpecialBold"/>
        </w:rPr>
        <w:t>Key Competencies</w:t>
      </w:r>
    </w:p>
    <w:p w:rsidR="00000000" w:rsidRPr="00F15FE7" w:rsidP="00F15FE7">
      <w:pPr>
        <w:pStyle w:val="BodyText"/>
      </w:pPr>
      <w:r w:rsidRPr="00F15FE7">
        <w:t>The seven key competencies represent generic s</w:t>
      </w:r>
      <w:r w:rsidRPr="00F15FE7">
        <w:t>kills considered for effective work participation. The bracketed numbering against each of the key competencies indicates the performance level required in this unit. These are stand-alone levels and do not correspond to the Australian Qualifications Frame</w:t>
      </w:r>
      <w:r w:rsidRPr="00F15FE7">
        <w:t>work (AQF).</w:t>
      </w:r>
    </w:p>
    <w:p w:rsidR="00000000" w:rsidRPr="00F15FE7" w:rsidP="00F15FE7">
      <w:pPr>
        <w:pStyle w:val="BodyText"/>
      </w:pPr>
      <w:r w:rsidRPr="00F15FE7">
        <w:t>Level (1) represents the competence to undertake tasks effectively</w:t>
      </w:r>
    </w:p>
    <w:p w:rsidR="00000000" w:rsidRPr="00F15FE7" w:rsidP="00F15FE7">
      <w:pPr>
        <w:pStyle w:val="BodyText"/>
      </w:pPr>
      <w:r w:rsidRPr="00F15FE7">
        <w:t>Level (2) represents the competence to manage tasks</w:t>
      </w:r>
    </w:p>
    <w:p w:rsidR="00000000" w:rsidRPr="00F15FE7" w:rsidP="00F15FE7">
      <w:pPr>
        <w:pStyle w:val="BodyText"/>
      </w:pPr>
      <w:r w:rsidRPr="00F15FE7">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A622A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Collecting, analysing and organising </w:t>
            </w:r>
            <w:r w:rsidRPr="00F15FE7">
              <w:t xml:space="preserve">information </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Solving problems</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Using technology </w:t>
            </w:r>
          </w:p>
        </w:tc>
      </w:tr>
      <w:tr w:rsidTr="00A622A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Level 1 </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Level 1 </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Level 1 </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Level 1 </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Level 1 </w:t>
            </w:r>
          </w:p>
        </w:tc>
        <w:tc>
          <w:tcPr>
            <w:tcW w:w="1285" w:type="dxa"/>
            <w:tcBorders>
              <w:top w:val="nil"/>
              <w:left w:val="nil"/>
              <w:bottom w:val="nil"/>
              <w:right w:val="nil"/>
            </w:tcBorders>
            <w:tcMar>
              <w:top w:w="0" w:type="dxa"/>
              <w:left w:w="62" w:type="dxa"/>
              <w:bottom w:w="0" w:type="dxa"/>
              <w:right w:w="62" w:type="dxa"/>
            </w:tcMar>
          </w:tcPr>
          <w:p w:rsidR="00000000" w:rsidP="00F15FE7">
            <w:pPr>
              <w:pStyle w:val="BodyText"/>
              <w:rPr>
                <w:lang w:val="en-NZ"/>
              </w:rPr>
            </w:pPr>
            <w:r w:rsidRPr="00F15FE7">
              <w:t xml:space="preserve">Level 1 </w:t>
            </w:r>
          </w:p>
        </w:tc>
        <w:tc>
          <w:tcPr>
            <w:tcW w:w="1285" w:type="dxa"/>
            <w:tcBorders>
              <w:top w:val="nil"/>
              <w:left w:val="nil"/>
              <w:bottom w:val="nil"/>
              <w:right w:val="nil"/>
            </w:tcBorders>
            <w:tcMar>
              <w:top w:w="0" w:type="dxa"/>
              <w:left w:w="62" w:type="dxa"/>
              <w:bottom w:w="0" w:type="dxa"/>
              <w:right w:w="62" w:type="dxa"/>
            </w:tcMar>
          </w:tcPr>
          <w:p w:rsidR="00000000" w:rsidRPr="00F15FE7" w:rsidP="00F15FE7">
            <w:pPr>
              <w:pStyle w:val="BodyText"/>
            </w:pPr>
            <w:r w:rsidRPr="00F15FE7">
              <w:t xml:space="preserve">Level 1 </w:t>
            </w:r>
          </w:p>
        </w:tc>
      </w:tr>
    </w:tbl>
    <w:p w:rsidR="00000000" w:rsidRPr="00F15FE7" w:rsidP="00F15FE7">
      <w:pPr>
        <w:pStyle w:val="BodyText"/>
      </w:pPr>
    </w:p>
    <w:p w:rsidR="00000000" w:rsidRPr="00F15FE7" w:rsidP="00F15FE7">
      <w:pPr>
        <w:pStyle w:val="AllowPageBreak"/>
      </w:pPr>
    </w:p>
    <w:p w:rsidR="00000000" w:rsidRPr="00F15FE7" w:rsidP="00F15FE7">
      <w:pPr>
        <w:pStyle w:val="Heading1"/>
      </w:pPr>
      <w:bookmarkStart w:id="11" w:name="O_312189"/>
      <w:bookmarkEnd w:id="11"/>
      <w:r w:rsidRPr="00F15FE7">
        <w:t>Range Statement</w:t>
      </w:r>
    </w:p>
    <w:p w:rsidR="00000000" w:rsidRPr="00F15FE7" w:rsidP="00F15FE7">
      <w:pPr>
        <w:pStyle w:val="BodyText"/>
      </w:pPr>
      <w:r w:rsidRPr="00F15FE7">
        <w:t xml:space="preserve">The range of variables relates to the unit of competency as a whole. It allows for different work environments and situations that will affect performance. </w:t>
      </w:r>
    </w:p>
    <w:p w:rsidR="00000000" w:rsidRPr="00F15FE7" w:rsidP="00F15FE7">
      <w:pPr>
        <w:pStyle w:val="BodyText"/>
      </w:pPr>
      <w:r w:rsidRPr="00F15FE7">
        <w:t>Where reference is made to industry Codes of Practice, and/or A</w:t>
      </w:r>
      <w:r w:rsidRPr="00F15FE7">
        <w:t xml:space="preserve">ustralian/international standards, it is expected the latest version will be used. </w:t>
      </w:r>
    </w:p>
    <w:p w:rsidR="00000000" w:rsidRPr="00F15FE7" w:rsidP="00F15FE7">
      <w:pPr>
        <w:pStyle w:val="BodyText"/>
      </w:pPr>
      <w:r w:rsidRPr="00F15FE7">
        <w:t>This unit of competence describes work conducted by laboratory assistants, generally working under the guidance of a senior technician, scientific officer, laboratory super</w:t>
      </w:r>
      <w:r w:rsidRPr="00F15FE7">
        <w:t>visor/manager. Operations are performed in accordance with laboratory and/or enterprise procedures, and appropriate legislative requirements. These procedures and requirements can include or be prepared from:</w:t>
      </w:r>
    </w:p>
    <w:p w:rsidR="00000000" w:rsidRPr="00F15FE7" w:rsidP="00F15FE7">
      <w:pPr>
        <w:pStyle w:val="BodyText"/>
      </w:pPr>
      <w:r w:rsidRPr="00F15FE7">
        <w:t>industry Codes of Practice</w:t>
      </w:r>
    </w:p>
    <w:p w:rsidR="00000000" w:rsidRPr="00F15FE7" w:rsidP="00F15FE7">
      <w:pPr>
        <w:pStyle w:val="BodyText"/>
      </w:pPr>
      <w:r w:rsidRPr="00F15FE7">
        <w:t>environmental legisl</w:t>
      </w:r>
      <w:r w:rsidRPr="00F15FE7">
        <w:t>ation and regulations</w:t>
      </w:r>
    </w:p>
    <w:p w:rsidR="00000000" w:rsidRPr="00F15FE7" w:rsidP="00F15FE7">
      <w:pPr>
        <w:pStyle w:val="BodyText"/>
      </w:pPr>
      <w:r w:rsidRPr="00F15FE7">
        <w:t>standard operating procedures (SOPs)</w:t>
      </w:r>
    </w:p>
    <w:p w:rsidR="00000000" w:rsidRPr="00F15FE7" w:rsidP="00F15FE7">
      <w:pPr>
        <w:pStyle w:val="BodyText"/>
      </w:pPr>
      <w:r w:rsidRPr="00F15FE7">
        <w:t>equipment manuals</w:t>
      </w:r>
    </w:p>
    <w:p w:rsidR="00000000" w:rsidRPr="00F15FE7" w:rsidP="00F15FE7">
      <w:pPr>
        <w:pStyle w:val="BodyText"/>
      </w:pPr>
      <w:r w:rsidRPr="00F15FE7">
        <w:t>equipment start-up, operation and shutdown procedures</w:t>
      </w:r>
    </w:p>
    <w:p w:rsidR="00000000" w:rsidRPr="00F15FE7" w:rsidP="00F15FE7">
      <w:pPr>
        <w:pStyle w:val="BodyText"/>
      </w:pPr>
      <w:r w:rsidRPr="00F15FE7">
        <w:t>calibration and maintenance schedules</w:t>
      </w:r>
    </w:p>
    <w:p w:rsidR="00000000" w:rsidRPr="00F15FE7" w:rsidP="00F15FE7">
      <w:pPr>
        <w:pStyle w:val="BodyText"/>
      </w:pPr>
      <w:r w:rsidRPr="00F15FE7">
        <w:t>quality manuals</w:t>
      </w:r>
    </w:p>
    <w:p w:rsidR="00000000" w:rsidRPr="00F15FE7" w:rsidP="00F15FE7">
      <w:pPr>
        <w:pStyle w:val="BodyText"/>
      </w:pPr>
      <w:r w:rsidRPr="00F15FE7">
        <w:t>enterprise recording and reporting procedures</w:t>
      </w:r>
    </w:p>
    <w:p w:rsidR="00000000" w:rsidRPr="00F15FE7" w:rsidP="00F15FE7">
      <w:pPr>
        <w:pStyle w:val="BodyText"/>
      </w:pPr>
      <w:r w:rsidRPr="00F15FE7">
        <w:t>production and laboratory</w:t>
      </w:r>
      <w:r w:rsidRPr="00F15FE7">
        <w:t xml:space="preserve"> schedules</w:t>
      </w:r>
    </w:p>
    <w:p w:rsidR="00000000" w:rsidRPr="00F15FE7" w:rsidP="00F15FE7">
      <w:pPr>
        <w:pStyle w:val="BodyText"/>
      </w:pPr>
      <w:r w:rsidRPr="00F15FE7">
        <w:t>material, production and product specifications.</w:t>
      </w:r>
    </w:p>
    <w:p w:rsidR="00000000" w:rsidRPr="00F15FE7" w:rsidP="00F15FE7">
      <w:pPr>
        <w:pStyle w:val="BodyText"/>
      </w:pPr>
      <w:r w:rsidRPr="00F15FE7">
        <w:t>Materials, tools and equipment used may include:</w:t>
      </w:r>
    </w:p>
    <w:p w:rsidR="00000000" w:rsidRPr="00F15FE7" w:rsidP="00F15FE7">
      <w:pPr>
        <w:pStyle w:val="BodyText"/>
      </w:pPr>
      <w:r w:rsidRPr="00F15FE7">
        <w:t>soils, concrete, asphalt, aggregates, polymers, ceramics, metals, foodstuffs, solvents</w:t>
      </w:r>
    </w:p>
    <w:p w:rsidR="00000000" w:rsidRPr="00F15FE7" w:rsidP="00F15FE7">
      <w:pPr>
        <w:pStyle w:val="BodyText"/>
      </w:pPr>
      <w:r w:rsidRPr="00F15FE7">
        <w:t>ovens, sieves, balances, volumetric measures, mixers</w:t>
      </w:r>
    </w:p>
    <w:p w:rsidR="00000000" w:rsidRPr="00F15FE7" w:rsidP="00F15FE7">
      <w:pPr>
        <w:pStyle w:val="BodyText"/>
      </w:pPr>
      <w:r w:rsidRPr="00F15FE7">
        <w:t>hand tools, including shovels, scoops, spatulas</w:t>
      </w:r>
    </w:p>
    <w:p w:rsidR="00000000" w:rsidRPr="00F15FE7" w:rsidP="00F15FE7">
      <w:pPr>
        <w:pStyle w:val="BodyText"/>
      </w:pPr>
      <w:r w:rsidRPr="00F15FE7">
        <w:t>consumables, including sample bags, labels</w:t>
      </w:r>
    </w:p>
    <w:p w:rsidR="00000000" w:rsidRPr="00F15FE7" w:rsidP="00F15FE7">
      <w:pPr>
        <w:pStyle w:val="BodyText"/>
      </w:pPr>
      <w:r w:rsidRPr="00F15FE7">
        <w:t>documentation, including specifications, manufacturers' handbooks, worksheets</w:t>
      </w:r>
    </w:p>
    <w:p w:rsidR="00000000" w:rsidRPr="00F15FE7" w:rsidP="00F15FE7">
      <w:pPr>
        <w:pStyle w:val="BodyText"/>
      </w:pPr>
      <w:r w:rsidRPr="00F15FE7">
        <w:t>test equipment appropriate to the various materials.</w:t>
      </w:r>
    </w:p>
    <w:p w:rsidR="00000000" w:rsidRPr="00F15FE7" w:rsidP="00F15FE7">
      <w:pPr>
        <w:pStyle w:val="BodyText"/>
      </w:pPr>
      <w:r w:rsidRPr="00F15FE7">
        <w:t>Typical skills may include:</w:t>
      </w:r>
    </w:p>
    <w:p w:rsidR="00000000" w:rsidRPr="00F15FE7" w:rsidP="00F15FE7">
      <w:pPr>
        <w:pStyle w:val="BodyText"/>
      </w:pPr>
      <w:r w:rsidRPr="00F15FE7">
        <w:t>workin</w:t>
      </w:r>
      <w:r w:rsidRPr="00F15FE7">
        <w:t>g safely with equipment and hazardous materials</w:t>
      </w:r>
    </w:p>
    <w:p w:rsidR="00000000" w:rsidRPr="00F15FE7" w:rsidP="00F15FE7">
      <w:pPr>
        <w:pStyle w:val="BodyText"/>
      </w:pPr>
      <w:r w:rsidRPr="00F15FE7">
        <w:t>working safely in laboratory conditions</w:t>
      </w:r>
    </w:p>
    <w:p w:rsidR="00000000" w:rsidRPr="00F15FE7" w:rsidP="00F15FE7">
      <w:pPr>
        <w:pStyle w:val="BodyText"/>
      </w:pPr>
      <w:r w:rsidRPr="00F15FE7">
        <w:t>setting up and maintaining tools and equipment</w:t>
      </w:r>
    </w:p>
    <w:p w:rsidR="00000000" w:rsidRPr="00F15FE7" w:rsidP="00F15FE7">
      <w:pPr>
        <w:pStyle w:val="BodyText"/>
      </w:pPr>
      <w:r w:rsidRPr="00F15FE7">
        <w:t>using tools and equipment to perform basic sampling techniques</w:t>
      </w:r>
    </w:p>
    <w:p w:rsidR="00000000" w:rsidRPr="00F15FE7" w:rsidP="00F15FE7">
      <w:pPr>
        <w:pStyle w:val="BodyText"/>
      </w:pPr>
      <w:r w:rsidRPr="00F15FE7">
        <w:t>using tools and equipment to perform basic testing techniq</w:t>
      </w:r>
      <w:r w:rsidRPr="00F15FE7">
        <w:t>ues</w:t>
      </w:r>
    </w:p>
    <w:p w:rsidR="00000000" w:rsidRPr="00F15FE7" w:rsidP="00F15FE7">
      <w:pPr>
        <w:pStyle w:val="BodyText"/>
      </w:pPr>
      <w:r w:rsidRPr="00F15FE7">
        <w:t>basic calculations</w:t>
      </w:r>
    </w:p>
    <w:p w:rsidR="00000000" w:rsidRPr="00F15FE7" w:rsidP="00F15FE7">
      <w:pPr>
        <w:pStyle w:val="BodyText"/>
      </w:pPr>
      <w:r w:rsidRPr="00F15FE7">
        <w:t>observing and recording information on testing and sampling</w:t>
      </w:r>
    </w:p>
    <w:p w:rsidR="00000000" w:rsidRPr="00F15FE7" w:rsidP="00F15FE7">
      <w:pPr>
        <w:pStyle w:val="BodyText"/>
      </w:pPr>
      <w:r w:rsidRPr="00F15FE7">
        <w:t>making basic measurements of volume and mass</w:t>
      </w:r>
    </w:p>
    <w:p w:rsidR="00000000" w:rsidRPr="00F15FE7" w:rsidP="00F15FE7">
      <w:pPr>
        <w:pStyle w:val="BodyText"/>
      </w:pPr>
      <w:r w:rsidRPr="00F15FE7">
        <w:t>handling and storing materials appropriately.</w:t>
      </w:r>
    </w:p>
    <w:p w:rsidR="00000000" w:rsidRPr="00F15FE7" w:rsidP="00F15FE7">
      <w:pPr>
        <w:pStyle w:val="BodyText"/>
      </w:pPr>
      <w:r w:rsidRPr="00F15FE7">
        <w:t>Typical problems may include:</w:t>
      </w:r>
    </w:p>
    <w:p w:rsidR="00000000" w:rsidRPr="00F15FE7" w:rsidP="00F15FE7">
      <w:pPr>
        <w:pStyle w:val="BodyText"/>
      </w:pPr>
      <w:r w:rsidRPr="00F15FE7">
        <w:t>not following standard operating procedures</w:t>
      </w:r>
    </w:p>
    <w:p w:rsidR="00000000" w:rsidRPr="00F15FE7" w:rsidP="00F15FE7">
      <w:pPr>
        <w:pStyle w:val="BodyText"/>
      </w:pPr>
      <w:r w:rsidRPr="00F15FE7">
        <w:t>measurem</w:t>
      </w:r>
      <w:r w:rsidRPr="00F15FE7">
        <w:t>ent errors</w:t>
      </w:r>
    </w:p>
    <w:p w:rsidR="00000000" w:rsidRPr="00F15FE7" w:rsidP="00F15FE7">
      <w:pPr>
        <w:pStyle w:val="BodyText"/>
      </w:pPr>
      <w:r w:rsidRPr="00F15FE7">
        <w:t>calculation errors</w:t>
      </w:r>
    </w:p>
    <w:p w:rsidR="00000000" w:rsidRPr="00F15FE7" w:rsidP="00F15FE7">
      <w:pPr>
        <w:pStyle w:val="BodyText"/>
      </w:pPr>
      <w:r w:rsidRPr="00F15FE7">
        <w:t>materials of unreliable quality</w:t>
      </w:r>
    </w:p>
    <w:p w:rsidR="00000000" w:rsidRPr="00F15FE7" w:rsidP="00F15FE7">
      <w:pPr>
        <w:pStyle w:val="BodyText"/>
      </w:pPr>
      <w:r w:rsidRPr="00F15FE7">
        <w:t>insufficient mixing</w:t>
      </w:r>
    </w:p>
    <w:p w:rsidR="00000000" w:rsidRPr="00F15FE7" w:rsidP="00F15FE7">
      <w:pPr>
        <w:pStyle w:val="BodyText"/>
      </w:pPr>
      <w:r w:rsidRPr="00F15FE7">
        <w:t>poor sampling procedures</w:t>
      </w:r>
    </w:p>
    <w:p w:rsidR="00000000" w:rsidRPr="00F15FE7" w:rsidP="00F15FE7">
      <w:pPr>
        <w:pStyle w:val="BodyText"/>
      </w:pPr>
      <w:r w:rsidRPr="00F15FE7">
        <w:t>equipment breakdown and breakage.</w:t>
      </w:r>
    </w:p>
    <w:p w:rsidR="00000000" w:rsidRPr="00F15FE7" w:rsidP="00F15FE7">
      <w:pPr>
        <w:pStyle w:val="BodyText"/>
      </w:pPr>
      <w:r w:rsidRPr="00F15FE7">
        <w:t>Hazards may include:</w:t>
      </w:r>
    </w:p>
    <w:p w:rsidR="00000000" w:rsidRPr="00F15FE7" w:rsidP="00F15FE7">
      <w:pPr>
        <w:pStyle w:val="BodyText"/>
      </w:pPr>
      <w:r w:rsidRPr="00F15FE7">
        <w:t>electric shock</w:t>
      </w:r>
    </w:p>
    <w:p w:rsidR="00000000" w:rsidRPr="00F15FE7" w:rsidP="00F15FE7">
      <w:pPr>
        <w:pStyle w:val="BodyText"/>
      </w:pPr>
      <w:r w:rsidRPr="00F15FE7">
        <w:t xml:space="preserve">biohazards, such as microbiological organisms and agents associated with soil, </w:t>
      </w:r>
      <w:r w:rsidRPr="00F15FE7">
        <w:t>air, water</w:t>
      </w:r>
    </w:p>
    <w:p w:rsidR="00000000" w:rsidRPr="00F15FE7" w:rsidP="00F15FE7">
      <w:pPr>
        <w:pStyle w:val="BodyText"/>
      </w:pPr>
      <w:r w:rsidRPr="00F15FE7">
        <w:t>solar radiation, dust, noise</w:t>
      </w:r>
    </w:p>
    <w:p w:rsidR="00000000" w:rsidRPr="00F15FE7" w:rsidP="00F15FE7">
      <w:pPr>
        <w:pStyle w:val="BodyText"/>
      </w:pPr>
      <w:r w:rsidRPr="00F15FE7">
        <w:t>chemicals</w:t>
      </w:r>
    </w:p>
    <w:p w:rsidR="00000000" w:rsidRPr="00F15FE7" w:rsidP="00F15FE7">
      <w:pPr>
        <w:pStyle w:val="BodyText"/>
      </w:pPr>
      <w:r w:rsidRPr="00F15FE7">
        <w:t>sharps, broken glassware and hand tools</w:t>
      </w:r>
    </w:p>
    <w:p w:rsidR="00000000" w:rsidRPr="00F15FE7" w:rsidP="00F15FE7">
      <w:pPr>
        <w:pStyle w:val="BodyText"/>
      </w:pPr>
      <w:r w:rsidRPr="00F15FE7">
        <w:t>flammable liquids and gases</w:t>
      </w:r>
    </w:p>
    <w:p w:rsidR="00000000" w:rsidRPr="00F15FE7" w:rsidP="00F15FE7">
      <w:pPr>
        <w:pStyle w:val="BodyText"/>
      </w:pPr>
      <w:r w:rsidRPr="00F15FE7">
        <w:t>fluids under pressure</w:t>
      </w:r>
    </w:p>
    <w:p w:rsidR="00000000" w:rsidRPr="00F15FE7" w:rsidP="00F15FE7">
      <w:pPr>
        <w:pStyle w:val="BodyText"/>
      </w:pPr>
      <w:r w:rsidRPr="00F15FE7">
        <w:t>manual handling heavy objects</w:t>
      </w:r>
    </w:p>
    <w:p w:rsidR="00000000" w:rsidRPr="00F15FE7" w:rsidP="00F15FE7">
      <w:pPr>
        <w:pStyle w:val="BodyText"/>
      </w:pPr>
      <w:r w:rsidRPr="00F15FE7">
        <w:t>crushing, entanglement, cuts associated with moving machinery or falling objects.</w:t>
      </w:r>
    </w:p>
    <w:p w:rsidR="00000000" w:rsidRPr="00F15FE7" w:rsidP="00F15FE7">
      <w:pPr>
        <w:pStyle w:val="BodyText"/>
      </w:pPr>
      <w:r w:rsidRPr="00F15FE7">
        <w:t>Safety procedures may include:</w:t>
      </w:r>
    </w:p>
    <w:p w:rsidR="00000000" w:rsidRPr="00F15FE7" w:rsidP="00F15FE7">
      <w:pPr>
        <w:pStyle w:val="BodyText"/>
      </w:pPr>
      <w:r w:rsidRPr="00F15FE7">
        <w:t>recognising hazard warnings and safety signs</w:t>
      </w:r>
    </w:p>
    <w:p w:rsidR="00000000" w:rsidRPr="00F15FE7" w:rsidP="00F15FE7">
      <w:pPr>
        <w:pStyle w:val="BodyText"/>
      </w:pPr>
      <w:r w:rsidRPr="00F15FE7">
        <w:t>use of personal protective equipment, such as hard hats, hearing protection, sunscreen lotion, gloves, safety glasses, goggles, face guards, coveralls, safety boots</w:t>
      </w:r>
    </w:p>
    <w:p w:rsidR="00000000" w:rsidRPr="00F15FE7" w:rsidP="00F15FE7">
      <w:pPr>
        <w:pStyle w:val="BodyText"/>
      </w:pPr>
      <w:r w:rsidRPr="00F15FE7">
        <w:t>use of material</w:t>
      </w:r>
      <w:r w:rsidRPr="00F15FE7">
        <w:t xml:space="preserve"> safety data sheets (MSDS)</w:t>
      </w:r>
    </w:p>
    <w:p w:rsidR="00000000" w:rsidRPr="00F15FE7" w:rsidP="00F15FE7">
      <w:pPr>
        <w:pStyle w:val="BodyText"/>
      </w:pPr>
      <w:r w:rsidRPr="00F15FE7">
        <w:t>following established manual handling procedures</w:t>
      </w:r>
    </w:p>
    <w:p w:rsidR="00000000" w:rsidRPr="00F15FE7" w:rsidP="00F15FE7">
      <w:pPr>
        <w:pStyle w:val="BodyText"/>
      </w:pPr>
      <w:r w:rsidRPr="00F15FE7">
        <w:t>regular cleaning and/or decontaminating of equipment and work areas</w:t>
      </w:r>
    </w:p>
    <w:p w:rsidR="00000000" w:rsidRPr="00F15FE7" w:rsidP="00F15FE7">
      <w:pPr>
        <w:pStyle w:val="BodyText"/>
      </w:pPr>
      <w:r w:rsidRPr="00F15FE7">
        <w:t>ensuring access to service shut off points</w:t>
      </w:r>
    </w:p>
    <w:p w:rsidR="00000000" w:rsidRPr="00F15FE7" w:rsidP="00F15FE7">
      <w:pPr>
        <w:pStyle w:val="BodyText"/>
      </w:pPr>
      <w:r w:rsidRPr="00F15FE7">
        <w:t>identifying and reporting operating problems or equipment malfunction</w:t>
      </w:r>
      <w:r w:rsidRPr="00F15FE7">
        <w:t>s.</w:t>
      </w:r>
    </w:p>
    <w:p w:rsidR="00000000" w:rsidRPr="00F15FE7" w:rsidP="00F15FE7">
      <w:pPr>
        <w:pStyle w:val="BodyText"/>
      </w:pPr>
      <w:r w:rsidRPr="00F15FE7">
        <w:rPr>
          <w:rStyle w:val="SpecialBold"/>
        </w:rPr>
        <w:t>Health</w:t>
      </w:r>
      <w:r w:rsidRPr="00F15FE7">
        <w:t xml:space="preserve">, </w:t>
      </w:r>
      <w:r w:rsidRPr="00F15FE7">
        <w:rPr>
          <w:rStyle w:val="SpecialBold"/>
        </w:rPr>
        <w:t>safety and environment</w:t>
      </w:r>
    </w:p>
    <w:p w:rsidR="00000000" w:rsidRPr="00F15FE7" w:rsidP="00F15FE7">
      <w:pPr>
        <w:pStyle w:val="BodyText"/>
      </w:pPr>
      <w:r w:rsidRPr="00F15FE7">
        <w:t>All operations to which this unit applies are subject to stringent health, safety and environmental (HSE) requirements, which may be imposed through State or Federal legislation, and these must not be compromised at any ti</w:t>
      </w:r>
      <w:r w:rsidRPr="00F15FE7">
        <w:t>me. Where there is an apparent conflict between performance criteria and HSE requirements, the HSE requirements take precedence.</w:t>
      </w:r>
    </w:p>
    <w:p w:rsidR="00000000" w:rsidRPr="00F15FE7" w:rsidP="00F15FE7">
      <w:pPr>
        <w:pStyle w:val="BodyText"/>
      </w:pPr>
      <w:r w:rsidRPr="00F15FE7">
        <w:t xml:space="preserve">All operations assume the potentially hazardous nature of samples and require standard precautions to be applied. Users should </w:t>
      </w:r>
      <w:r w:rsidRPr="00F15FE7">
        <w:t>access and apply current industry understanding of infection control issued by the National Health and Medical Research Council and State and Territory Departments of Health. All operations are performed in accordance with standard operating procedures.</w:t>
      </w:r>
    </w:p>
    <w:p w:rsidR="00000000" w:rsidRPr="00F15FE7" w:rsidP="00F15FE7">
      <w:pPr>
        <w:pStyle w:val="AllowPageBreak"/>
      </w:pPr>
    </w:p>
    <w:p w:rsidR="00000000" w:rsidRPr="00F15FE7" w:rsidP="00F15FE7">
      <w:pPr>
        <w:pStyle w:val="Heading1"/>
      </w:pPr>
      <w:bookmarkStart w:id="12" w:name="O_312198"/>
      <w:bookmarkEnd w:id="12"/>
      <w:r w:rsidRPr="00F15FE7">
        <w:t>Unit Sector(s)</w:t>
      </w:r>
    </w:p>
    <w:p w:rsidR="00000000" w:rsidRPr="00F15FE7" w:rsidP="00F15FE7"/>
    <w:sectPr w:rsidSect="00F15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2A6" w:rsidP="00A62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A6" w:rsidP="00F15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22A6" w:rsidP="00F15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22A6" w:rsidP="00F15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2A6" w:rsidP="00A622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A6" w:rsidP="00F15FE7">
    <w:pPr>
      <w:pStyle w:val="Header"/>
      <w:framePr w:wrap="around"/>
    </w:pPr>
    <w:r>
      <w:fldChar w:fldCharType="begin"/>
    </w:r>
    <w:r>
      <w:instrText xml:space="preserve"> TITLE   \* MERGEFORMAT </w:instrText>
    </w:r>
    <w:r>
      <w:fldChar w:fldCharType="separate"/>
    </w:r>
    <w:r>
      <w:t>PMLTEST307B Prepare trial batches for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22A6" w:rsidP="00F15F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F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5FE7"/>
    <w:pPr>
      <w:spacing w:before="360" w:after="60"/>
      <w:outlineLvl w:val="0"/>
    </w:pPr>
    <w:rPr>
      <w:sz w:val="32"/>
    </w:rPr>
  </w:style>
  <w:style w:type="paragraph" w:styleId="Heading2">
    <w:name w:val="heading 2"/>
    <w:basedOn w:val="HeadingBase"/>
    <w:next w:val="BodyText"/>
    <w:link w:val="Heading2Char"/>
    <w:qFormat/>
    <w:rsid w:val="00F15FE7"/>
    <w:pPr>
      <w:keepLines/>
      <w:spacing w:before="240" w:after="120"/>
      <w:outlineLvl w:val="1"/>
    </w:pPr>
    <w:rPr>
      <w:sz w:val="28"/>
      <w:szCs w:val="40"/>
    </w:rPr>
  </w:style>
  <w:style w:type="paragraph" w:styleId="Heading3">
    <w:name w:val="heading 3"/>
    <w:basedOn w:val="HeadingBase"/>
    <w:next w:val="BodyText"/>
    <w:link w:val="Heading3Char"/>
    <w:qFormat/>
    <w:rsid w:val="00F15FE7"/>
    <w:pPr>
      <w:spacing w:before="180" w:after="120"/>
      <w:outlineLvl w:val="2"/>
    </w:pPr>
    <w:rPr>
      <w:spacing w:val="-10"/>
      <w:kern w:val="32"/>
    </w:rPr>
  </w:style>
  <w:style w:type="paragraph" w:styleId="Heading4">
    <w:name w:val="heading 4"/>
    <w:basedOn w:val="HeadingBase"/>
    <w:next w:val="BodyText"/>
    <w:link w:val="Heading4Char"/>
    <w:qFormat/>
    <w:rsid w:val="00F15FE7"/>
    <w:pPr>
      <w:spacing w:before="160" w:after="120"/>
      <w:outlineLvl w:val="3"/>
    </w:pPr>
    <w:rPr>
      <w:sz w:val="22"/>
    </w:rPr>
  </w:style>
  <w:style w:type="paragraph" w:styleId="Heading5">
    <w:name w:val="heading 5"/>
    <w:basedOn w:val="HeadingBase"/>
    <w:next w:val="Normal"/>
    <w:link w:val="Heading5Char"/>
    <w:qFormat/>
    <w:rsid w:val="00F15FE7"/>
    <w:pPr>
      <w:spacing w:before="80"/>
      <w:outlineLvl w:val="4"/>
    </w:pPr>
    <w:rPr>
      <w:color w:val="918585"/>
      <w:sz w:val="20"/>
    </w:rPr>
  </w:style>
  <w:style w:type="paragraph" w:styleId="Heading6">
    <w:name w:val="heading 6"/>
    <w:basedOn w:val="HeadingBase"/>
    <w:next w:val="Normal"/>
    <w:link w:val="Heading6Char"/>
    <w:qFormat/>
    <w:rsid w:val="00F15FE7"/>
    <w:pPr>
      <w:spacing w:before="60"/>
      <w:outlineLvl w:val="5"/>
    </w:pPr>
    <w:rPr>
      <w:color w:val="918585"/>
      <w:sz w:val="20"/>
    </w:rPr>
  </w:style>
  <w:style w:type="paragraph" w:styleId="Heading7">
    <w:name w:val="heading 7"/>
    <w:basedOn w:val="Normal"/>
    <w:next w:val="Normal"/>
    <w:link w:val="Heading7Char"/>
    <w:qFormat/>
    <w:rsid w:val="00F15FE7"/>
    <w:pPr>
      <w:ind w:left="720"/>
      <w:outlineLvl w:val="6"/>
    </w:pPr>
    <w:rPr>
      <w:i/>
    </w:rPr>
  </w:style>
  <w:style w:type="paragraph" w:styleId="Heading8">
    <w:name w:val="heading 8"/>
    <w:basedOn w:val="Normal"/>
    <w:next w:val="Normal"/>
    <w:link w:val="Heading8Char"/>
    <w:qFormat/>
    <w:rsid w:val="00F15FE7"/>
    <w:pPr>
      <w:ind w:left="720"/>
      <w:outlineLvl w:val="7"/>
    </w:pPr>
    <w:rPr>
      <w:i/>
    </w:rPr>
  </w:style>
  <w:style w:type="paragraph" w:styleId="Heading9">
    <w:name w:val="heading 9"/>
    <w:basedOn w:val="Normal"/>
    <w:next w:val="Normal"/>
    <w:link w:val="Heading9Char"/>
    <w:qFormat/>
    <w:rsid w:val="00F15FE7"/>
    <w:pPr>
      <w:ind w:left="720"/>
      <w:outlineLvl w:val="8"/>
    </w:pPr>
    <w:rPr>
      <w:i/>
    </w:rPr>
  </w:style>
  <w:style w:type="character" w:default="1" w:styleId="DefaultParagraphFont">
    <w:name w:val="Default Paragraph Font"/>
    <w:uiPriority w:val="1"/>
    <w:unhideWhenUsed/>
    <w:rsid w:val="00F15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FE7"/>
  </w:style>
  <w:style w:type="character" w:customStyle="1" w:styleId="Heading1Char">
    <w:name w:val="Heading 1 Char"/>
    <w:basedOn w:val="DefaultParagraphFont"/>
    <w:link w:val="Heading1"/>
    <w:rsid w:val="00F15FE7"/>
    <w:rPr>
      <w:rFonts w:ascii="Times New Roman" w:eastAsia="Times New Roman" w:hAnsi="Times New Roman" w:cs="Times New Roman"/>
      <w:b/>
      <w:sz w:val="32"/>
      <w:szCs w:val="20"/>
      <w:lang w:eastAsia="en-US"/>
    </w:rPr>
  </w:style>
  <w:style w:type="paragraph" w:styleId="BodyText">
    <w:name w:val="Body Text"/>
    <w:basedOn w:val="Normal"/>
    <w:link w:val="BodyTextChar"/>
    <w:rsid w:val="00F15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5FE7"/>
    <w:rPr>
      <w:rFonts w:ascii="Times New Roman" w:eastAsia="Times New Roman" w:hAnsi="Times New Roman" w:cs="Times New Roman"/>
      <w:sz w:val="24"/>
      <w:lang w:val="en-US" w:eastAsia="en-US"/>
    </w:rPr>
  </w:style>
  <w:style w:type="paragraph" w:styleId="Footer">
    <w:name w:val="footer"/>
    <w:basedOn w:val="Normal"/>
    <w:link w:val="FooterChar"/>
    <w:rsid w:val="00F15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FE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15FE7"/>
    <w:rPr>
      <w:b/>
      <w:spacing w:val="0"/>
    </w:rPr>
  </w:style>
  <w:style w:type="paragraph" w:styleId="Header">
    <w:name w:val="header"/>
    <w:basedOn w:val="Normal"/>
    <w:link w:val="HeaderChar"/>
    <w:rsid w:val="00F15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F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5FE7"/>
    <w:pPr>
      <w:spacing w:before="240" w:after="120"/>
      <w:outlineLvl w:val="0"/>
    </w:pPr>
    <w:rPr>
      <w:rFonts w:ascii="Times New Roman" w:hAnsi="Times New Roman"/>
      <w:b/>
      <w:sz w:val="28"/>
    </w:rPr>
  </w:style>
  <w:style w:type="paragraph" w:customStyle="1" w:styleId="AllowPageBreak">
    <w:name w:val="AllowPageBreak"/>
    <w:rsid w:val="00F15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F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5F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5FE7"/>
    <w:rPr>
      <w:rFonts w:ascii="Courier New" w:eastAsia="Times New Roman" w:hAnsi="Courier New" w:cs="Times New Roman"/>
      <w:i/>
      <w:szCs w:val="20"/>
      <w:lang w:val="en-US" w:eastAsia="en-US"/>
    </w:rPr>
  </w:style>
  <w:style w:type="paragraph" w:customStyle="1" w:styleId="HeadingBase">
    <w:name w:val="Heading Base"/>
    <w:rsid w:val="00F15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FE7"/>
    <w:pPr>
      <w:tabs>
        <w:tab w:val="right" w:leader="dot" w:pos="9072"/>
      </w:tabs>
      <w:ind w:left="567"/>
    </w:pPr>
    <w:rPr>
      <w:szCs w:val="22"/>
    </w:rPr>
  </w:style>
  <w:style w:type="paragraph" w:customStyle="1" w:styleId="TOCBase">
    <w:name w:val="TOC Base"/>
    <w:rsid w:val="00F15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FE7"/>
    <w:pPr>
      <w:tabs>
        <w:tab w:val="right" w:leader="dot" w:pos="9072"/>
      </w:tabs>
      <w:spacing w:before="40" w:after="40"/>
      <w:ind w:left="284"/>
    </w:pPr>
    <w:rPr>
      <w:rFonts w:ascii="Times New Roman" w:hAnsi="Times New Roman"/>
    </w:rPr>
  </w:style>
  <w:style w:type="paragraph" w:styleId="TOC1">
    <w:name w:val="toc 1"/>
    <w:basedOn w:val="TOCBase"/>
    <w:next w:val="Normal"/>
    <w:rsid w:val="00F15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5FE7"/>
    <w:pPr>
      <w:spacing w:before="5040"/>
      <w:jc w:val="center"/>
    </w:pPr>
    <w:rPr>
      <w:sz w:val="48"/>
      <w:szCs w:val="72"/>
      <w:lang w:val="en-US"/>
    </w:rPr>
  </w:style>
  <w:style w:type="character" w:customStyle="1" w:styleId="TitleChar">
    <w:name w:val="Title Char"/>
    <w:basedOn w:val="DefaultParagraphFont"/>
    <w:link w:val="Title"/>
    <w:rsid w:val="00F15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FE7"/>
    <w:pPr>
      <w:tabs>
        <w:tab w:val="left" w:pos="3600"/>
        <w:tab w:val="left" w:pos="3958"/>
      </w:tabs>
    </w:pPr>
  </w:style>
  <w:style w:type="paragraph" w:styleId="List">
    <w:name w:val="List"/>
    <w:basedOn w:val="BodyText"/>
    <w:next w:val="BodyText"/>
    <w:rsid w:val="00F15FE7"/>
    <w:pPr>
      <w:tabs>
        <w:tab w:val="left" w:pos="340"/>
      </w:tabs>
      <w:spacing w:before="60" w:after="60"/>
      <w:ind w:left="340" w:hanging="340"/>
    </w:pPr>
  </w:style>
  <w:style w:type="paragraph" w:styleId="ListBullet">
    <w:name w:val="List Bullet"/>
    <w:basedOn w:val="List"/>
    <w:rsid w:val="00F15FE7"/>
    <w:pPr>
      <w:numPr>
        <w:numId w:val="11"/>
      </w:numPr>
      <w:tabs>
        <w:tab w:val="clear" w:pos="340"/>
      </w:tabs>
      <w:spacing w:before="40" w:after="40"/>
    </w:pPr>
  </w:style>
  <w:style w:type="paragraph" w:customStyle="1" w:styleId="Note">
    <w:name w:val="Note"/>
    <w:basedOn w:val="BodyText"/>
    <w:rsid w:val="00F15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FE7"/>
    <w:pPr>
      <w:framePr w:wrap="auto" w:hAnchor="text" w:y="6049"/>
    </w:pPr>
    <w:rPr>
      <w:color w:val="000000"/>
      <w:sz w:val="40"/>
    </w:rPr>
  </w:style>
  <w:style w:type="paragraph" w:customStyle="1" w:styleId="TOCTitle">
    <w:name w:val="TOCTitle"/>
    <w:basedOn w:val="Heading1"/>
    <w:rsid w:val="00F15FE7"/>
    <w:pPr>
      <w:spacing w:after="240"/>
      <w:jc w:val="center"/>
      <w:outlineLvl w:val="9"/>
    </w:pPr>
    <w:rPr>
      <w:caps/>
    </w:rPr>
  </w:style>
  <w:style w:type="paragraph" w:customStyle="1" w:styleId="Version">
    <w:name w:val="Version"/>
    <w:rsid w:val="00F15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FE7"/>
    <w:pPr>
      <w:numPr>
        <w:numId w:val="12"/>
      </w:numPr>
      <w:tabs>
        <w:tab w:val="clear" w:pos="680"/>
      </w:tabs>
    </w:pPr>
  </w:style>
  <w:style w:type="paragraph" w:styleId="Index1">
    <w:name w:val="index 1"/>
    <w:basedOn w:val="Normal"/>
    <w:next w:val="Normal"/>
    <w:semiHidden/>
    <w:rsid w:val="00F15FE7"/>
    <w:pPr>
      <w:keepNext w:val="0"/>
      <w:tabs>
        <w:tab w:val="right" w:pos="4176"/>
      </w:tabs>
      <w:ind w:left="198" w:hanging="198"/>
    </w:pPr>
    <w:rPr>
      <w:rFonts w:ascii="Garamond" w:hAnsi="Garamond"/>
    </w:rPr>
  </w:style>
  <w:style w:type="paragraph" w:styleId="IndexHeading">
    <w:name w:val="index heading"/>
    <w:basedOn w:val="Normal"/>
    <w:next w:val="Index1"/>
    <w:semiHidden/>
    <w:rsid w:val="00F15FE7"/>
    <w:pPr>
      <w:spacing w:before="120" w:after="120"/>
    </w:pPr>
    <w:rPr>
      <w:rFonts w:ascii="Arial" w:hAnsi="Arial"/>
      <w:b/>
      <w:color w:val="918585"/>
      <w:sz w:val="24"/>
    </w:rPr>
  </w:style>
  <w:style w:type="paragraph" w:customStyle="1" w:styleId="Chapter">
    <w:name w:val="Chapter"/>
    <w:basedOn w:val="Normal"/>
    <w:rsid w:val="00F15FE7"/>
    <w:pPr>
      <w:spacing w:before="240"/>
    </w:pPr>
    <w:rPr>
      <w:rFonts w:ascii="Times New Roman" w:hAnsi="Times New Roman"/>
      <w:smallCaps/>
      <w:spacing w:val="80"/>
      <w:sz w:val="28"/>
    </w:rPr>
  </w:style>
  <w:style w:type="paragraph" w:customStyle="1" w:styleId="InChapter">
    <w:name w:val="InChapter"/>
    <w:basedOn w:val="Heading3"/>
    <w:rsid w:val="00F15FE7"/>
    <w:pPr>
      <w:spacing w:after="240"/>
      <w:outlineLvl w:val="9"/>
    </w:pPr>
    <w:rPr>
      <w:noProof/>
    </w:rPr>
  </w:style>
  <w:style w:type="paragraph" w:styleId="Index2">
    <w:name w:val="index 2"/>
    <w:basedOn w:val="Normal"/>
    <w:next w:val="Normal"/>
    <w:semiHidden/>
    <w:rsid w:val="00F15FE7"/>
    <w:pPr>
      <w:tabs>
        <w:tab w:val="right" w:pos="4176"/>
      </w:tabs>
      <w:ind w:left="568" w:hanging="284"/>
    </w:pPr>
    <w:rPr>
      <w:rFonts w:ascii="Garamond" w:hAnsi="Garamond"/>
    </w:rPr>
  </w:style>
  <w:style w:type="paragraph" w:customStyle="1" w:styleId="Byline">
    <w:name w:val="Byline"/>
    <w:rsid w:val="00F15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FE7"/>
    <w:pPr>
      <w:tabs>
        <w:tab w:val="clear" w:pos="3600"/>
        <w:tab w:val="clear" w:pos="3958"/>
      </w:tabs>
      <w:jc w:val="right"/>
    </w:pPr>
  </w:style>
  <w:style w:type="character" w:styleId="Emphasis">
    <w:name w:val="Emphasis"/>
    <w:basedOn w:val="DefaultParagraphFont"/>
    <w:qFormat/>
    <w:rsid w:val="00F15FE7"/>
    <w:rPr>
      <w:i/>
    </w:rPr>
  </w:style>
  <w:style w:type="paragraph" w:styleId="Caption">
    <w:name w:val="caption"/>
    <w:basedOn w:val="BodyText"/>
    <w:next w:val="Normal"/>
    <w:qFormat/>
    <w:rsid w:val="00F15FE7"/>
    <w:pPr>
      <w:framePr w:w="2268" w:hSpace="181" w:vSpace="181" w:wrap="around" w:vAnchor="text" w:hAnchor="page" w:x="1135" w:y="285" w:anchorLock="1"/>
    </w:pPr>
    <w:rPr>
      <w:i/>
    </w:rPr>
  </w:style>
  <w:style w:type="paragraph" w:customStyle="1" w:styleId="MiniTOCTitle">
    <w:name w:val="MiniTOCTitle"/>
    <w:basedOn w:val="Heading4"/>
    <w:rsid w:val="00F15FE7"/>
    <w:pPr>
      <w:spacing w:before="240"/>
      <w:outlineLvl w:val="9"/>
    </w:pPr>
    <w:rPr>
      <w:noProof/>
      <w:sz w:val="24"/>
    </w:rPr>
  </w:style>
  <w:style w:type="paragraph" w:customStyle="1" w:styleId="MiniTOCItem">
    <w:name w:val="MiniTOCItem"/>
    <w:basedOn w:val="ListBullet"/>
    <w:rsid w:val="00F15FE7"/>
    <w:pPr>
      <w:numPr>
        <w:numId w:val="0"/>
      </w:numPr>
      <w:tabs>
        <w:tab w:val="right" w:leader="dot" w:pos="6521"/>
      </w:tabs>
      <w:spacing w:before="0" w:after="0"/>
    </w:pPr>
  </w:style>
  <w:style w:type="paragraph" w:customStyle="1" w:styleId="TOFTitle">
    <w:name w:val="TOFTitle"/>
    <w:basedOn w:val="TOCTitle"/>
    <w:rsid w:val="00F15FE7"/>
  </w:style>
  <w:style w:type="paragraph" w:styleId="TableofFigures">
    <w:name w:val="table of figures"/>
    <w:basedOn w:val="Normal"/>
    <w:next w:val="Normal"/>
    <w:semiHidden/>
    <w:rsid w:val="00F15FE7"/>
    <w:pPr>
      <w:tabs>
        <w:tab w:val="right" w:leader="dot" w:pos="9072"/>
      </w:tabs>
      <w:ind w:left="970" w:hanging="403"/>
    </w:pPr>
    <w:rPr>
      <w:rFonts w:ascii="Times New Roman" w:hAnsi="Times New Roman"/>
      <w:b/>
    </w:rPr>
  </w:style>
  <w:style w:type="paragraph" w:styleId="ListNumber">
    <w:name w:val="List Number"/>
    <w:basedOn w:val="List"/>
    <w:rsid w:val="00F15FE7"/>
    <w:pPr>
      <w:numPr>
        <w:numId w:val="9"/>
      </w:numPr>
    </w:pPr>
  </w:style>
  <w:style w:type="character" w:customStyle="1" w:styleId="WingdingSymbols">
    <w:name w:val="Wingding Symbols"/>
    <w:rsid w:val="00F15FE7"/>
    <w:rPr>
      <w:rFonts w:ascii="Wingdings" w:hAnsi="Wingdings"/>
    </w:rPr>
  </w:style>
  <w:style w:type="paragraph" w:customStyle="1" w:styleId="TableHeading">
    <w:name w:val="Table Heading"/>
    <w:basedOn w:val="HeadingBase"/>
    <w:rsid w:val="00F15FE7"/>
    <w:pPr>
      <w:keepLines/>
      <w:pBdr>
        <w:bottom w:val="single" w:sz="6" w:space="1" w:color="918585"/>
      </w:pBdr>
      <w:spacing w:before="240"/>
    </w:pPr>
  </w:style>
  <w:style w:type="character" w:customStyle="1" w:styleId="HotSpot">
    <w:name w:val="HotSpot"/>
    <w:rsid w:val="00F15FE7"/>
    <w:rPr>
      <w:color w:val="0033CC"/>
      <w:u w:val="none"/>
    </w:rPr>
  </w:style>
  <w:style w:type="paragraph" w:customStyle="1" w:styleId="BodyTextRight">
    <w:name w:val="Body Text Right"/>
    <w:basedOn w:val="BodyText"/>
    <w:rsid w:val="00F15FE7"/>
    <w:pPr>
      <w:spacing w:before="0" w:after="0"/>
      <w:jc w:val="right"/>
    </w:pPr>
  </w:style>
  <w:style w:type="paragraph" w:styleId="Index3">
    <w:name w:val="index 3"/>
    <w:basedOn w:val="ListNumber2"/>
    <w:next w:val="Normal"/>
    <w:semiHidden/>
    <w:rsid w:val="00F15FE7"/>
    <w:pPr>
      <w:numPr>
        <w:numId w:val="0"/>
      </w:numPr>
      <w:tabs>
        <w:tab w:val="right" w:leader="dot" w:pos="4176"/>
      </w:tabs>
    </w:pPr>
  </w:style>
  <w:style w:type="paragraph" w:styleId="ListNumber2">
    <w:name w:val="List Number 2"/>
    <w:basedOn w:val="List2"/>
    <w:rsid w:val="00F15FE7"/>
    <w:pPr>
      <w:numPr>
        <w:numId w:val="8"/>
      </w:numPr>
      <w:tabs>
        <w:tab w:val="clear" w:pos="1060"/>
      </w:tabs>
    </w:pPr>
  </w:style>
  <w:style w:type="paragraph" w:customStyle="1" w:styleId="MarginNote">
    <w:name w:val="Margin Note"/>
    <w:basedOn w:val="BodyText"/>
    <w:rsid w:val="00F15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F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5FE7"/>
    <w:rPr>
      <w:sz w:val="32"/>
    </w:rPr>
  </w:style>
  <w:style w:type="paragraph" w:customStyle="1" w:styleId="HeadingProcedure">
    <w:name w:val="Heading Procedure"/>
    <w:basedOn w:val="HeadingBase"/>
    <w:next w:val="Normal"/>
    <w:rsid w:val="00F15FE7"/>
    <w:pPr>
      <w:tabs>
        <w:tab w:val="left" w:pos="0"/>
      </w:tabs>
      <w:spacing w:before="120" w:after="60"/>
    </w:pPr>
    <w:rPr>
      <w:i/>
      <w:color w:val="918585"/>
      <w:sz w:val="22"/>
    </w:rPr>
  </w:style>
  <w:style w:type="paragraph" w:customStyle="1" w:styleId="TableBodyText">
    <w:name w:val="Table Body Text"/>
    <w:basedOn w:val="BodyText"/>
    <w:rsid w:val="00F15FE7"/>
    <w:pPr>
      <w:spacing w:before="60" w:after="60"/>
    </w:pPr>
  </w:style>
  <w:style w:type="paragraph" w:styleId="ListContinue">
    <w:name w:val="List Continue"/>
    <w:basedOn w:val="List"/>
    <w:rsid w:val="00F15FE7"/>
    <w:pPr>
      <w:ind w:firstLine="0"/>
    </w:pPr>
  </w:style>
  <w:style w:type="paragraph" w:customStyle="1" w:styleId="ListNote">
    <w:name w:val="List Note"/>
    <w:basedOn w:val="List"/>
    <w:rsid w:val="00F15FE7"/>
    <w:pPr>
      <w:pBdr>
        <w:top w:val="single" w:sz="6" w:space="2" w:color="918585"/>
        <w:bottom w:val="single" w:sz="6" w:space="2" w:color="918585"/>
      </w:pBdr>
      <w:tabs>
        <w:tab w:val="left" w:pos="1021"/>
      </w:tabs>
      <w:ind w:firstLine="0"/>
    </w:pPr>
  </w:style>
  <w:style w:type="paragraph" w:customStyle="1" w:styleId="Warning">
    <w:name w:val="Warning"/>
    <w:basedOn w:val="BodyText"/>
    <w:rsid w:val="00F15FE7"/>
    <w:pPr>
      <w:shd w:val="clear" w:color="auto" w:fill="D9D9D9"/>
      <w:tabs>
        <w:tab w:val="left" w:pos="992"/>
      </w:tabs>
      <w:ind w:left="119" w:right="119"/>
    </w:pPr>
    <w:rPr>
      <w:sz w:val="20"/>
    </w:rPr>
  </w:style>
  <w:style w:type="paragraph" w:customStyle="1" w:styleId="MarginIcons">
    <w:name w:val="Margin Icons"/>
    <w:basedOn w:val="BodyText"/>
    <w:rsid w:val="00F15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FE7"/>
    <w:rPr>
      <w:rFonts w:ascii="Courier New" w:hAnsi="Courier New"/>
    </w:rPr>
  </w:style>
  <w:style w:type="paragraph" w:customStyle="1" w:styleId="NoteBullet">
    <w:name w:val="Note Bullet"/>
    <w:basedOn w:val="Note"/>
    <w:rsid w:val="00F15FE7"/>
    <w:pPr>
      <w:tabs>
        <w:tab w:val="clear" w:pos="680"/>
      </w:tabs>
      <w:spacing w:before="60" w:after="60"/>
    </w:pPr>
  </w:style>
  <w:style w:type="paragraph" w:customStyle="1" w:styleId="SubHeading2">
    <w:name w:val="SubHeading2"/>
    <w:basedOn w:val="HeadingBase"/>
    <w:rsid w:val="00F15FE7"/>
    <w:pPr>
      <w:spacing w:before="240" w:after="60"/>
    </w:pPr>
    <w:rPr>
      <w:sz w:val="20"/>
    </w:rPr>
  </w:style>
  <w:style w:type="paragraph" w:customStyle="1" w:styleId="SubHeading1">
    <w:name w:val="SubHeading1"/>
    <w:basedOn w:val="HeadingBase"/>
    <w:rsid w:val="00F15FE7"/>
    <w:pPr>
      <w:spacing w:before="240" w:after="60"/>
    </w:pPr>
    <w:rPr>
      <w:color w:val="918585"/>
      <w:sz w:val="22"/>
    </w:rPr>
  </w:style>
  <w:style w:type="paragraph" w:customStyle="1" w:styleId="SideHeading">
    <w:name w:val="Side Heading"/>
    <w:basedOn w:val="HeadingBase"/>
    <w:rsid w:val="00F15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FE7"/>
    <w:pPr>
      <w:numPr>
        <w:numId w:val="10"/>
      </w:numPr>
    </w:pPr>
  </w:style>
  <w:style w:type="paragraph" w:styleId="PlainText">
    <w:name w:val="Plain Text"/>
    <w:basedOn w:val="Normal"/>
    <w:link w:val="PlainTextChar"/>
    <w:rsid w:val="00F15FE7"/>
    <w:rPr>
      <w:sz w:val="20"/>
    </w:rPr>
  </w:style>
  <w:style w:type="character" w:customStyle="1" w:styleId="PlainTextChar">
    <w:name w:val="Plain Text Char"/>
    <w:basedOn w:val="DefaultParagraphFont"/>
    <w:link w:val="PlainText"/>
    <w:rsid w:val="00F15F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5FE7"/>
    <w:rPr>
      <w:b/>
      <w:smallCaps/>
    </w:rPr>
  </w:style>
  <w:style w:type="paragraph" w:customStyle="1" w:styleId="TableListNumber">
    <w:name w:val="Table List Number"/>
    <w:basedOn w:val="ListNumber"/>
    <w:rsid w:val="00F15FE7"/>
    <w:pPr>
      <w:numPr>
        <w:numId w:val="0"/>
      </w:numPr>
    </w:pPr>
  </w:style>
  <w:style w:type="paragraph" w:styleId="TOC4">
    <w:name w:val="toc 4"/>
    <w:basedOn w:val="TOCBase"/>
    <w:next w:val="Normal"/>
    <w:semiHidden/>
    <w:rsid w:val="00F15FE7"/>
    <w:pPr>
      <w:tabs>
        <w:tab w:val="right" w:leader="dot" w:pos="9071"/>
      </w:tabs>
      <w:ind w:left="1701"/>
    </w:pPr>
  </w:style>
  <w:style w:type="paragraph" w:customStyle="1" w:styleId="ListAlpha">
    <w:name w:val="List Alpha"/>
    <w:basedOn w:val="List"/>
    <w:rsid w:val="00F15FE7"/>
    <w:pPr>
      <w:numPr>
        <w:numId w:val="7"/>
      </w:numPr>
    </w:pPr>
  </w:style>
  <w:style w:type="paragraph" w:customStyle="1" w:styleId="ListAlpha2">
    <w:name w:val="List Alpha 2"/>
    <w:basedOn w:val="List2"/>
    <w:rsid w:val="00F15FE7"/>
    <w:pPr>
      <w:numPr>
        <w:numId w:val="6"/>
      </w:numPr>
    </w:pPr>
  </w:style>
  <w:style w:type="paragraph" w:styleId="List2">
    <w:name w:val="List 2"/>
    <w:basedOn w:val="BodyText"/>
    <w:rsid w:val="00F15FE7"/>
    <w:pPr>
      <w:tabs>
        <w:tab w:val="left" w:pos="680"/>
      </w:tabs>
      <w:spacing w:before="60" w:after="60"/>
      <w:ind w:left="680" w:hanging="340"/>
    </w:pPr>
  </w:style>
  <w:style w:type="paragraph" w:styleId="List3">
    <w:name w:val="List 3"/>
    <w:basedOn w:val="BodyText"/>
    <w:rsid w:val="00F15FE7"/>
    <w:pPr>
      <w:tabs>
        <w:tab w:val="left" w:pos="1021"/>
      </w:tabs>
      <w:spacing w:before="60" w:after="60"/>
      <w:ind w:left="1020" w:hanging="340"/>
    </w:pPr>
  </w:style>
  <w:style w:type="paragraph" w:styleId="List4">
    <w:name w:val="List 4"/>
    <w:basedOn w:val="BodyText"/>
    <w:rsid w:val="00F15FE7"/>
    <w:pPr>
      <w:tabs>
        <w:tab w:val="left" w:pos="1361"/>
      </w:tabs>
      <w:spacing w:before="60" w:after="60"/>
      <w:ind w:left="1361" w:hanging="340"/>
    </w:pPr>
  </w:style>
  <w:style w:type="paragraph" w:styleId="List5">
    <w:name w:val="List 5"/>
    <w:basedOn w:val="BodyText"/>
    <w:rsid w:val="00F15FE7"/>
    <w:pPr>
      <w:tabs>
        <w:tab w:val="left" w:pos="1701"/>
      </w:tabs>
      <w:spacing w:before="60" w:after="60"/>
      <w:ind w:left="1701" w:hanging="340"/>
    </w:pPr>
  </w:style>
  <w:style w:type="paragraph" w:styleId="ListBullet3">
    <w:name w:val="List Bullet 3"/>
    <w:basedOn w:val="List3"/>
    <w:rsid w:val="00F15FE7"/>
    <w:pPr>
      <w:numPr>
        <w:numId w:val="13"/>
      </w:numPr>
      <w:tabs>
        <w:tab w:val="clear" w:pos="1021"/>
      </w:tabs>
      <w:ind w:left="1037" w:hanging="357"/>
    </w:pPr>
  </w:style>
  <w:style w:type="paragraph" w:styleId="ListBullet4">
    <w:name w:val="List Bullet 4"/>
    <w:basedOn w:val="List4"/>
    <w:rsid w:val="00F15FE7"/>
    <w:pPr>
      <w:numPr>
        <w:numId w:val="1"/>
      </w:numPr>
    </w:pPr>
  </w:style>
  <w:style w:type="paragraph" w:styleId="ListBullet5">
    <w:name w:val="List Bullet 5"/>
    <w:basedOn w:val="List5"/>
    <w:rsid w:val="00F15FE7"/>
    <w:pPr>
      <w:numPr>
        <w:numId w:val="2"/>
      </w:numPr>
    </w:pPr>
  </w:style>
  <w:style w:type="paragraph" w:styleId="ListContinue2">
    <w:name w:val="List Continue 2"/>
    <w:basedOn w:val="List2"/>
    <w:rsid w:val="00F15FE7"/>
    <w:pPr>
      <w:ind w:firstLine="0"/>
    </w:pPr>
  </w:style>
  <w:style w:type="paragraph" w:styleId="ListContinue3">
    <w:name w:val="List Continue 3"/>
    <w:basedOn w:val="List3"/>
    <w:rsid w:val="00F15FE7"/>
    <w:pPr>
      <w:ind w:left="1021" w:firstLine="0"/>
    </w:pPr>
  </w:style>
  <w:style w:type="paragraph" w:styleId="ListContinue4">
    <w:name w:val="List Continue 4"/>
    <w:basedOn w:val="List4"/>
    <w:rsid w:val="00F15FE7"/>
    <w:pPr>
      <w:ind w:firstLine="0"/>
    </w:pPr>
  </w:style>
  <w:style w:type="paragraph" w:styleId="ListContinue5">
    <w:name w:val="List Continue 5"/>
    <w:basedOn w:val="List5"/>
    <w:rsid w:val="00F15FE7"/>
    <w:pPr>
      <w:ind w:firstLine="0"/>
    </w:pPr>
  </w:style>
  <w:style w:type="paragraph" w:styleId="ListNumber3">
    <w:name w:val="List Number 3"/>
    <w:basedOn w:val="List3"/>
    <w:rsid w:val="00F15FE7"/>
    <w:pPr>
      <w:numPr>
        <w:numId w:val="3"/>
      </w:numPr>
    </w:pPr>
  </w:style>
  <w:style w:type="paragraph" w:styleId="ListNumber4">
    <w:name w:val="List Number 4"/>
    <w:basedOn w:val="List4"/>
    <w:rsid w:val="00F15FE7"/>
    <w:pPr>
      <w:numPr>
        <w:numId w:val="4"/>
      </w:numPr>
    </w:pPr>
  </w:style>
  <w:style w:type="paragraph" w:styleId="ListNumber5">
    <w:name w:val="List Number 5"/>
    <w:basedOn w:val="List5"/>
    <w:rsid w:val="00F15FE7"/>
    <w:pPr>
      <w:numPr>
        <w:numId w:val="5"/>
      </w:numPr>
    </w:pPr>
  </w:style>
  <w:style w:type="paragraph" w:styleId="BlockText">
    <w:name w:val="Block Text"/>
    <w:basedOn w:val="Normal"/>
    <w:rsid w:val="00F15FE7"/>
    <w:pPr>
      <w:spacing w:after="120"/>
      <w:ind w:left="1440" w:right="1440"/>
    </w:pPr>
  </w:style>
  <w:style w:type="character" w:customStyle="1" w:styleId="Subscript">
    <w:name w:val="Subscript"/>
    <w:basedOn w:val="DefaultParagraphFont"/>
    <w:rsid w:val="00F15FE7"/>
    <w:rPr>
      <w:sz w:val="16"/>
      <w:vertAlign w:val="subscript"/>
    </w:rPr>
  </w:style>
  <w:style w:type="character" w:customStyle="1" w:styleId="Superscript">
    <w:name w:val="Superscript"/>
    <w:basedOn w:val="DefaultParagraphFont"/>
    <w:rsid w:val="00F15FE7"/>
    <w:rPr>
      <w:sz w:val="16"/>
      <w:vertAlign w:val="superscript"/>
    </w:rPr>
  </w:style>
  <w:style w:type="character" w:customStyle="1" w:styleId="Symbols">
    <w:name w:val="Symbols"/>
    <w:basedOn w:val="DefaultParagraphFont"/>
    <w:rsid w:val="00F15FE7"/>
    <w:rPr>
      <w:rFonts w:ascii="Symbol" w:hAnsi="Symbol"/>
    </w:rPr>
  </w:style>
  <w:style w:type="character" w:customStyle="1" w:styleId="MenuOptions">
    <w:name w:val="Menu Options"/>
    <w:basedOn w:val="DefaultParagraphFont"/>
    <w:rsid w:val="00F15FE7"/>
    <w:rPr>
      <w:rFonts w:ascii="Arial Narrow" w:hAnsi="Arial Narrow"/>
      <w:smallCaps/>
    </w:rPr>
  </w:style>
  <w:style w:type="character" w:customStyle="1" w:styleId="Buttons">
    <w:name w:val="Buttons"/>
    <w:basedOn w:val="DefaultParagraphFont"/>
    <w:rsid w:val="00F15FE7"/>
    <w:rPr>
      <w:b/>
    </w:rPr>
  </w:style>
  <w:style w:type="character" w:customStyle="1" w:styleId="Underlined">
    <w:name w:val="Underlined"/>
    <w:basedOn w:val="DefaultParagraphFont"/>
    <w:rsid w:val="00F15FE7"/>
    <w:rPr>
      <w:u w:val="single"/>
    </w:rPr>
  </w:style>
  <w:style w:type="paragraph" w:customStyle="1" w:styleId="TableBodyTextRight">
    <w:name w:val="Table Body Text Right"/>
    <w:basedOn w:val="TableBodyText"/>
    <w:rsid w:val="00F15FE7"/>
    <w:pPr>
      <w:widowControl w:val="0"/>
      <w:autoSpaceDE w:val="0"/>
      <w:autoSpaceDN w:val="0"/>
      <w:adjustRightInd w:val="0"/>
      <w:jc w:val="right"/>
    </w:pPr>
    <w:rPr>
      <w:rFonts w:cs="Arial"/>
      <w:szCs w:val="18"/>
    </w:rPr>
  </w:style>
  <w:style w:type="paragraph" w:customStyle="1" w:styleId="CopyrightText">
    <w:name w:val="Copyright Text"/>
    <w:basedOn w:val="BodyText"/>
    <w:rsid w:val="00F15FE7"/>
    <w:rPr>
      <w:sz w:val="18"/>
    </w:rPr>
  </w:style>
  <w:style w:type="paragraph" w:customStyle="1" w:styleId="BodySmallRight">
    <w:name w:val="Body Small Right"/>
    <w:basedOn w:val="BodyTextRight"/>
    <w:rsid w:val="00F15FE7"/>
    <w:rPr>
      <w:sz w:val="18"/>
      <w:szCs w:val="18"/>
    </w:rPr>
  </w:style>
  <w:style w:type="paragraph" w:customStyle="1" w:styleId="MarginEdition">
    <w:name w:val="Margin Edition"/>
    <w:basedOn w:val="MarginNote"/>
    <w:rsid w:val="00F15FE7"/>
    <w:pPr>
      <w:spacing w:before="0" w:after="0"/>
    </w:pPr>
    <w:rPr>
      <w:rFonts w:ascii="Times New Roman" w:hAnsi="Times New Roman"/>
      <w:color w:val="999999"/>
    </w:rPr>
  </w:style>
  <w:style w:type="paragraph" w:customStyle="1" w:styleId="Spacer">
    <w:name w:val="Spacer"/>
    <w:basedOn w:val="Normal"/>
    <w:rsid w:val="00F15FE7"/>
    <w:rPr>
      <w:sz w:val="2"/>
      <w:szCs w:val="2"/>
    </w:rPr>
  </w:style>
  <w:style w:type="character" w:customStyle="1" w:styleId="Small">
    <w:name w:val="Small"/>
    <w:basedOn w:val="DefaultParagraphFont"/>
    <w:rsid w:val="00F15FE7"/>
    <w:rPr>
      <w:sz w:val="16"/>
    </w:rPr>
  </w:style>
  <w:style w:type="paragraph" w:customStyle="1" w:styleId="WideTable">
    <w:name w:val="Wide Table"/>
    <w:basedOn w:val="Normal"/>
    <w:rsid w:val="00F15FE7"/>
    <w:pPr>
      <w:ind w:left="-1418"/>
    </w:pPr>
    <w:rPr>
      <w:sz w:val="2"/>
      <w:szCs w:val="2"/>
    </w:rPr>
  </w:style>
  <w:style w:type="character" w:styleId="PageNumber">
    <w:name w:val="page number"/>
    <w:basedOn w:val="DefaultParagraphFont"/>
    <w:rsid w:val="00F15FE7"/>
  </w:style>
  <w:style w:type="paragraph" w:styleId="Quote">
    <w:name w:val="Quote"/>
    <w:basedOn w:val="Heading1"/>
    <w:link w:val="QuoteChar"/>
    <w:qFormat/>
    <w:rsid w:val="00F15FE7"/>
    <w:rPr>
      <w:b w:val="0"/>
      <w:sz w:val="72"/>
      <w:szCs w:val="72"/>
      <w:lang w:val="en-NZ"/>
    </w:rPr>
  </w:style>
  <w:style w:type="character" w:customStyle="1" w:styleId="QuoteChar">
    <w:name w:val="Quote Char"/>
    <w:basedOn w:val="DefaultParagraphFont"/>
    <w:link w:val="Quote"/>
    <w:rsid w:val="00F15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FE7"/>
    <w:pPr>
      <w:pageBreakBefore/>
    </w:pPr>
  </w:style>
  <w:style w:type="paragraph" w:customStyle="1" w:styleId="Border">
    <w:name w:val="Border"/>
    <w:basedOn w:val="Normal"/>
    <w:qFormat/>
    <w:rsid w:val="00F15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FE7"/>
    <w:rPr>
      <w:b/>
      <w:bCs/>
      <w:i/>
      <w:iCs/>
      <w:color w:val="auto"/>
    </w:rPr>
  </w:style>
  <w:style w:type="paragraph" w:styleId="IntenseQuote">
    <w:name w:val="Intense Quote"/>
    <w:basedOn w:val="Normal"/>
    <w:next w:val="Normal"/>
    <w:link w:val="IntenseQuoteChar"/>
    <w:uiPriority w:val="30"/>
    <w:qFormat/>
    <w:rsid w:val="00F15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F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5FE7"/>
    <w:rPr>
      <w:smallCaps/>
      <w:color w:val="auto"/>
      <w:u w:val="single"/>
    </w:rPr>
  </w:style>
  <w:style w:type="character" w:styleId="IntenseReference">
    <w:name w:val="Intense Reference"/>
    <w:basedOn w:val="DefaultParagraphFont"/>
    <w:uiPriority w:val="32"/>
    <w:qFormat/>
    <w:rsid w:val="00F15FE7"/>
    <w:rPr>
      <w:b/>
      <w:bCs/>
      <w:smallCaps/>
      <w:color w:val="auto"/>
      <w:spacing w:val="5"/>
      <w:u w:val="single"/>
    </w:rPr>
  </w:style>
  <w:style w:type="paragraph" w:customStyle="1" w:styleId="2ColumnHeading">
    <w:name w:val="2Column Heading"/>
    <w:basedOn w:val="BodyText"/>
    <w:qFormat/>
    <w:rsid w:val="00F15FE7"/>
    <w:pPr>
      <w:spacing w:after="60"/>
      <w:ind w:left="-2268"/>
    </w:pPr>
    <w:rPr>
      <w:b/>
    </w:rPr>
  </w:style>
  <w:style w:type="paragraph" w:customStyle="1" w:styleId="Heading1TOC">
    <w:name w:val="Heading1 TOC"/>
    <w:basedOn w:val="Normal"/>
    <w:qFormat/>
    <w:rsid w:val="00F15FE7"/>
    <w:pPr>
      <w:spacing w:before="240" w:after="120"/>
    </w:pPr>
    <w:rPr>
      <w:rFonts w:ascii="Times New Roman" w:hAnsi="Times New Roman"/>
      <w:b/>
      <w:sz w:val="32"/>
    </w:rPr>
  </w:style>
  <w:style w:type="paragraph" w:customStyle="1" w:styleId="Heading2TOC">
    <w:name w:val="Heading2 TOC"/>
    <w:basedOn w:val="Normal"/>
    <w:qFormat/>
    <w:rsid w:val="00F15FE7"/>
    <w:pPr>
      <w:spacing w:before="240" w:after="60"/>
    </w:pPr>
    <w:rPr>
      <w:rFonts w:ascii="Times New Roman" w:hAnsi="Times New Roman"/>
      <w:b/>
      <w:sz w:val="28"/>
    </w:rPr>
  </w:style>
  <w:style w:type="character" w:customStyle="1" w:styleId="Underline">
    <w:name w:val="Underline"/>
    <w:basedOn w:val="DefaultParagraphFont"/>
    <w:qFormat/>
    <w:rsid w:val="00F15FE7"/>
    <w:rPr>
      <w:u w:val="single"/>
    </w:rPr>
  </w:style>
  <w:style w:type="character" w:customStyle="1" w:styleId="BoldandItalics">
    <w:name w:val="Bold and Italics"/>
    <w:qFormat/>
    <w:rsid w:val="00F15FE7"/>
    <w:rPr>
      <w:b/>
      <w:i/>
      <w:u w:val="none"/>
    </w:rPr>
  </w:style>
  <w:style w:type="paragraph" w:styleId="BalloonText">
    <w:name w:val="Balloon Text"/>
    <w:basedOn w:val="Normal"/>
    <w:link w:val="BalloonTextChar"/>
    <w:rsid w:val="00F15FE7"/>
    <w:rPr>
      <w:rFonts w:ascii="Tahoma" w:hAnsi="Tahoma" w:cs="Tahoma"/>
      <w:sz w:val="16"/>
      <w:szCs w:val="16"/>
    </w:rPr>
  </w:style>
  <w:style w:type="character" w:customStyle="1" w:styleId="BalloonTextChar">
    <w:name w:val="Balloon Text Char"/>
    <w:basedOn w:val="DefaultParagraphFont"/>
    <w:link w:val="BalloonText"/>
    <w:rsid w:val="00F15F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5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5F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1717</Words>
  <Characters>10732</Characters>
  <Application>Microsoft Office Word</Application>
  <DocSecurity>0</DocSecurity>
  <Lines>345</Lines>
  <Paragraphs>209</Paragraphs>
  <ScaleCrop>false</ScaleCrop>
  <Company>Author-it Software Corporation Ltd.</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PMLTEST307B Prepare trial batches for evaluation</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2012-05-26T08:09:00Z</dcterms:created>
  <dcterms:modified xsi:type="dcterms:W3CDTF">2012-05-26T08:09:00Z</dcterms:modified>
</cp:coreProperties>
</file>