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B07" w:rsidP="00B06B07">
      <w:pPr>
        <w:pStyle w:val="Title"/>
      </w:pPr>
      <w:r>
        <w:fldChar w:fldCharType="begin"/>
      </w:r>
      <w:r>
        <w:instrText xml:space="preserve"> TITLE   \* MERGEFORMAT </w:instrText>
      </w:r>
      <w:r>
        <w:fldChar w:fldCharType="separate"/>
      </w:r>
      <w:r>
        <w:t>PMLTEST303B Prepare working solutions</w:t>
      </w:r>
      <w:r>
        <w:fldChar w:fldCharType="end"/>
      </w:r>
    </w:p>
    <w:p w:rsidR="00B06B07" w:rsidP="00B06B07">
      <w:pPr>
        <w:pStyle w:val="Version"/>
        <w:sectPr w:rsidSect="00B75D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D2A" w:rsidP="00B75D2A">
      <w:pPr>
        <w:pStyle w:val="SuperHeading"/>
      </w:pPr>
      <w:r w:rsidRPr="00B75D2A">
        <w:t>PMLTEST303B Prepare working solutions</w:t>
      </w:r>
    </w:p>
    <w:p w:rsidR="00000000" w:rsidRPr="00B75D2A" w:rsidP="00B75D2A">
      <w:pPr>
        <w:pStyle w:val="Heading1"/>
      </w:pPr>
      <w:bookmarkStart w:id="1" w:name="O_312186"/>
      <w:bookmarkEnd w:id="1"/>
      <w:r w:rsidRPr="00B75D2A">
        <w:t>Modification History</w:t>
      </w:r>
    </w:p>
    <w:p w:rsidR="00000000" w:rsidRPr="00B75D2A" w:rsidP="00B75D2A">
      <w:pPr>
        <w:pStyle w:val="Heading1"/>
      </w:pPr>
      <w:bookmarkStart w:id="2" w:name="O_312185"/>
      <w:bookmarkEnd w:id="2"/>
      <w:r w:rsidRPr="00B75D2A">
        <w:t>Unit Descriptor</w:t>
      </w:r>
    </w:p>
    <w:p w:rsidR="00000000" w:rsidRPr="00B75D2A" w:rsidP="00B75D2A">
      <w:pPr>
        <w:pStyle w:val="BodyText"/>
      </w:pPr>
      <w:r w:rsidRPr="00B75D2A">
        <w:t xml:space="preserve">This unit of competency covers the ability to prepare working solutions and to check that existing stocks are suitable for use. This </w:t>
      </w:r>
      <w:r w:rsidRPr="00B75D2A">
        <w:t>unit assumes that calculations of quantities, choice of reagent grades and required dilutions will be specified by the supervisor.</w:t>
      </w:r>
    </w:p>
    <w:p w:rsidR="00000000" w:rsidRPr="00B75D2A" w:rsidP="00B75D2A">
      <w:pPr>
        <w:pStyle w:val="BodyText"/>
      </w:pPr>
      <w:r w:rsidRPr="00B75D2A">
        <w:t>This unit of competency has no prerequisites.</w:t>
      </w:r>
    </w:p>
    <w:p w:rsidR="00000000" w:rsidRPr="00B75D2A" w:rsidP="00B75D2A">
      <w:pPr>
        <w:pStyle w:val="BodyText"/>
      </w:pPr>
      <w:r w:rsidRPr="00B75D2A">
        <w:t>This unit of competency is applicable to laboratory assistants working in all i</w:t>
      </w:r>
      <w:r w:rsidRPr="00B75D2A">
        <w:t>ndustry sectors.</w:t>
      </w:r>
    </w:p>
    <w:p w:rsidR="00000000" w:rsidRPr="00B75D2A" w:rsidP="00B75D2A">
      <w:pPr>
        <w:pStyle w:val="BodyText"/>
      </w:pPr>
      <w:r w:rsidRPr="00B75D2A">
        <w:t>Industry representatives have provided case studies to illustrate the practical application of this unit of competency and to show its relevance in a workplace setting. These are found at the end of this unit of competency under the sectio</w:t>
      </w:r>
      <w:r w:rsidRPr="00B75D2A">
        <w:t>n This competency in practice.</w:t>
      </w:r>
    </w:p>
    <w:p w:rsidR="00000000" w:rsidRPr="00B75D2A" w:rsidP="00B75D2A">
      <w:pPr>
        <w:pStyle w:val="AllowPageBreak"/>
      </w:pPr>
    </w:p>
    <w:p w:rsidR="00000000" w:rsidRPr="00B75D2A" w:rsidP="00B75D2A">
      <w:pPr>
        <w:pStyle w:val="Heading1"/>
      </w:pPr>
      <w:bookmarkStart w:id="3" w:name="O_312184"/>
      <w:bookmarkEnd w:id="3"/>
      <w:r w:rsidRPr="00B75D2A">
        <w:t>Application of the Unit</w:t>
      </w:r>
    </w:p>
    <w:p w:rsidR="00000000" w:rsidRPr="00B75D2A" w:rsidP="00B75D2A">
      <w:pPr>
        <w:pStyle w:val="Heading1"/>
      </w:pPr>
      <w:bookmarkStart w:id="4" w:name="O_312183"/>
      <w:bookmarkEnd w:id="4"/>
      <w:r w:rsidRPr="00B75D2A">
        <w:t>Licensing/Regulatory Information</w:t>
      </w:r>
    </w:p>
    <w:p w:rsidR="00000000" w:rsidRPr="00B75D2A" w:rsidP="00B75D2A">
      <w:pPr>
        <w:pStyle w:val="Heading1"/>
      </w:pPr>
      <w:bookmarkStart w:id="5" w:name="O_312182"/>
      <w:bookmarkEnd w:id="5"/>
      <w:r w:rsidRPr="00B75D2A">
        <w:t>Pre-Requisites</w:t>
      </w:r>
    </w:p>
    <w:p w:rsidR="00000000" w:rsidRPr="00B75D2A" w:rsidP="00B75D2A">
      <w:pPr>
        <w:pStyle w:val="Heading1"/>
      </w:pPr>
      <w:bookmarkStart w:id="6" w:name="O_312176"/>
      <w:bookmarkEnd w:id="6"/>
      <w:r w:rsidRPr="00B75D2A">
        <w:t>Employability Skills Information</w:t>
      </w:r>
    </w:p>
    <w:p w:rsidR="00000000" w:rsidRPr="00B75D2A" w:rsidP="00B75D2A">
      <w:pPr>
        <w:pStyle w:val="Heading1"/>
      </w:pPr>
      <w:bookmarkStart w:id="7" w:name="O_312180"/>
      <w:bookmarkEnd w:id="7"/>
      <w:r w:rsidRPr="00B75D2A">
        <w:t>Elements and Performance Criteria Pre-Content</w:t>
      </w:r>
    </w:p>
    <w:p w:rsidR="00000000" w:rsidRPr="00B75D2A" w:rsidP="00B75D2A">
      <w:pPr>
        <w:pStyle w:val="BodyText"/>
      </w:pPr>
      <w:r w:rsidRPr="00B75D2A">
        <w:t>Elements describe the essential outcomes of a unit of competency.</w:t>
      </w:r>
    </w:p>
    <w:p w:rsidR="00000000" w:rsidRPr="00B75D2A" w:rsidP="00B75D2A">
      <w:pPr>
        <w:pStyle w:val="BodyText"/>
      </w:pPr>
      <w:r w:rsidRPr="00B75D2A">
        <w:t>Performance Criteria describe the level of performance required to demonstrate achievement of the element.</w:t>
      </w:r>
    </w:p>
    <w:p w:rsidR="00000000" w:rsidRPr="00B75D2A" w:rsidP="00B75D2A">
      <w:pPr>
        <w:pStyle w:val="AllowPageBreak"/>
      </w:pPr>
    </w:p>
    <w:p w:rsidR="00000000" w:rsidRPr="00B75D2A" w:rsidP="00B75D2A">
      <w:pPr>
        <w:pStyle w:val="Heading1"/>
      </w:pPr>
      <w:bookmarkStart w:id="8" w:name="O_312187"/>
      <w:bookmarkEnd w:id="8"/>
      <w:r w:rsidRPr="00B75D2A">
        <w:t>Elements and Perform</w:t>
      </w:r>
      <w:r w:rsidRPr="00B75D2A">
        <w:t>ance Criteria</w:t>
      </w:r>
    </w:p>
    <w:tbl>
      <w:tblPr>
        <w:tblW w:w="0" w:type="auto"/>
        <w:tblLayout w:type="fixed"/>
        <w:tblCellMar>
          <w:left w:w="62" w:type="dxa"/>
          <w:right w:w="62" w:type="dxa"/>
        </w:tblCellMar>
        <w:tblLook w:val="0000"/>
      </w:tblPr>
      <w:tblGrid>
        <w:gridCol w:w="400"/>
        <w:gridCol w:w="3000"/>
        <w:gridCol w:w="500"/>
        <w:gridCol w:w="5100"/>
      </w:tblGrid>
      <w:tr w:rsidTr="00B06B0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rPr>
                <w:rStyle w:val="SpecialBold"/>
              </w:rPr>
              <w:t>Elements and Performance Criteria</w:t>
            </w:r>
          </w:p>
        </w:tc>
      </w:tr>
      <w:tr w:rsidTr="00B06B0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75D2A" w:rsidP="00B75D2A">
            <w:pPr>
              <w:pStyle w:val="BodyText"/>
            </w:pPr>
            <w:r w:rsidRPr="00B75D2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rPr>
                <w:rStyle w:val="SpecialBold"/>
              </w:rPr>
              <w:t>Performance Criteria</w:t>
            </w:r>
          </w:p>
        </w:tc>
      </w:tr>
      <w:tr w:rsidTr="00B06B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1</w:t>
            </w:r>
          </w:p>
        </w:tc>
        <w:tc>
          <w:tcPr>
            <w:tcW w:w="3000" w:type="dxa"/>
            <w:vMerge w:val="restart"/>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Safely use laboratory chemicals, glassware and equipment</w:t>
            </w: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1.1</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Apply appropriate safety precautions for use of laboratory equipment and hazardous chemical materials</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1.2</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Use appropriate laboratory glassware and measuring equipment</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1.3</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Clean and store glassware and equipment in </w:t>
            </w:r>
            <w:r w:rsidRPr="00B75D2A">
              <w:t>accordance with enterprise procedures</w:t>
            </w:r>
          </w:p>
        </w:tc>
      </w:tr>
      <w:tr w:rsidTr="00B06B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2</w:t>
            </w:r>
          </w:p>
        </w:tc>
        <w:tc>
          <w:tcPr>
            <w:tcW w:w="3000" w:type="dxa"/>
            <w:vMerge w:val="restart"/>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Make up working solutions</w:t>
            </w: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2.1</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Identify the relevant standard methods for solution preparation </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2.2</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Assemble specified laboratory equipment </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2.3</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Select and prepare materials and solvent of specified purity</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2.4</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Measure appropriate quantities of reagents for solution preparation and record data</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2.5</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Measure appropriate quantities of reagents for solution preparation and record data</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2.6</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Transfer solutions to appropriately labelled containers</w:t>
            </w:r>
          </w:p>
        </w:tc>
      </w:tr>
      <w:tr w:rsidTr="00B06B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3</w:t>
            </w:r>
          </w:p>
        </w:tc>
        <w:tc>
          <w:tcPr>
            <w:tcW w:w="3000" w:type="dxa"/>
            <w:vMerge w:val="restart"/>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Check existing stock of solutions</w:t>
            </w: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3.1</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Monitor shelf-life of working solutions as per laboratory procedures</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3.2</w:t>
            </w:r>
          </w:p>
        </w:tc>
        <w:tc>
          <w:tcPr>
            <w:tcW w:w="51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Replace out-of-date or reject solutions as per laboratory procedures</w:t>
            </w:r>
          </w:p>
        </w:tc>
      </w:tr>
      <w:tr w:rsidTr="00B06B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3.3</w:t>
            </w:r>
          </w:p>
        </w:tc>
        <w:tc>
          <w:tcPr>
            <w:tcW w:w="5100" w:type="dxa"/>
            <w:tcBorders>
              <w:top w:val="nil"/>
              <w:left w:val="nil"/>
              <w:bottom w:val="nil"/>
              <w:right w:val="nil"/>
            </w:tcBorders>
            <w:tcMar>
              <w:top w:w="0" w:type="dxa"/>
              <w:left w:w="62" w:type="dxa"/>
              <w:bottom w:w="0" w:type="dxa"/>
              <w:right w:w="62" w:type="dxa"/>
            </w:tcMar>
          </w:tcPr>
          <w:p w:rsidR="00000000" w:rsidRPr="00B75D2A" w:rsidP="00B75D2A">
            <w:pPr>
              <w:pStyle w:val="BodyText"/>
            </w:pPr>
            <w:r w:rsidRPr="00B75D2A">
              <w:t>Conduct routine titrimetric analyses, if appropriate, to determine if solutions are fit for purpose.</w:t>
            </w:r>
          </w:p>
        </w:tc>
      </w:tr>
    </w:tbl>
    <w:p w:rsidR="00000000" w:rsidRPr="00B75D2A" w:rsidP="00B75D2A">
      <w:pPr>
        <w:pStyle w:val="BodyText"/>
      </w:pPr>
    </w:p>
    <w:p w:rsidR="00000000" w:rsidRPr="00B75D2A" w:rsidP="00B75D2A">
      <w:pPr>
        <w:pStyle w:val="AllowPageBreak"/>
      </w:pPr>
    </w:p>
    <w:p w:rsidR="00000000" w:rsidRPr="00B75D2A" w:rsidP="00B75D2A">
      <w:pPr>
        <w:pStyle w:val="Heading1"/>
      </w:pPr>
      <w:bookmarkStart w:id="9" w:name="O_312179"/>
      <w:bookmarkEnd w:id="9"/>
      <w:r w:rsidRPr="00B75D2A">
        <w:t>Required Skills and Knowledge</w:t>
      </w:r>
    </w:p>
    <w:p w:rsidR="00000000" w:rsidRPr="00B75D2A" w:rsidP="00B75D2A">
      <w:pPr>
        <w:pStyle w:val="Heading1"/>
      </w:pPr>
      <w:bookmarkStart w:id="10" w:name="O_312178"/>
      <w:bookmarkEnd w:id="10"/>
      <w:r w:rsidRPr="00B75D2A">
        <w:t>Evidence Guide</w:t>
      </w:r>
    </w:p>
    <w:p w:rsidR="00000000" w:rsidRPr="00B75D2A" w:rsidP="00B75D2A">
      <w:pPr>
        <w:pStyle w:val="BodyText"/>
      </w:pPr>
      <w:r w:rsidRPr="00B75D2A">
        <w:t>The Evidence Guide describes the underpinning knowledge and skills that must be demonstrated to prove competence.</w:t>
      </w:r>
    </w:p>
    <w:p w:rsidR="00000000" w:rsidRPr="00B75D2A" w:rsidP="00B75D2A">
      <w:pPr>
        <w:pStyle w:val="BodyText"/>
      </w:pPr>
      <w:r w:rsidRPr="00B75D2A">
        <w:rPr>
          <w:rStyle w:val="SpecialBold"/>
        </w:rPr>
        <w:t>Critical aspects of competency</w:t>
      </w:r>
    </w:p>
    <w:p w:rsidR="00000000" w:rsidRPr="00B75D2A" w:rsidP="00B75D2A">
      <w:pPr>
        <w:pStyle w:val="BodyText"/>
      </w:pPr>
      <w:r w:rsidRPr="00B75D2A">
        <w:t>Competency must be demonstrated in the ability to perform consistently at the required standard.</w:t>
      </w:r>
      <w:r w:rsidRPr="00B75D2A">
        <w:t xml:space="preserve"> In particular, the assessor should look to see that the candidate:</w:t>
      </w:r>
    </w:p>
    <w:p w:rsidR="00000000" w:rsidRPr="00B75D2A" w:rsidP="00B75D2A">
      <w:pPr>
        <w:pStyle w:val="BodyText"/>
      </w:pPr>
      <w:r w:rsidRPr="00B75D2A">
        <w:t>uses appropriate materials, equipment and procedures to prepare solutions</w:t>
      </w:r>
    </w:p>
    <w:p w:rsidR="00000000" w:rsidRPr="00B75D2A" w:rsidP="00B75D2A">
      <w:pPr>
        <w:pStyle w:val="BodyText"/>
      </w:pPr>
      <w:r w:rsidRPr="00B75D2A">
        <w:t>follows appropriate OHS (and hygiene, if appropriate) procedures</w:t>
      </w:r>
    </w:p>
    <w:p w:rsidR="00000000" w:rsidRPr="00B75D2A" w:rsidP="00B75D2A">
      <w:pPr>
        <w:pStyle w:val="BodyText"/>
      </w:pPr>
      <w:r w:rsidRPr="00B75D2A">
        <w:t>uses all equipment safely, efficiently and in acc</w:t>
      </w:r>
      <w:r w:rsidRPr="00B75D2A">
        <w:t>ordance with enterprise procedures</w:t>
      </w:r>
    </w:p>
    <w:p w:rsidR="00000000" w:rsidRPr="00B75D2A" w:rsidP="00B75D2A">
      <w:pPr>
        <w:pStyle w:val="BodyText"/>
      </w:pPr>
      <w:r w:rsidRPr="00B75D2A">
        <w:t>uses enterprise procedures to calculate concentrations</w:t>
      </w:r>
    </w:p>
    <w:p w:rsidR="00000000" w:rsidRPr="00B75D2A" w:rsidP="00B75D2A">
      <w:pPr>
        <w:pStyle w:val="BodyText"/>
      </w:pPr>
      <w:r w:rsidRPr="00B75D2A">
        <w:t>identifies solutions not fit for use</w:t>
      </w:r>
    </w:p>
    <w:p w:rsidR="00000000" w:rsidRPr="00B75D2A" w:rsidP="00B75D2A">
      <w:pPr>
        <w:pStyle w:val="BodyText"/>
      </w:pPr>
      <w:r w:rsidRPr="00B75D2A">
        <w:t>uses titrations to determine the concentration of solutions</w:t>
      </w:r>
    </w:p>
    <w:p w:rsidR="00000000" w:rsidRPr="00B75D2A" w:rsidP="00B75D2A">
      <w:pPr>
        <w:pStyle w:val="BodyText"/>
      </w:pPr>
      <w:r w:rsidRPr="00B75D2A">
        <w:t>labels, stores and disposes of solutions appropriately</w:t>
      </w:r>
    </w:p>
    <w:p w:rsidR="00000000" w:rsidRPr="00B75D2A" w:rsidP="00B75D2A">
      <w:pPr>
        <w:pStyle w:val="BodyText"/>
      </w:pPr>
      <w:r w:rsidRPr="00B75D2A">
        <w:t>records and pr</w:t>
      </w:r>
      <w:r w:rsidRPr="00B75D2A">
        <w:t>esent data appropriately.</w:t>
      </w:r>
    </w:p>
    <w:p w:rsidR="00000000" w:rsidRPr="00B75D2A" w:rsidP="00B75D2A">
      <w:pPr>
        <w:pStyle w:val="BodyText"/>
      </w:pPr>
      <w:r w:rsidRPr="00B75D2A">
        <w:rPr>
          <w:rStyle w:val="SpecialBold"/>
        </w:rPr>
        <w:t>Underpinning knowledge</w:t>
      </w:r>
    </w:p>
    <w:p w:rsidR="00000000" w:rsidRPr="00B75D2A" w:rsidP="00B75D2A">
      <w:pPr>
        <w:pStyle w:val="BodyText"/>
      </w:pPr>
      <w:r w:rsidRPr="00B75D2A">
        <w:t>Competency includes the ability to apply and explain:</w:t>
      </w:r>
    </w:p>
    <w:p w:rsidR="00000000" w:rsidRPr="00B75D2A" w:rsidP="00B75D2A">
      <w:pPr>
        <w:pStyle w:val="BodyText"/>
      </w:pPr>
      <w:r w:rsidRPr="00B75D2A">
        <w:t>relevant biological, chemical, food and laboratory terminology</w:t>
      </w:r>
    </w:p>
    <w:p w:rsidR="00000000" w:rsidRPr="00B75D2A" w:rsidP="00B75D2A">
      <w:pPr>
        <w:pStyle w:val="BodyText"/>
      </w:pPr>
      <w:r w:rsidRPr="00B75D2A">
        <w:t>basic theory of acids, bases, salts, buffers and neutralisation</w:t>
      </w:r>
    </w:p>
    <w:p w:rsidR="00000000" w:rsidRPr="00B75D2A" w:rsidP="00B75D2A">
      <w:pPr>
        <w:pStyle w:val="BodyText"/>
      </w:pPr>
      <w:r w:rsidRPr="00B75D2A">
        <w:t>enterprise procedures for preparing solutions</w:t>
      </w:r>
    </w:p>
    <w:p w:rsidR="00000000" w:rsidRPr="00B75D2A" w:rsidP="00B75D2A">
      <w:pPr>
        <w:pStyle w:val="BodyText"/>
      </w:pPr>
      <w:r w:rsidRPr="00B75D2A">
        <w:t>calculations required to prepare specified amounts of solutions of specified concentration</w:t>
      </w:r>
    </w:p>
    <w:p w:rsidR="00000000" w:rsidRPr="00B75D2A" w:rsidP="00B75D2A">
      <w:pPr>
        <w:pStyle w:val="BodyText"/>
      </w:pPr>
      <w:r w:rsidRPr="00B75D2A">
        <w:t>appropriate OHS procedure for preparing, handling and disposal of solutions</w:t>
      </w:r>
    </w:p>
    <w:p w:rsidR="00000000" w:rsidRPr="00B75D2A" w:rsidP="00B75D2A">
      <w:pPr>
        <w:pStyle w:val="BodyText"/>
      </w:pPr>
      <w:r w:rsidRPr="00B75D2A">
        <w:t>use of MSDSs</w:t>
      </w:r>
    </w:p>
    <w:p w:rsidR="00000000" w:rsidRPr="00B75D2A" w:rsidP="00B75D2A">
      <w:pPr>
        <w:pStyle w:val="BodyText"/>
      </w:pPr>
      <w:r w:rsidRPr="00B75D2A">
        <w:t>relevant health, safety and en</w:t>
      </w:r>
      <w:r w:rsidRPr="00B75D2A">
        <w:t>vironment requirements.</w:t>
      </w:r>
    </w:p>
    <w:p w:rsidR="00000000" w:rsidRPr="00B75D2A" w:rsidP="00B75D2A">
      <w:pPr>
        <w:pStyle w:val="BodyText"/>
      </w:pPr>
      <w:r w:rsidRPr="00B75D2A">
        <w:rPr>
          <w:rStyle w:val="SpecialBold"/>
        </w:rPr>
        <w:t>Assessment context and methods</w:t>
      </w:r>
    </w:p>
    <w:p w:rsidR="00000000" w:rsidRPr="00B75D2A" w:rsidP="00B75D2A">
      <w:pPr>
        <w:pStyle w:val="BodyText"/>
      </w:pPr>
      <w:r w:rsidRPr="00B75D2A">
        <w:t xml:space="preserve">This unit of competency is to be assessed in the workplace or simulated workplace environment. </w:t>
      </w:r>
    </w:p>
    <w:p w:rsidR="00000000" w:rsidRPr="00B75D2A" w:rsidP="00B75D2A">
      <w:pPr>
        <w:pStyle w:val="BodyText"/>
      </w:pPr>
      <w:r w:rsidRPr="00B75D2A">
        <w:t>The following assessment methods are suggested:</w:t>
      </w:r>
    </w:p>
    <w:p w:rsidR="00000000" w:rsidRPr="00B75D2A" w:rsidP="00B75D2A">
      <w:pPr>
        <w:pStyle w:val="BodyText"/>
      </w:pPr>
      <w:r w:rsidRPr="00B75D2A">
        <w:t xml:space="preserve">inspection of solutions prepared, labelled and stored by </w:t>
      </w:r>
      <w:r w:rsidRPr="00B75D2A">
        <w:t>the candidate</w:t>
      </w:r>
    </w:p>
    <w:p w:rsidR="00000000" w:rsidRPr="00B75D2A" w:rsidP="00B75D2A">
      <w:pPr>
        <w:pStyle w:val="BodyText"/>
      </w:pPr>
      <w:r w:rsidRPr="00B75D2A">
        <w:t>review of solution records and workplace documentation completed by the candidate</w:t>
      </w:r>
    </w:p>
    <w:p w:rsidR="00000000" w:rsidRPr="00B75D2A" w:rsidP="00B75D2A">
      <w:pPr>
        <w:pStyle w:val="BodyText"/>
      </w:pPr>
      <w:r w:rsidRPr="00B75D2A">
        <w:t>feedback from peers, and supervisors</w:t>
      </w:r>
    </w:p>
    <w:p w:rsidR="00000000" w:rsidRPr="00B75D2A" w:rsidP="00B75D2A">
      <w:pPr>
        <w:pStyle w:val="BodyText"/>
      </w:pPr>
      <w:r w:rsidRPr="00B75D2A">
        <w:t xml:space="preserve">observation of the candidate preparing working solutions </w:t>
      </w:r>
    </w:p>
    <w:p w:rsidR="00000000" w:rsidRPr="00B75D2A" w:rsidP="00B75D2A">
      <w:pPr>
        <w:pStyle w:val="BodyText"/>
      </w:pPr>
      <w:r w:rsidRPr="00B75D2A">
        <w:t xml:space="preserve">oral or written questioning. </w:t>
      </w:r>
    </w:p>
    <w:p w:rsidR="00000000" w:rsidRPr="00B75D2A" w:rsidP="00B75D2A">
      <w:pPr>
        <w:pStyle w:val="BodyText"/>
      </w:pPr>
      <w:r w:rsidRPr="00B75D2A">
        <w:t xml:space="preserve">In all cases, practical assessment </w:t>
      </w:r>
      <w:r w:rsidRPr="00B75D2A">
        <w:t>should be supported by questions to assess underpinning knowledge and those aspects of competency which are difficult to assess directly. Questioning techniques should suit the language and literacy levels of the candidate.</w:t>
      </w:r>
    </w:p>
    <w:p w:rsidR="00000000" w:rsidRPr="00B75D2A" w:rsidP="00B75D2A">
      <w:pPr>
        <w:pStyle w:val="BodyText"/>
      </w:pPr>
      <w:r w:rsidRPr="00B75D2A">
        <w:rPr>
          <w:rStyle w:val="SpecialBold"/>
        </w:rPr>
        <w:t>Interdependent assessment of uni</w:t>
      </w:r>
      <w:r w:rsidRPr="00B75D2A">
        <w:rPr>
          <w:rStyle w:val="SpecialBold"/>
        </w:rPr>
        <w:t>t</w:t>
      </w:r>
    </w:p>
    <w:p w:rsidR="00000000" w:rsidRPr="00B75D2A" w:rsidP="00B75D2A">
      <w:pPr>
        <w:pStyle w:val="BodyText"/>
      </w:pPr>
      <w:r w:rsidRPr="00B75D2A">
        <w:t>This unit of competency may be assessed with:</w:t>
      </w:r>
    </w:p>
    <w:p w:rsidR="00000000" w:rsidRPr="00B75D2A" w:rsidP="00B75D2A">
      <w:pPr>
        <w:pStyle w:val="BodyText"/>
      </w:pPr>
      <w:r w:rsidRPr="00B75D2A">
        <w:rPr>
          <w:rStyle w:val="SpecialBold"/>
        </w:rPr>
        <w:t>PMLDATA200A Record and present data</w:t>
      </w:r>
    </w:p>
    <w:p w:rsidR="00000000" w:rsidRPr="00B75D2A" w:rsidP="00B75D2A">
      <w:pPr>
        <w:pStyle w:val="BodyText"/>
      </w:pPr>
      <w:r w:rsidRPr="00B75D2A">
        <w:rPr>
          <w:rStyle w:val="SpecialBold"/>
        </w:rPr>
        <w:t>PMLOHS302A Participate in laboratory</w:t>
      </w:r>
      <w:r w:rsidRPr="00B75D2A">
        <w:t>/</w:t>
      </w:r>
      <w:r w:rsidRPr="00B75D2A">
        <w:rPr>
          <w:rStyle w:val="SpecialBold"/>
        </w:rPr>
        <w:t>field workplace safety</w:t>
      </w:r>
      <w:r w:rsidRPr="00B75D2A">
        <w:t>.</w:t>
      </w:r>
    </w:p>
    <w:p w:rsidR="00000000" w:rsidRPr="00B75D2A" w:rsidP="00B75D2A">
      <w:pPr>
        <w:pStyle w:val="BodyText"/>
      </w:pPr>
      <w:r w:rsidRPr="00B75D2A">
        <w:rPr>
          <w:rStyle w:val="SpecialBold"/>
        </w:rPr>
        <w:t>Resource implications</w:t>
      </w:r>
    </w:p>
    <w:p w:rsidR="00000000" w:rsidRPr="00B75D2A" w:rsidP="00B75D2A">
      <w:pPr>
        <w:pStyle w:val="BodyText"/>
      </w:pPr>
      <w:r w:rsidRPr="00B75D2A">
        <w:t>Resources may include:</w:t>
      </w:r>
    </w:p>
    <w:p w:rsidR="00000000" w:rsidRPr="00B75D2A" w:rsidP="00B75D2A">
      <w:pPr>
        <w:pStyle w:val="BodyText"/>
      </w:pPr>
      <w:r w:rsidRPr="00B75D2A">
        <w:t>standard laboratory equipped with appropriate equipment and reagen</w:t>
      </w:r>
      <w:r w:rsidRPr="00B75D2A">
        <w:t>ts</w:t>
      </w:r>
    </w:p>
    <w:p w:rsidR="00000000" w:rsidRPr="00B75D2A" w:rsidP="00B75D2A">
      <w:pPr>
        <w:pStyle w:val="BodyText"/>
      </w:pPr>
      <w:r w:rsidRPr="00B75D2A">
        <w:t>standard operating procedures and testing methods</w:t>
      </w:r>
    </w:p>
    <w:p w:rsidR="00000000" w:rsidRPr="00B75D2A" w:rsidP="00B75D2A">
      <w:pPr>
        <w:pStyle w:val="BodyText"/>
      </w:pPr>
      <w:r w:rsidRPr="00B75D2A">
        <w:t>access to appropriate containers and storage facilities.</w:t>
      </w:r>
    </w:p>
    <w:p w:rsidR="00000000" w:rsidRPr="00B75D2A" w:rsidP="00B75D2A">
      <w:pPr>
        <w:pStyle w:val="BodyText"/>
      </w:pPr>
      <w:r w:rsidRPr="00B75D2A">
        <w:rPr>
          <w:rStyle w:val="SpecialBold"/>
        </w:rPr>
        <w:t>This competency in practice</w:t>
      </w:r>
    </w:p>
    <w:p w:rsidR="00000000" w:rsidRPr="00B75D2A" w:rsidP="00B75D2A">
      <w:pPr>
        <w:pStyle w:val="BodyText"/>
      </w:pPr>
      <w:r w:rsidRPr="00B75D2A">
        <w:rPr>
          <w:rStyle w:val="SpecialBold"/>
        </w:rPr>
        <w:t>Manufacturing</w:t>
      </w:r>
    </w:p>
    <w:p w:rsidR="00000000" w:rsidRPr="00B75D2A" w:rsidP="00B75D2A">
      <w:pPr>
        <w:pStyle w:val="BodyText"/>
      </w:pPr>
      <w:r w:rsidRPr="00B75D2A">
        <w:t>When starting materials used for the manufacture of common household materials are in transit from the s</w:t>
      </w:r>
      <w:r w:rsidRPr="00B75D2A">
        <w:t>upplier to the manufacturer, they may degrade if subjected to conditions, such as heat, moisture, light and oxygen. Even when the supplier ships quality materials to the manufacturing plant, the materials may be substandard when they arrive. Quality contro</w:t>
      </w:r>
      <w:r w:rsidRPr="00B75D2A">
        <w:t>l tests are designed to test starting materials to ensure they are within specification. For example, aspirin forms salicylic acid when stored under adverse conditions. Laboratory assistants prepare and monitor the quality of solutions, such as ferric chlo</w:t>
      </w:r>
      <w:r w:rsidRPr="00B75D2A">
        <w:t>ride solution, which gives an intense violet colour when added to salicylic acid but gives no colour with aspirin. Absence of the violet colouration indicates that breakdown of the aspirin hasn't occurred.</w:t>
      </w:r>
    </w:p>
    <w:p w:rsidR="00000000" w:rsidRPr="00B75D2A" w:rsidP="00B75D2A">
      <w:pPr>
        <w:pStyle w:val="BodyText"/>
      </w:pPr>
      <w:r w:rsidRPr="00B75D2A">
        <w:rPr>
          <w:rStyle w:val="SpecialBold"/>
        </w:rPr>
        <w:t>Biomedical</w:t>
      </w:r>
    </w:p>
    <w:p w:rsidR="00000000" w:rsidRPr="00B75D2A" w:rsidP="00B75D2A">
      <w:pPr>
        <w:pStyle w:val="BodyText"/>
      </w:pPr>
      <w:r w:rsidRPr="00B75D2A">
        <w:t xml:space="preserve">A laboratory assistant made up 1 litre </w:t>
      </w:r>
      <w:r w:rsidRPr="00B75D2A">
        <w:t>of buffer solution using buffer tablets and a 1 litre volumetric flask as specified in the method. To ensure the solution was suitable for use, the assistant measured the pH and found it was within acceptable range. The assistant then appropriately labelle</w:t>
      </w:r>
      <w:r w:rsidRPr="00B75D2A">
        <w:t>d a storage vessel and stored the buffer according to requirements. By following enterprise procedures the shelf life of the buffer was maximised.</w:t>
      </w:r>
    </w:p>
    <w:p w:rsidR="00000000" w:rsidRPr="00B75D2A" w:rsidP="00B75D2A">
      <w:pPr>
        <w:pStyle w:val="BodyText"/>
      </w:pPr>
      <w:r w:rsidRPr="00B75D2A">
        <w:rPr>
          <w:rStyle w:val="SpecialBold"/>
        </w:rPr>
        <w:t>Environmental</w:t>
      </w:r>
    </w:p>
    <w:p w:rsidR="00000000" w:rsidRPr="00B75D2A" w:rsidP="00B75D2A">
      <w:pPr>
        <w:pStyle w:val="BodyText"/>
      </w:pPr>
      <w:r w:rsidRPr="00B75D2A">
        <w:t>An environmental laboratory is contracted to determine the acidity of water samples taken from local lakes and streams. A laboratory assistant is required to make up small batches of 0.01M sodium hydroxide and to determine its concentration by titrating it</w:t>
      </w:r>
      <w:r w:rsidRPr="00B75D2A">
        <w:t xml:space="preserve"> against a standard solution of potassium acid phthalate using phenolphthalein indicator. This procedure is carried out monthly to ensure that the concentration of the sodium hydroxide solution is accurately known. Alternatively, the laboratory assistant m</w:t>
      </w:r>
      <w:r w:rsidRPr="00B75D2A">
        <w:t>ay be required to prepare and standardise a fresh batch of sodium hydroxide on a monthly basis. In this case, he/she must understand the underpinning knowledge of basic acid/base theory, potential problems of interferences (such as slow absorption of carbo</w:t>
      </w:r>
      <w:r w:rsidRPr="00B75D2A">
        <w:t>n dioxide by sodium hydroxide solution) so as to ensure that the concentrations of workup solutions are accurately known. He/she must also be skilled in calculating and performing dilution when required to prepare such low concentrations (0.01M) of working</w:t>
      </w:r>
      <w:r w:rsidRPr="00B75D2A">
        <w:t xml:space="preserve"> solutions.</w:t>
      </w:r>
    </w:p>
    <w:p w:rsidR="00000000" w:rsidRPr="00B75D2A" w:rsidP="00B75D2A">
      <w:pPr>
        <w:pStyle w:val="BodyText"/>
      </w:pPr>
      <w:r w:rsidRPr="00B75D2A">
        <w:rPr>
          <w:rStyle w:val="SpecialBold"/>
        </w:rPr>
        <w:t>Key Competencies</w:t>
      </w:r>
    </w:p>
    <w:p w:rsidR="00000000" w:rsidRPr="00B75D2A" w:rsidP="00B75D2A">
      <w:pPr>
        <w:pStyle w:val="BodyText"/>
      </w:pPr>
      <w:r w:rsidRPr="00B75D2A">
        <w:t>The seven key competencies represent generic skills considered for effective work participation. The bracketed numbering against each of the key competencies indicates the performance level required in this unit. These are stan</w:t>
      </w:r>
      <w:r w:rsidRPr="00B75D2A">
        <w:t>d-alone levels and do not correspond to the Australian Qualifications Framework (AQF).</w:t>
      </w:r>
    </w:p>
    <w:p w:rsidR="00000000" w:rsidRPr="00B75D2A" w:rsidP="00B75D2A">
      <w:pPr>
        <w:pStyle w:val="BodyText"/>
      </w:pPr>
      <w:r w:rsidRPr="00B75D2A">
        <w:t>Level (1) represents the competence to undertake tasks effectively</w:t>
      </w:r>
    </w:p>
    <w:p w:rsidR="00000000" w:rsidRPr="00B75D2A" w:rsidP="00B75D2A">
      <w:pPr>
        <w:pStyle w:val="BodyText"/>
      </w:pPr>
      <w:r w:rsidRPr="00B75D2A">
        <w:t>Level (2) represents the competence to manage tasks</w:t>
      </w:r>
    </w:p>
    <w:p w:rsidR="00000000" w:rsidRPr="00B75D2A" w:rsidP="00B75D2A">
      <w:pPr>
        <w:pStyle w:val="BodyText"/>
      </w:pPr>
      <w:r w:rsidRPr="00B75D2A">
        <w:t>Level (3) represents the competence to use concept</w:t>
      </w:r>
      <w:r w:rsidRPr="00B75D2A">
        <w: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B06B07">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Solving problems</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Using </w:t>
            </w:r>
            <w:r w:rsidRPr="00B75D2A">
              <w:t xml:space="preserve">technology </w:t>
            </w:r>
          </w:p>
        </w:tc>
      </w:tr>
      <w:tr w:rsidTr="00B06B07">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Level 1 </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Level 1 </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Level 1 </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Level 1 </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Level 1 </w:t>
            </w:r>
          </w:p>
        </w:tc>
        <w:tc>
          <w:tcPr>
            <w:tcW w:w="1285" w:type="dxa"/>
            <w:tcBorders>
              <w:top w:val="nil"/>
              <w:left w:val="nil"/>
              <w:bottom w:val="nil"/>
              <w:right w:val="nil"/>
            </w:tcBorders>
            <w:tcMar>
              <w:top w:w="0" w:type="dxa"/>
              <w:left w:w="62" w:type="dxa"/>
              <w:bottom w:w="0" w:type="dxa"/>
              <w:right w:w="62" w:type="dxa"/>
            </w:tcMar>
          </w:tcPr>
          <w:p w:rsidR="00000000" w:rsidP="00B75D2A">
            <w:pPr>
              <w:pStyle w:val="BodyText"/>
              <w:rPr>
                <w:lang w:val="en-NZ"/>
              </w:rPr>
            </w:pPr>
            <w:r w:rsidRPr="00B75D2A">
              <w:t xml:space="preserve">Level 1 </w:t>
            </w:r>
          </w:p>
        </w:tc>
        <w:tc>
          <w:tcPr>
            <w:tcW w:w="1285" w:type="dxa"/>
            <w:tcBorders>
              <w:top w:val="nil"/>
              <w:left w:val="nil"/>
              <w:bottom w:val="nil"/>
              <w:right w:val="nil"/>
            </w:tcBorders>
            <w:tcMar>
              <w:top w:w="0" w:type="dxa"/>
              <w:left w:w="62" w:type="dxa"/>
              <w:bottom w:w="0" w:type="dxa"/>
              <w:right w:w="62" w:type="dxa"/>
            </w:tcMar>
          </w:tcPr>
          <w:p w:rsidR="00000000" w:rsidRPr="00B75D2A" w:rsidP="00B75D2A">
            <w:pPr>
              <w:pStyle w:val="BodyText"/>
            </w:pPr>
            <w:r w:rsidRPr="00B75D2A">
              <w:t xml:space="preserve">Level 1 </w:t>
            </w:r>
          </w:p>
        </w:tc>
      </w:tr>
    </w:tbl>
    <w:p w:rsidR="00000000" w:rsidRPr="00B75D2A" w:rsidP="00B75D2A">
      <w:pPr>
        <w:pStyle w:val="BodyText"/>
      </w:pPr>
    </w:p>
    <w:p w:rsidR="00000000" w:rsidRPr="00B75D2A" w:rsidP="00B75D2A">
      <w:pPr>
        <w:pStyle w:val="AllowPageBreak"/>
      </w:pPr>
    </w:p>
    <w:p w:rsidR="00000000" w:rsidRPr="00B75D2A" w:rsidP="00B75D2A">
      <w:pPr>
        <w:pStyle w:val="Heading1"/>
      </w:pPr>
      <w:bookmarkStart w:id="11" w:name="O_312177"/>
      <w:bookmarkEnd w:id="11"/>
      <w:r w:rsidRPr="00B75D2A">
        <w:t>Range Statement</w:t>
      </w:r>
    </w:p>
    <w:p w:rsidR="00000000" w:rsidRPr="00B75D2A" w:rsidP="00B75D2A">
      <w:pPr>
        <w:pStyle w:val="BodyText"/>
      </w:pPr>
      <w:r w:rsidRPr="00B75D2A">
        <w:t xml:space="preserve">The range of variables relates to the unit of competency as a whole. It allows for different work environments and situations that will affect performance. </w:t>
      </w:r>
    </w:p>
    <w:p w:rsidR="00000000" w:rsidRPr="00B75D2A" w:rsidP="00B75D2A">
      <w:pPr>
        <w:pStyle w:val="BodyText"/>
      </w:pPr>
      <w:r w:rsidRPr="00B75D2A">
        <w:t>Where reference is made to industry Codes of Practice, and/or Australian/international standards, i</w:t>
      </w:r>
      <w:r w:rsidRPr="00B75D2A">
        <w:t xml:space="preserve">t is expected the latest version will be used. </w:t>
      </w:r>
    </w:p>
    <w:p w:rsidR="00000000" w:rsidRPr="00B75D2A" w:rsidP="00B75D2A">
      <w:pPr>
        <w:pStyle w:val="BodyText"/>
      </w:pPr>
      <w:r w:rsidRPr="00B75D2A">
        <w:t>This unit of competency describes the work conducted by supervised laboratory assistants who prepare a range of working solutions for laboratory use. Test solutions include those required to perform laborator</w:t>
      </w:r>
      <w:r w:rsidRPr="00B75D2A">
        <w:t>y tests. All operations must comply with relevant standards, appropriate procedures and/or enterprise requirements. These procedures include or have been prepared from:</w:t>
      </w:r>
    </w:p>
    <w:p w:rsidR="00000000" w:rsidRPr="00B75D2A" w:rsidP="00B75D2A">
      <w:pPr>
        <w:pStyle w:val="BodyText"/>
      </w:pPr>
      <w:r w:rsidRPr="00B75D2A">
        <w:t>Australian and international standards, such as:</w:t>
      </w:r>
    </w:p>
    <w:p w:rsidR="00000000" w:rsidRPr="00B75D2A" w:rsidP="00B75D2A">
      <w:pPr>
        <w:pStyle w:val="BodyText"/>
      </w:pPr>
      <w:r w:rsidRPr="00B75D2A">
        <w:t>AS 2162.1 General - volumetric glasswa</w:t>
      </w:r>
      <w:r w:rsidRPr="00B75D2A">
        <w:t>re</w:t>
      </w:r>
    </w:p>
    <w:p w:rsidR="00000000" w:rsidRPr="00B75D2A" w:rsidP="00B75D2A">
      <w:pPr>
        <w:pStyle w:val="BodyText"/>
      </w:pPr>
      <w:r w:rsidRPr="00B75D2A">
        <w:t>AS 2163 Laboratory glassware - measuring cylinders</w:t>
      </w:r>
    </w:p>
    <w:p w:rsidR="00000000" w:rsidRPr="00B75D2A" w:rsidP="00B75D2A">
      <w:pPr>
        <w:pStyle w:val="BodyText"/>
      </w:pPr>
      <w:r w:rsidRPr="00B75D2A">
        <w:t>AS 2165 Laboratory glassware - burettes</w:t>
      </w:r>
    </w:p>
    <w:p w:rsidR="00000000" w:rsidRPr="00B75D2A" w:rsidP="00B75D2A">
      <w:pPr>
        <w:pStyle w:val="BodyText"/>
      </w:pPr>
      <w:r w:rsidRPr="00B75D2A">
        <w:t>industry methods, such as American Association of Cereal Chemists (AACC) Solution methods</w:t>
      </w:r>
    </w:p>
    <w:p w:rsidR="00000000" w:rsidRPr="00B75D2A" w:rsidP="00B75D2A">
      <w:pPr>
        <w:pStyle w:val="BodyText"/>
      </w:pPr>
      <w:r w:rsidRPr="00B75D2A">
        <w:t>Codes of Practice, such as GLP and GMP</w:t>
      </w:r>
    </w:p>
    <w:p w:rsidR="00000000" w:rsidRPr="00B75D2A" w:rsidP="00B75D2A">
      <w:pPr>
        <w:pStyle w:val="BodyText"/>
      </w:pPr>
      <w:r w:rsidRPr="00B75D2A">
        <w:t>material safety data sheets (MSDS</w:t>
      </w:r>
      <w:r w:rsidRPr="00B75D2A">
        <w:t>s)</w:t>
      </w:r>
    </w:p>
    <w:p w:rsidR="00000000" w:rsidRPr="00B75D2A" w:rsidP="00B75D2A">
      <w:pPr>
        <w:pStyle w:val="BodyText"/>
      </w:pPr>
      <w:r w:rsidRPr="00B75D2A">
        <w:t>National Measurement Act</w:t>
      </w:r>
    </w:p>
    <w:p w:rsidR="00000000" w:rsidRPr="00B75D2A" w:rsidP="00B75D2A">
      <w:pPr>
        <w:pStyle w:val="BodyText"/>
      </w:pPr>
      <w:r w:rsidRPr="00B75D2A">
        <w:t>standard operating procedures (SOPs)</w:t>
      </w:r>
    </w:p>
    <w:p w:rsidR="00000000" w:rsidRPr="00B75D2A" w:rsidP="00B75D2A">
      <w:pPr>
        <w:pStyle w:val="BodyText"/>
      </w:pPr>
      <w:r w:rsidRPr="00B75D2A">
        <w:t>equipment manuals</w:t>
      </w:r>
    </w:p>
    <w:p w:rsidR="00000000" w:rsidRPr="00B75D2A" w:rsidP="00B75D2A">
      <w:pPr>
        <w:pStyle w:val="BodyText"/>
      </w:pPr>
      <w:r w:rsidRPr="00B75D2A">
        <w:t>equipment startup, operation and shutdown procedures</w:t>
      </w:r>
    </w:p>
    <w:p w:rsidR="00000000" w:rsidRPr="00B75D2A" w:rsidP="00B75D2A">
      <w:pPr>
        <w:pStyle w:val="BodyText"/>
      </w:pPr>
      <w:r w:rsidRPr="00B75D2A">
        <w:t>calibration and maintenance schedules</w:t>
      </w:r>
    </w:p>
    <w:p w:rsidR="00000000" w:rsidRPr="00B75D2A" w:rsidP="00B75D2A">
      <w:pPr>
        <w:pStyle w:val="BodyText"/>
      </w:pPr>
      <w:r w:rsidRPr="00B75D2A">
        <w:t>quality manuals</w:t>
      </w:r>
    </w:p>
    <w:p w:rsidR="00000000" w:rsidRPr="00B75D2A" w:rsidP="00B75D2A">
      <w:pPr>
        <w:pStyle w:val="BodyText"/>
      </w:pPr>
      <w:r w:rsidRPr="00B75D2A">
        <w:t>enterprise recording and reporting procedures</w:t>
      </w:r>
    </w:p>
    <w:p w:rsidR="00000000" w:rsidRPr="00B75D2A" w:rsidP="00B75D2A">
      <w:pPr>
        <w:pStyle w:val="BodyText"/>
      </w:pPr>
      <w:r w:rsidRPr="00B75D2A">
        <w:t>production and labor</w:t>
      </w:r>
      <w:r w:rsidRPr="00B75D2A">
        <w:t>atory schedules</w:t>
      </w:r>
    </w:p>
    <w:p w:rsidR="00000000" w:rsidRPr="00B75D2A" w:rsidP="00B75D2A">
      <w:pPr>
        <w:pStyle w:val="BodyText"/>
      </w:pPr>
      <w:r w:rsidRPr="00B75D2A">
        <w:t>material, production and product specifications.</w:t>
      </w:r>
    </w:p>
    <w:p w:rsidR="00000000" w:rsidRPr="00B75D2A" w:rsidP="00B75D2A">
      <w:pPr>
        <w:pStyle w:val="BodyText"/>
      </w:pPr>
      <w:r w:rsidRPr="00B75D2A">
        <w:t>The nature of test solutions will depend on the enterprise and the range of testing carried out. Typical test solutions may include:</w:t>
      </w:r>
    </w:p>
    <w:p w:rsidR="00000000" w:rsidRPr="00B75D2A" w:rsidP="00B75D2A">
      <w:pPr>
        <w:pStyle w:val="BodyText"/>
      </w:pPr>
      <w:r w:rsidRPr="00B75D2A">
        <w:t>solutions required for diagnostic/analytical and limit tests in food and chemical laboratories, such as sulphates, chlorides, heavy metals</w:t>
      </w:r>
    </w:p>
    <w:p w:rsidR="00000000" w:rsidRPr="00B75D2A" w:rsidP="00B75D2A">
      <w:pPr>
        <w:pStyle w:val="BodyText"/>
      </w:pPr>
      <w:r w:rsidRPr="00B75D2A">
        <w:t>solutions, such as stains for standard diagnostic/analytical procedures in biomedical/environmental laboratories, suc</w:t>
      </w:r>
      <w:r w:rsidRPr="00B75D2A">
        <w:t>h as cell staining, fixation of cells and tissues, suspension of cells, titrimetric indicators</w:t>
      </w:r>
    </w:p>
    <w:p w:rsidR="00000000" w:rsidRPr="00B75D2A" w:rsidP="00B75D2A">
      <w:pPr>
        <w:pStyle w:val="BodyText"/>
      </w:pPr>
      <w:r w:rsidRPr="00B75D2A">
        <w:t>solutions required for laboratory maintenance and disinfection, such as 70% ethanol, hypochlorite.</w:t>
      </w:r>
    </w:p>
    <w:p w:rsidR="00000000" w:rsidRPr="00B75D2A" w:rsidP="00B75D2A">
      <w:pPr>
        <w:pStyle w:val="BodyText"/>
      </w:pPr>
      <w:r w:rsidRPr="00B75D2A">
        <w:t>Laboratory equipment may include:</w:t>
      </w:r>
    </w:p>
    <w:p w:rsidR="00000000" w:rsidRPr="00B75D2A" w:rsidP="00B75D2A">
      <w:pPr>
        <w:pStyle w:val="BodyText"/>
      </w:pPr>
      <w:r w:rsidRPr="00B75D2A">
        <w:t>pH meters</w:t>
      </w:r>
    </w:p>
    <w:p w:rsidR="00000000" w:rsidRPr="00B75D2A" w:rsidP="00B75D2A">
      <w:pPr>
        <w:pStyle w:val="BodyText"/>
      </w:pPr>
      <w:r w:rsidRPr="00B75D2A">
        <w:t xml:space="preserve">balances </w:t>
      </w:r>
    </w:p>
    <w:p w:rsidR="00000000" w:rsidRPr="00B75D2A" w:rsidP="00B75D2A">
      <w:pPr>
        <w:pStyle w:val="BodyText"/>
      </w:pPr>
      <w:r w:rsidRPr="00B75D2A">
        <w:t>magnetic</w:t>
      </w:r>
      <w:r w:rsidRPr="00B75D2A">
        <w:t xml:space="preserve"> stirrers, waterbaths and hot plates</w:t>
      </w:r>
    </w:p>
    <w:p w:rsidR="00000000" w:rsidRPr="00B75D2A" w:rsidP="00B75D2A">
      <w:pPr>
        <w:pStyle w:val="BodyText"/>
      </w:pPr>
      <w:r w:rsidRPr="00B75D2A">
        <w:t>measuring cylinders, beakers, conical flasks, volumetric flasks, pipettes, burettes</w:t>
      </w:r>
    </w:p>
    <w:p w:rsidR="00000000" w:rsidRPr="00B75D2A" w:rsidP="00B75D2A">
      <w:pPr>
        <w:pStyle w:val="BodyText"/>
      </w:pPr>
      <w:r w:rsidRPr="00B75D2A">
        <w:t>filter papers and funnels</w:t>
      </w:r>
    </w:p>
    <w:p w:rsidR="00000000" w:rsidRPr="00B75D2A" w:rsidP="00B75D2A">
      <w:pPr>
        <w:pStyle w:val="BodyText"/>
      </w:pPr>
      <w:r w:rsidRPr="00B75D2A">
        <w:t>fume cupboards.</w:t>
      </w:r>
    </w:p>
    <w:p w:rsidR="00000000" w:rsidRPr="00B75D2A" w:rsidP="00B75D2A">
      <w:pPr>
        <w:pStyle w:val="BodyText"/>
      </w:pPr>
      <w:r w:rsidRPr="00B75D2A">
        <w:t>Hazards may include:</w:t>
      </w:r>
    </w:p>
    <w:p w:rsidR="00000000" w:rsidRPr="00B75D2A" w:rsidP="00B75D2A">
      <w:pPr>
        <w:pStyle w:val="BodyText"/>
      </w:pPr>
      <w:r w:rsidRPr="00B75D2A">
        <w:t>corrosive chemicals, such as acids and alkalis</w:t>
      </w:r>
    </w:p>
    <w:p w:rsidR="00000000" w:rsidRPr="00B75D2A" w:rsidP="00B75D2A">
      <w:pPr>
        <w:pStyle w:val="BodyText"/>
      </w:pPr>
      <w:r w:rsidRPr="00B75D2A">
        <w:t xml:space="preserve">sources of heat, such as </w:t>
      </w:r>
      <w:r w:rsidRPr="00B75D2A">
        <w:t>burners</w:t>
      </w:r>
    </w:p>
    <w:p w:rsidR="00000000" w:rsidRPr="00B75D2A" w:rsidP="00B75D2A">
      <w:pPr>
        <w:pStyle w:val="BodyText"/>
      </w:pPr>
      <w:r w:rsidRPr="00B75D2A">
        <w:t>sharps, broken glassware</w:t>
      </w:r>
    </w:p>
    <w:p w:rsidR="00000000" w:rsidRPr="00B75D2A" w:rsidP="00B75D2A">
      <w:pPr>
        <w:pStyle w:val="BodyText"/>
      </w:pPr>
      <w:r w:rsidRPr="00B75D2A">
        <w:t>spillages.</w:t>
      </w:r>
    </w:p>
    <w:p w:rsidR="00000000" w:rsidRPr="00B75D2A" w:rsidP="00B75D2A">
      <w:pPr>
        <w:pStyle w:val="BodyText"/>
      </w:pPr>
      <w:r w:rsidRPr="00B75D2A">
        <w:t>Safety precautions may include:</w:t>
      </w:r>
    </w:p>
    <w:p w:rsidR="00000000" w:rsidRPr="00B75D2A" w:rsidP="00B75D2A">
      <w:pPr>
        <w:pStyle w:val="BodyText"/>
      </w:pPr>
      <w:r w:rsidRPr="00B75D2A">
        <w:t>use of material safety data sheets (MSDSs)</w:t>
      </w:r>
    </w:p>
    <w:p w:rsidR="00000000" w:rsidRPr="00B75D2A" w:rsidP="00B75D2A">
      <w:pPr>
        <w:pStyle w:val="BodyText"/>
      </w:pPr>
      <w:r w:rsidRPr="00B75D2A">
        <w:t>use of personal protective equipment, such as safety glasses, gloves and coveralls</w:t>
      </w:r>
    </w:p>
    <w:p w:rsidR="00000000" w:rsidRPr="00B75D2A" w:rsidP="00B75D2A">
      <w:pPr>
        <w:pStyle w:val="BodyText"/>
      </w:pPr>
      <w:r w:rsidRPr="00B75D2A">
        <w:t>correct labelling of reagents and hazardous materials</w:t>
      </w:r>
    </w:p>
    <w:p w:rsidR="00000000" w:rsidRPr="00B75D2A" w:rsidP="00B75D2A">
      <w:pPr>
        <w:pStyle w:val="BodyText"/>
      </w:pPr>
      <w:r w:rsidRPr="00B75D2A">
        <w:t>handling and storing hazardous materials and equipment in accordance with labels, MSDS, manufacturer's instructions, enterprise procedures and regulations</w:t>
      </w:r>
    </w:p>
    <w:p w:rsidR="00000000" w:rsidRPr="00B75D2A" w:rsidP="00B75D2A">
      <w:pPr>
        <w:pStyle w:val="BodyText"/>
      </w:pPr>
      <w:r w:rsidRPr="00B75D2A">
        <w:t>regular cleaning and/or decontamination of equipment and work areas.</w:t>
      </w:r>
    </w:p>
    <w:p w:rsidR="00000000" w:rsidRPr="00B75D2A" w:rsidP="00B75D2A">
      <w:pPr>
        <w:pStyle w:val="BodyText"/>
      </w:pPr>
      <w:r w:rsidRPr="00B75D2A">
        <w:t xml:space="preserve">Monitoring quality of solutions </w:t>
      </w:r>
      <w:r w:rsidRPr="00B75D2A">
        <w:t>can include:</w:t>
      </w:r>
    </w:p>
    <w:p w:rsidR="00000000" w:rsidRPr="00B75D2A" w:rsidP="00B75D2A">
      <w:pPr>
        <w:pStyle w:val="BodyText"/>
      </w:pPr>
      <w:r w:rsidRPr="00B75D2A">
        <w:t>noting turbidity to exclude absorption of moisture</w:t>
      </w:r>
    </w:p>
    <w:p w:rsidR="00000000" w:rsidRPr="00B75D2A" w:rsidP="00B75D2A">
      <w:pPr>
        <w:pStyle w:val="BodyText"/>
      </w:pPr>
      <w:r w:rsidRPr="00B75D2A">
        <w:t>noting deposits to exclude microbial contamination or chemical degradation</w:t>
      </w:r>
    </w:p>
    <w:p w:rsidR="00000000" w:rsidRPr="00B75D2A" w:rsidP="00B75D2A">
      <w:pPr>
        <w:pStyle w:val="BodyText"/>
      </w:pPr>
      <w:r w:rsidRPr="00B75D2A">
        <w:t>noting crystals to exclude evaporation</w:t>
      </w:r>
    </w:p>
    <w:p w:rsidR="00000000" w:rsidRPr="00B75D2A" w:rsidP="00B75D2A">
      <w:pPr>
        <w:pStyle w:val="BodyText"/>
      </w:pPr>
      <w:r w:rsidRPr="00B75D2A">
        <w:t>conducting titrations to check concentration</w:t>
      </w:r>
    </w:p>
    <w:p w:rsidR="00000000" w:rsidRPr="00B75D2A" w:rsidP="00B75D2A">
      <w:pPr>
        <w:pStyle w:val="BodyText"/>
      </w:pPr>
      <w:r w:rsidRPr="00B75D2A">
        <w:t xml:space="preserve">noting colour changes indicating </w:t>
      </w:r>
      <w:r w:rsidRPr="00B75D2A">
        <w:t>a pH shift with solutions containing indicators</w:t>
      </w:r>
    </w:p>
    <w:p w:rsidR="00000000" w:rsidRPr="00B75D2A" w:rsidP="00B75D2A">
      <w:pPr>
        <w:pStyle w:val="BodyText"/>
      </w:pPr>
      <w:r w:rsidRPr="00B75D2A">
        <w:t>checking expiry dates on solution containers.</w:t>
      </w:r>
    </w:p>
    <w:p w:rsidR="00000000" w:rsidRPr="00B75D2A" w:rsidP="00B75D2A">
      <w:pPr>
        <w:pStyle w:val="BodyText"/>
      </w:pPr>
      <w:r w:rsidRPr="00B75D2A">
        <w:t>Concentration terms may include: % w/w, % w/v, % v/v, ppm (mg/L), molarity.</w:t>
      </w:r>
    </w:p>
    <w:p w:rsidR="00000000" w:rsidRPr="00B75D2A" w:rsidP="00B75D2A">
      <w:pPr>
        <w:pStyle w:val="BodyText"/>
      </w:pPr>
      <w:r w:rsidRPr="00B75D2A">
        <w:rPr>
          <w:rStyle w:val="SpecialBold"/>
        </w:rPr>
        <w:t>Health</w:t>
      </w:r>
      <w:r w:rsidRPr="00B75D2A">
        <w:t xml:space="preserve">, </w:t>
      </w:r>
      <w:r w:rsidRPr="00B75D2A">
        <w:rPr>
          <w:rStyle w:val="SpecialBold"/>
        </w:rPr>
        <w:t>safety and environment</w:t>
      </w:r>
    </w:p>
    <w:p w:rsidR="00000000" w:rsidRPr="00B75D2A" w:rsidP="00B75D2A">
      <w:pPr>
        <w:pStyle w:val="BodyText"/>
      </w:pPr>
      <w:r w:rsidRPr="00B75D2A">
        <w:t>All operations to which this unit applies are subject to stringent health, safety and environmental (HSE) requirements, which may be imposed through State or Federal legislation, and these must not be compromised at any time. Where there is an apparent con</w:t>
      </w:r>
      <w:r w:rsidRPr="00B75D2A">
        <w:t>flict between performance criteria and HSE requirements, the HSE requirements take precedence.</w:t>
      </w:r>
    </w:p>
    <w:p w:rsidR="00000000" w:rsidRPr="00B75D2A" w:rsidP="00B75D2A">
      <w:pPr>
        <w:pStyle w:val="BodyText"/>
      </w:pPr>
      <w:r w:rsidRPr="00B75D2A">
        <w:t xml:space="preserve">All operations assume the potentially hazardous nature of samples and require standard precautions to be applied. Users should access and apply current industry </w:t>
      </w:r>
      <w:r w:rsidRPr="00B75D2A">
        <w:t>understanding of infection control issued by the National Health and Medical Research Council and State and Territory Departments of Health. All operations are performed in accordance with standard operating procedures.</w:t>
      </w:r>
    </w:p>
    <w:p w:rsidR="00000000" w:rsidRPr="00B75D2A" w:rsidP="00B75D2A">
      <w:pPr>
        <w:pStyle w:val="AllowPageBreak"/>
      </w:pPr>
    </w:p>
    <w:p w:rsidR="00000000" w:rsidRPr="00B75D2A" w:rsidP="00B75D2A">
      <w:pPr>
        <w:pStyle w:val="Heading1"/>
      </w:pPr>
      <w:bookmarkStart w:id="12" w:name="O_312181"/>
      <w:bookmarkEnd w:id="12"/>
      <w:r w:rsidRPr="00B75D2A">
        <w:t>Unit Sector(s)</w:t>
      </w:r>
    </w:p>
    <w:p w:rsidR="00000000" w:rsidRPr="00B75D2A" w:rsidP="00B75D2A"/>
    <w:sectPr w:rsidSect="00B75D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B07" w:rsidP="00B06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07" w:rsidP="00B75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6B07" w:rsidP="00B75D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6B07" w:rsidP="00B75D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B07" w:rsidP="00B06B0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07" w:rsidP="00B75D2A">
    <w:pPr>
      <w:pStyle w:val="Header"/>
      <w:framePr w:wrap="around"/>
    </w:pPr>
    <w:r>
      <w:fldChar w:fldCharType="begin"/>
    </w:r>
    <w:r>
      <w:instrText xml:space="preserve"> TITLE   \* MERGEFORMAT </w:instrText>
    </w:r>
    <w:r>
      <w:fldChar w:fldCharType="separate"/>
    </w:r>
    <w:r>
      <w:t>PMLTEST303B Prepare working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6B07" w:rsidP="00B75D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D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5D2A"/>
    <w:pPr>
      <w:spacing w:before="360" w:after="60"/>
      <w:outlineLvl w:val="0"/>
    </w:pPr>
    <w:rPr>
      <w:sz w:val="32"/>
    </w:rPr>
  </w:style>
  <w:style w:type="paragraph" w:styleId="Heading2">
    <w:name w:val="heading 2"/>
    <w:basedOn w:val="HeadingBase"/>
    <w:next w:val="BodyText"/>
    <w:link w:val="Heading2Char"/>
    <w:qFormat/>
    <w:rsid w:val="00B75D2A"/>
    <w:pPr>
      <w:keepLines/>
      <w:spacing w:before="240" w:after="120"/>
      <w:outlineLvl w:val="1"/>
    </w:pPr>
    <w:rPr>
      <w:sz w:val="28"/>
      <w:szCs w:val="40"/>
    </w:rPr>
  </w:style>
  <w:style w:type="paragraph" w:styleId="Heading3">
    <w:name w:val="heading 3"/>
    <w:basedOn w:val="HeadingBase"/>
    <w:next w:val="BodyText"/>
    <w:link w:val="Heading3Char"/>
    <w:qFormat/>
    <w:rsid w:val="00B75D2A"/>
    <w:pPr>
      <w:spacing w:before="180" w:after="120"/>
      <w:outlineLvl w:val="2"/>
    </w:pPr>
    <w:rPr>
      <w:spacing w:val="-10"/>
      <w:kern w:val="32"/>
    </w:rPr>
  </w:style>
  <w:style w:type="paragraph" w:styleId="Heading4">
    <w:name w:val="heading 4"/>
    <w:basedOn w:val="HeadingBase"/>
    <w:next w:val="BodyText"/>
    <w:link w:val="Heading4Char"/>
    <w:qFormat/>
    <w:rsid w:val="00B75D2A"/>
    <w:pPr>
      <w:spacing w:before="160" w:after="120"/>
      <w:outlineLvl w:val="3"/>
    </w:pPr>
    <w:rPr>
      <w:sz w:val="22"/>
    </w:rPr>
  </w:style>
  <w:style w:type="paragraph" w:styleId="Heading5">
    <w:name w:val="heading 5"/>
    <w:basedOn w:val="HeadingBase"/>
    <w:next w:val="Normal"/>
    <w:link w:val="Heading5Char"/>
    <w:qFormat/>
    <w:rsid w:val="00B75D2A"/>
    <w:pPr>
      <w:spacing w:before="80"/>
      <w:outlineLvl w:val="4"/>
    </w:pPr>
    <w:rPr>
      <w:color w:val="918585"/>
      <w:sz w:val="20"/>
    </w:rPr>
  </w:style>
  <w:style w:type="paragraph" w:styleId="Heading6">
    <w:name w:val="heading 6"/>
    <w:basedOn w:val="HeadingBase"/>
    <w:next w:val="Normal"/>
    <w:link w:val="Heading6Char"/>
    <w:qFormat/>
    <w:rsid w:val="00B75D2A"/>
    <w:pPr>
      <w:spacing w:before="60"/>
      <w:outlineLvl w:val="5"/>
    </w:pPr>
    <w:rPr>
      <w:color w:val="918585"/>
      <w:sz w:val="20"/>
    </w:rPr>
  </w:style>
  <w:style w:type="paragraph" w:styleId="Heading7">
    <w:name w:val="heading 7"/>
    <w:basedOn w:val="Normal"/>
    <w:next w:val="Normal"/>
    <w:link w:val="Heading7Char"/>
    <w:qFormat/>
    <w:rsid w:val="00B75D2A"/>
    <w:pPr>
      <w:ind w:left="720"/>
      <w:outlineLvl w:val="6"/>
    </w:pPr>
    <w:rPr>
      <w:i/>
    </w:rPr>
  </w:style>
  <w:style w:type="paragraph" w:styleId="Heading8">
    <w:name w:val="heading 8"/>
    <w:basedOn w:val="Normal"/>
    <w:next w:val="Normal"/>
    <w:link w:val="Heading8Char"/>
    <w:qFormat/>
    <w:rsid w:val="00B75D2A"/>
    <w:pPr>
      <w:ind w:left="720"/>
      <w:outlineLvl w:val="7"/>
    </w:pPr>
    <w:rPr>
      <w:i/>
    </w:rPr>
  </w:style>
  <w:style w:type="paragraph" w:styleId="Heading9">
    <w:name w:val="heading 9"/>
    <w:basedOn w:val="Normal"/>
    <w:next w:val="Normal"/>
    <w:link w:val="Heading9Char"/>
    <w:qFormat/>
    <w:rsid w:val="00B75D2A"/>
    <w:pPr>
      <w:ind w:left="720"/>
      <w:outlineLvl w:val="8"/>
    </w:pPr>
    <w:rPr>
      <w:i/>
    </w:rPr>
  </w:style>
  <w:style w:type="character" w:default="1" w:styleId="DefaultParagraphFont">
    <w:name w:val="Default Paragraph Font"/>
    <w:uiPriority w:val="1"/>
    <w:unhideWhenUsed/>
    <w:rsid w:val="00B75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D2A"/>
  </w:style>
  <w:style w:type="character" w:customStyle="1" w:styleId="Heading1Char">
    <w:name w:val="Heading 1 Char"/>
    <w:link w:val="Heading1"/>
    <w:rsid w:val="00B75D2A"/>
    <w:rPr>
      <w:rFonts w:ascii="Times New Roman" w:eastAsia="Times New Roman" w:hAnsi="Times New Roman" w:cs="Times New Roman"/>
      <w:b/>
      <w:sz w:val="32"/>
      <w:szCs w:val="20"/>
      <w:lang w:eastAsia="en-US"/>
    </w:rPr>
  </w:style>
  <w:style w:type="paragraph" w:styleId="BodyText">
    <w:name w:val="Body Text"/>
    <w:basedOn w:val="Normal"/>
    <w:link w:val="BodyTextChar"/>
    <w:rsid w:val="00B75D2A"/>
    <w:pPr>
      <w:spacing w:before="120" w:after="120"/>
      <w:contextualSpacing/>
    </w:pPr>
    <w:rPr>
      <w:rFonts w:ascii="Times New Roman" w:hAnsi="Times New Roman"/>
      <w:sz w:val="24"/>
      <w:szCs w:val="22"/>
    </w:rPr>
  </w:style>
  <w:style w:type="character" w:customStyle="1" w:styleId="BodyTextChar">
    <w:name w:val="Body Text Char"/>
    <w:link w:val="BodyText"/>
    <w:rsid w:val="00B75D2A"/>
    <w:rPr>
      <w:rFonts w:ascii="Times New Roman" w:eastAsia="Times New Roman" w:hAnsi="Times New Roman" w:cs="Times New Roman"/>
      <w:sz w:val="24"/>
      <w:lang w:val="en-US" w:eastAsia="en-US"/>
    </w:rPr>
  </w:style>
  <w:style w:type="paragraph" w:styleId="Footer">
    <w:name w:val="footer"/>
    <w:basedOn w:val="Normal"/>
    <w:link w:val="FooterChar"/>
    <w:rsid w:val="00B75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5D2A"/>
    <w:rPr>
      <w:rFonts w:ascii="Times New Roman" w:eastAsia="Times New Roman" w:hAnsi="Times New Roman" w:cs="Times New Roman"/>
      <w:sz w:val="16"/>
      <w:lang w:val="en-US" w:eastAsia="en-US"/>
    </w:rPr>
  </w:style>
  <w:style w:type="character" w:customStyle="1" w:styleId="SpecialBold">
    <w:name w:val="Special Bold"/>
    <w:rsid w:val="00B75D2A"/>
    <w:rPr>
      <w:b/>
      <w:spacing w:val="0"/>
    </w:rPr>
  </w:style>
  <w:style w:type="paragraph" w:styleId="Header">
    <w:name w:val="header"/>
    <w:basedOn w:val="Normal"/>
    <w:link w:val="HeaderChar"/>
    <w:rsid w:val="00B75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5D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5D2A"/>
    <w:pPr>
      <w:spacing w:before="240" w:after="120"/>
      <w:outlineLvl w:val="0"/>
    </w:pPr>
    <w:rPr>
      <w:rFonts w:ascii="Times New Roman" w:hAnsi="Times New Roman"/>
      <w:b/>
      <w:sz w:val="28"/>
    </w:rPr>
  </w:style>
  <w:style w:type="paragraph" w:customStyle="1" w:styleId="AllowPageBreak">
    <w:name w:val="AllowPageBreak"/>
    <w:rsid w:val="00B75D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75D2A"/>
    <w:rPr>
      <w:rFonts w:ascii="Times New Roman" w:eastAsia="Times New Roman" w:hAnsi="Times New Roman" w:cs="Times New Roman"/>
      <w:b/>
      <w:sz w:val="28"/>
      <w:szCs w:val="40"/>
      <w:lang w:eastAsia="en-US"/>
    </w:rPr>
  </w:style>
  <w:style w:type="character" w:customStyle="1" w:styleId="Heading3Char">
    <w:name w:val="Heading 3 Char"/>
    <w:link w:val="Heading3"/>
    <w:rsid w:val="00B75D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5D2A"/>
    <w:rPr>
      <w:rFonts w:ascii="Times New Roman" w:eastAsia="Times New Roman" w:hAnsi="Times New Roman" w:cs="Times New Roman"/>
      <w:b/>
      <w:szCs w:val="20"/>
      <w:lang w:eastAsia="en-US"/>
    </w:rPr>
  </w:style>
  <w:style w:type="character" w:customStyle="1" w:styleId="Heading5Char">
    <w:name w:val="Heading 5 Char"/>
    <w:link w:val="Heading5"/>
    <w:rsid w:val="00B75D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5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D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5D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5D2A"/>
    <w:rPr>
      <w:rFonts w:ascii="Courier New" w:eastAsia="Times New Roman" w:hAnsi="Courier New" w:cs="Times New Roman"/>
      <w:i/>
      <w:szCs w:val="20"/>
      <w:lang w:val="en-US" w:eastAsia="en-US"/>
    </w:rPr>
  </w:style>
  <w:style w:type="paragraph" w:customStyle="1" w:styleId="HeadingBase">
    <w:name w:val="Heading Base"/>
    <w:rsid w:val="00B75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D2A"/>
    <w:pPr>
      <w:tabs>
        <w:tab w:val="right" w:leader="dot" w:pos="9072"/>
      </w:tabs>
      <w:ind w:left="567"/>
    </w:pPr>
    <w:rPr>
      <w:szCs w:val="22"/>
    </w:rPr>
  </w:style>
  <w:style w:type="paragraph" w:customStyle="1" w:styleId="TOCBase">
    <w:name w:val="TOC Base"/>
    <w:rsid w:val="00B75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D2A"/>
    <w:pPr>
      <w:tabs>
        <w:tab w:val="right" w:leader="dot" w:pos="9072"/>
      </w:tabs>
      <w:spacing w:before="40" w:after="40"/>
      <w:ind w:left="284"/>
    </w:pPr>
    <w:rPr>
      <w:rFonts w:ascii="Times New Roman" w:hAnsi="Times New Roman"/>
    </w:rPr>
  </w:style>
  <w:style w:type="paragraph" w:styleId="TOC1">
    <w:name w:val="toc 1"/>
    <w:basedOn w:val="TOCBase"/>
    <w:next w:val="Normal"/>
    <w:rsid w:val="00B75D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5D2A"/>
    <w:pPr>
      <w:spacing w:before="5040"/>
      <w:jc w:val="center"/>
    </w:pPr>
    <w:rPr>
      <w:sz w:val="48"/>
      <w:szCs w:val="72"/>
      <w:lang w:val="en-US"/>
    </w:rPr>
  </w:style>
  <w:style w:type="character" w:customStyle="1" w:styleId="TitleChar">
    <w:name w:val="Title Char"/>
    <w:link w:val="Title"/>
    <w:rsid w:val="00B75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D2A"/>
    <w:pPr>
      <w:tabs>
        <w:tab w:val="left" w:pos="3600"/>
        <w:tab w:val="left" w:pos="3958"/>
      </w:tabs>
    </w:pPr>
  </w:style>
  <w:style w:type="paragraph" w:styleId="List">
    <w:name w:val="List"/>
    <w:basedOn w:val="BodyText"/>
    <w:next w:val="BodyText"/>
    <w:rsid w:val="00B75D2A"/>
    <w:pPr>
      <w:tabs>
        <w:tab w:val="left" w:pos="340"/>
      </w:tabs>
      <w:spacing w:before="60" w:after="60"/>
      <w:ind w:left="340" w:hanging="340"/>
    </w:pPr>
  </w:style>
  <w:style w:type="paragraph" w:styleId="ListBullet">
    <w:name w:val="List Bullet"/>
    <w:basedOn w:val="List"/>
    <w:rsid w:val="00B75D2A"/>
    <w:pPr>
      <w:numPr>
        <w:numId w:val="11"/>
      </w:numPr>
      <w:tabs>
        <w:tab w:val="clear" w:pos="340"/>
      </w:tabs>
      <w:spacing w:before="40" w:after="40"/>
    </w:pPr>
  </w:style>
  <w:style w:type="paragraph" w:customStyle="1" w:styleId="Note">
    <w:name w:val="Note"/>
    <w:basedOn w:val="BodyText"/>
    <w:rsid w:val="00B75D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D2A"/>
    <w:pPr>
      <w:framePr w:wrap="auto" w:hAnchor="text" w:y="6049"/>
    </w:pPr>
    <w:rPr>
      <w:color w:val="000000"/>
      <w:sz w:val="40"/>
    </w:rPr>
  </w:style>
  <w:style w:type="paragraph" w:customStyle="1" w:styleId="TOCTitle">
    <w:name w:val="TOCTitle"/>
    <w:basedOn w:val="Heading1"/>
    <w:rsid w:val="00B75D2A"/>
    <w:pPr>
      <w:spacing w:after="240"/>
      <w:jc w:val="center"/>
      <w:outlineLvl w:val="9"/>
    </w:pPr>
    <w:rPr>
      <w:caps/>
    </w:rPr>
  </w:style>
  <w:style w:type="paragraph" w:customStyle="1" w:styleId="Version">
    <w:name w:val="Version"/>
    <w:rsid w:val="00B75D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D2A"/>
    <w:pPr>
      <w:numPr>
        <w:numId w:val="12"/>
      </w:numPr>
      <w:tabs>
        <w:tab w:val="clear" w:pos="680"/>
      </w:tabs>
    </w:pPr>
  </w:style>
  <w:style w:type="paragraph" w:styleId="Index1">
    <w:name w:val="index 1"/>
    <w:basedOn w:val="Normal"/>
    <w:next w:val="Normal"/>
    <w:semiHidden/>
    <w:rsid w:val="00B75D2A"/>
    <w:pPr>
      <w:keepNext w:val="0"/>
      <w:tabs>
        <w:tab w:val="right" w:pos="4176"/>
      </w:tabs>
      <w:ind w:left="198" w:hanging="198"/>
    </w:pPr>
    <w:rPr>
      <w:rFonts w:ascii="Garamond" w:hAnsi="Garamond"/>
    </w:rPr>
  </w:style>
  <w:style w:type="paragraph" w:styleId="IndexHeading">
    <w:name w:val="index heading"/>
    <w:basedOn w:val="Normal"/>
    <w:next w:val="Index1"/>
    <w:semiHidden/>
    <w:rsid w:val="00B75D2A"/>
    <w:pPr>
      <w:spacing w:before="120" w:after="120"/>
    </w:pPr>
    <w:rPr>
      <w:rFonts w:ascii="Arial" w:hAnsi="Arial"/>
      <w:b/>
      <w:color w:val="918585"/>
      <w:sz w:val="24"/>
    </w:rPr>
  </w:style>
  <w:style w:type="paragraph" w:customStyle="1" w:styleId="Chapter">
    <w:name w:val="Chapter"/>
    <w:basedOn w:val="Normal"/>
    <w:rsid w:val="00B75D2A"/>
    <w:pPr>
      <w:spacing w:before="240"/>
    </w:pPr>
    <w:rPr>
      <w:rFonts w:ascii="Times New Roman" w:hAnsi="Times New Roman"/>
      <w:smallCaps/>
      <w:spacing w:val="80"/>
      <w:sz w:val="28"/>
    </w:rPr>
  </w:style>
  <w:style w:type="paragraph" w:customStyle="1" w:styleId="InChapter">
    <w:name w:val="InChapter"/>
    <w:basedOn w:val="Heading3"/>
    <w:rsid w:val="00B75D2A"/>
    <w:pPr>
      <w:spacing w:after="240"/>
      <w:outlineLvl w:val="9"/>
    </w:pPr>
    <w:rPr>
      <w:noProof/>
    </w:rPr>
  </w:style>
  <w:style w:type="paragraph" w:styleId="Index2">
    <w:name w:val="index 2"/>
    <w:basedOn w:val="Normal"/>
    <w:next w:val="Normal"/>
    <w:semiHidden/>
    <w:rsid w:val="00B75D2A"/>
    <w:pPr>
      <w:tabs>
        <w:tab w:val="right" w:pos="4176"/>
      </w:tabs>
      <w:ind w:left="568" w:hanging="284"/>
    </w:pPr>
    <w:rPr>
      <w:rFonts w:ascii="Garamond" w:hAnsi="Garamond"/>
    </w:rPr>
  </w:style>
  <w:style w:type="paragraph" w:customStyle="1" w:styleId="Byline">
    <w:name w:val="Byline"/>
    <w:rsid w:val="00B75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D2A"/>
    <w:pPr>
      <w:tabs>
        <w:tab w:val="clear" w:pos="3600"/>
        <w:tab w:val="clear" w:pos="3958"/>
      </w:tabs>
      <w:jc w:val="right"/>
    </w:pPr>
  </w:style>
  <w:style w:type="character" w:styleId="Emphasis">
    <w:name w:val="Emphasis"/>
    <w:qFormat/>
    <w:rsid w:val="00B75D2A"/>
    <w:rPr>
      <w:i/>
    </w:rPr>
  </w:style>
  <w:style w:type="paragraph" w:styleId="Caption">
    <w:name w:val="caption"/>
    <w:basedOn w:val="BodyText"/>
    <w:next w:val="Normal"/>
    <w:qFormat/>
    <w:rsid w:val="00B75D2A"/>
    <w:pPr>
      <w:framePr w:w="2268" w:hSpace="181" w:vSpace="181" w:wrap="around" w:vAnchor="text" w:hAnchor="page" w:x="1135" w:y="285" w:anchorLock="1"/>
    </w:pPr>
    <w:rPr>
      <w:i/>
    </w:rPr>
  </w:style>
  <w:style w:type="paragraph" w:customStyle="1" w:styleId="MiniTOCTitle">
    <w:name w:val="MiniTOCTitle"/>
    <w:basedOn w:val="Heading4"/>
    <w:rsid w:val="00B75D2A"/>
    <w:pPr>
      <w:spacing w:before="240"/>
      <w:outlineLvl w:val="9"/>
    </w:pPr>
    <w:rPr>
      <w:noProof/>
      <w:sz w:val="24"/>
    </w:rPr>
  </w:style>
  <w:style w:type="paragraph" w:customStyle="1" w:styleId="MiniTOCItem">
    <w:name w:val="MiniTOCItem"/>
    <w:basedOn w:val="ListBullet"/>
    <w:rsid w:val="00B75D2A"/>
    <w:pPr>
      <w:numPr>
        <w:numId w:val="0"/>
      </w:numPr>
      <w:tabs>
        <w:tab w:val="right" w:leader="dot" w:pos="6521"/>
      </w:tabs>
      <w:spacing w:before="0" w:after="0"/>
    </w:pPr>
  </w:style>
  <w:style w:type="paragraph" w:customStyle="1" w:styleId="TOFTitle">
    <w:name w:val="TOFTitle"/>
    <w:basedOn w:val="TOCTitle"/>
    <w:rsid w:val="00B75D2A"/>
  </w:style>
  <w:style w:type="paragraph" w:styleId="TableofFigures">
    <w:name w:val="table of figures"/>
    <w:basedOn w:val="Normal"/>
    <w:next w:val="Normal"/>
    <w:semiHidden/>
    <w:rsid w:val="00B75D2A"/>
    <w:pPr>
      <w:tabs>
        <w:tab w:val="right" w:leader="dot" w:pos="9072"/>
      </w:tabs>
      <w:ind w:left="970" w:hanging="403"/>
    </w:pPr>
    <w:rPr>
      <w:rFonts w:ascii="Times New Roman" w:hAnsi="Times New Roman"/>
      <w:b/>
    </w:rPr>
  </w:style>
  <w:style w:type="paragraph" w:styleId="ListNumber">
    <w:name w:val="List Number"/>
    <w:basedOn w:val="List"/>
    <w:rsid w:val="00B75D2A"/>
    <w:pPr>
      <w:numPr>
        <w:numId w:val="9"/>
      </w:numPr>
    </w:pPr>
  </w:style>
  <w:style w:type="character" w:customStyle="1" w:styleId="WingdingSymbols">
    <w:name w:val="Wingding Symbols"/>
    <w:rsid w:val="00B75D2A"/>
    <w:rPr>
      <w:rFonts w:ascii="Wingdings" w:hAnsi="Wingdings"/>
    </w:rPr>
  </w:style>
  <w:style w:type="paragraph" w:customStyle="1" w:styleId="TableHeading">
    <w:name w:val="Table Heading"/>
    <w:basedOn w:val="HeadingBase"/>
    <w:rsid w:val="00B75D2A"/>
    <w:pPr>
      <w:keepLines/>
      <w:pBdr>
        <w:bottom w:val="single" w:sz="6" w:space="1" w:color="918585"/>
      </w:pBdr>
      <w:spacing w:before="240"/>
    </w:pPr>
  </w:style>
  <w:style w:type="character" w:customStyle="1" w:styleId="HotSpot">
    <w:name w:val="HotSpot"/>
    <w:rsid w:val="00B75D2A"/>
    <w:rPr>
      <w:color w:val="0033CC"/>
      <w:u w:val="none"/>
    </w:rPr>
  </w:style>
  <w:style w:type="paragraph" w:customStyle="1" w:styleId="BodyTextRight">
    <w:name w:val="Body Text Right"/>
    <w:basedOn w:val="BodyText"/>
    <w:rsid w:val="00B75D2A"/>
    <w:pPr>
      <w:spacing w:before="0" w:after="0"/>
      <w:jc w:val="right"/>
    </w:pPr>
  </w:style>
  <w:style w:type="paragraph" w:styleId="Index3">
    <w:name w:val="index 3"/>
    <w:basedOn w:val="ListNumber2"/>
    <w:next w:val="Normal"/>
    <w:semiHidden/>
    <w:rsid w:val="00B75D2A"/>
    <w:pPr>
      <w:numPr>
        <w:numId w:val="0"/>
      </w:numPr>
      <w:tabs>
        <w:tab w:val="right" w:leader="dot" w:pos="4176"/>
      </w:tabs>
    </w:pPr>
  </w:style>
  <w:style w:type="paragraph" w:styleId="ListNumber2">
    <w:name w:val="List Number 2"/>
    <w:basedOn w:val="List2"/>
    <w:rsid w:val="00B75D2A"/>
    <w:pPr>
      <w:numPr>
        <w:numId w:val="8"/>
      </w:numPr>
      <w:tabs>
        <w:tab w:val="clear" w:pos="1060"/>
      </w:tabs>
    </w:pPr>
  </w:style>
  <w:style w:type="paragraph" w:customStyle="1" w:styleId="MarginNote">
    <w:name w:val="Margin Note"/>
    <w:basedOn w:val="BodyText"/>
    <w:rsid w:val="00B75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5D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5D2A"/>
    <w:rPr>
      <w:sz w:val="32"/>
    </w:rPr>
  </w:style>
  <w:style w:type="paragraph" w:customStyle="1" w:styleId="HeadingProcedure">
    <w:name w:val="Heading Procedure"/>
    <w:basedOn w:val="HeadingBase"/>
    <w:next w:val="Normal"/>
    <w:rsid w:val="00B75D2A"/>
    <w:pPr>
      <w:tabs>
        <w:tab w:val="left" w:pos="0"/>
      </w:tabs>
      <w:spacing w:before="120" w:after="60"/>
    </w:pPr>
    <w:rPr>
      <w:i/>
      <w:color w:val="918585"/>
      <w:sz w:val="22"/>
    </w:rPr>
  </w:style>
  <w:style w:type="paragraph" w:customStyle="1" w:styleId="TableBodyText">
    <w:name w:val="Table Body Text"/>
    <w:basedOn w:val="BodyText"/>
    <w:rsid w:val="00B75D2A"/>
    <w:pPr>
      <w:spacing w:before="60" w:after="60"/>
    </w:pPr>
  </w:style>
  <w:style w:type="paragraph" w:styleId="ListContinue">
    <w:name w:val="List Continue"/>
    <w:basedOn w:val="List"/>
    <w:rsid w:val="00B75D2A"/>
    <w:pPr>
      <w:ind w:firstLine="0"/>
    </w:pPr>
  </w:style>
  <w:style w:type="paragraph" w:customStyle="1" w:styleId="ListNote">
    <w:name w:val="List Note"/>
    <w:basedOn w:val="List"/>
    <w:rsid w:val="00B75D2A"/>
    <w:pPr>
      <w:pBdr>
        <w:top w:val="single" w:sz="6" w:space="2" w:color="918585"/>
        <w:bottom w:val="single" w:sz="6" w:space="2" w:color="918585"/>
      </w:pBdr>
      <w:tabs>
        <w:tab w:val="left" w:pos="1021"/>
      </w:tabs>
      <w:ind w:firstLine="0"/>
    </w:pPr>
  </w:style>
  <w:style w:type="paragraph" w:customStyle="1" w:styleId="Warning">
    <w:name w:val="Warning"/>
    <w:basedOn w:val="BodyText"/>
    <w:rsid w:val="00B75D2A"/>
    <w:pPr>
      <w:shd w:val="clear" w:color="auto" w:fill="D9D9D9"/>
      <w:tabs>
        <w:tab w:val="left" w:pos="992"/>
      </w:tabs>
      <w:ind w:left="119" w:right="119"/>
    </w:pPr>
    <w:rPr>
      <w:sz w:val="20"/>
    </w:rPr>
  </w:style>
  <w:style w:type="paragraph" w:customStyle="1" w:styleId="MarginIcons">
    <w:name w:val="Margin Icons"/>
    <w:basedOn w:val="BodyText"/>
    <w:rsid w:val="00B75D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5D2A"/>
    <w:rPr>
      <w:rFonts w:ascii="Courier New" w:hAnsi="Courier New"/>
    </w:rPr>
  </w:style>
  <w:style w:type="paragraph" w:customStyle="1" w:styleId="NoteBullet">
    <w:name w:val="Note Bullet"/>
    <w:basedOn w:val="Note"/>
    <w:rsid w:val="00B75D2A"/>
    <w:pPr>
      <w:tabs>
        <w:tab w:val="clear" w:pos="680"/>
      </w:tabs>
      <w:spacing w:before="60" w:after="60"/>
    </w:pPr>
  </w:style>
  <w:style w:type="paragraph" w:customStyle="1" w:styleId="SubHeading2">
    <w:name w:val="SubHeading2"/>
    <w:basedOn w:val="HeadingBase"/>
    <w:rsid w:val="00B75D2A"/>
    <w:pPr>
      <w:spacing w:before="240" w:after="60"/>
    </w:pPr>
    <w:rPr>
      <w:sz w:val="20"/>
    </w:rPr>
  </w:style>
  <w:style w:type="paragraph" w:customStyle="1" w:styleId="SubHeading1">
    <w:name w:val="SubHeading1"/>
    <w:basedOn w:val="HeadingBase"/>
    <w:rsid w:val="00B75D2A"/>
    <w:pPr>
      <w:spacing w:before="240" w:after="60"/>
    </w:pPr>
    <w:rPr>
      <w:color w:val="918585"/>
      <w:sz w:val="22"/>
    </w:rPr>
  </w:style>
  <w:style w:type="paragraph" w:customStyle="1" w:styleId="SideHeading">
    <w:name w:val="Side Heading"/>
    <w:basedOn w:val="HeadingBase"/>
    <w:rsid w:val="00B75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D2A"/>
    <w:pPr>
      <w:numPr>
        <w:numId w:val="10"/>
      </w:numPr>
    </w:pPr>
  </w:style>
  <w:style w:type="paragraph" w:styleId="PlainText">
    <w:name w:val="Plain Text"/>
    <w:basedOn w:val="Normal"/>
    <w:link w:val="PlainTextChar"/>
    <w:rsid w:val="00B75D2A"/>
    <w:rPr>
      <w:sz w:val="20"/>
    </w:rPr>
  </w:style>
  <w:style w:type="character" w:customStyle="1" w:styleId="PlainTextChar">
    <w:name w:val="Plain Text Char"/>
    <w:basedOn w:val="DefaultParagraphFont"/>
    <w:link w:val="PlainText"/>
    <w:rsid w:val="00B75D2A"/>
    <w:rPr>
      <w:rFonts w:ascii="Courier New" w:eastAsia="Times New Roman" w:hAnsi="Courier New" w:cs="Times New Roman"/>
      <w:sz w:val="20"/>
      <w:szCs w:val="20"/>
      <w:lang w:val="en-US" w:eastAsia="en-US"/>
    </w:rPr>
  </w:style>
  <w:style w:type="character" w:customStyle="1" w:styleId="MenuOption">
    <w:name w:val="Menu Option"/>
    <w:rsid w:val="00B75D2A"/>
    <w:rPr>
      <w:b/>
      <w:smallCaps/>
    </w:rPr>
  </w:style>
  <w:style w:type="paragraph" w:customStyle="1" w:styleId="TableListNumber">
    <w:name w:val="Table List Number"/>
    <w:basedOn w:val="ListNumber"/>
    <w:rsid w:val="00B75D2A"/>
    <w:pPr>
      <w:numPr>
        <w:numId w:val="0"/>
      </w:numPr>
    </w:pPr>
  </w:style>
  <w:style w:type="paragraph" w:styleId="TOC4">
    <w:name w:val="toc 4"/>
    <w:basedOn w:val="TOCBase"/>
    <w:next w:val="Normal"/>
    <w:semiHidden/>
    <w:rsid w:val="00B75D2A"/>
    <w:pPr>
      <w:tabs>
        <w:tab w:val="right" w:leader="dot" w:pos="9071"/>
      </w:tabs>
      <w:ind w:left="1701"/>
    </w:pPr>
  </w:style>
  <w:style w:type="paragraph" w:customStyle="1" w:styleId="ListAlpha">
    <w:name w:val="List Alpha"/>
    <w:basedOn w:val="List"/>
    <w:rsid w:val="00B75D2A"/>
    <w:pPr>
      <w:numPr>
        <w:numId w:val="7"/>
      </w:numPr>
    </w:pPr>
  </w:style>
  <w:style w:type="paragraph" w:customStyle="1" w:styleId="ListAlpha2">
    <w:name w:val="List Alpha 2"/>
    <w:basedOn w:val="List2"/>
    <w:rsid w:val="00B75D2A"/>
    <w:pPr>
      <w:numPr>
        <w:numId w:val="6"/>
      </w:numPr>
    </w:pPr>
  </w:style>
  <w:style w:type="paragraph" w:styleId="List2">
    <w:name w:val="List 2"/>
    <w:basedOn w:val="BodyText"/>
    <w:rsid w:val="00B75D2A"/>
    <w:pPr>
      <w:tabs>
        <w:tab w:val="left" w:pos="680"/>
      </w:tabs>
      <w:spacing w:before="60" w:after="60"/>
      <w:ind w:left="680" w:hanging="340"/>
    </w:pPr>
  </w:style>
  <w:style w:type="paragraph" w:styleId="List3">
    <w:name w:val="List 3"/>
    <w:basedOn w:val="BodyText"/>
    <w:rsid w:val="00B75D2A"/>
    <w:pPr>
      <w:tabs>
        <w:tab w:val="left" w:pos="1021"/>
      </w:tabs>
      <w:spacing w:before="60" w:after="60"/>
      <w:ind w:left="1020" w:hanging="340"/>
    </w:pPr>
  </w:style>
  <w:style w:type="paragraph" w:styleId="List4">
    <w:name w:val="List 4"/>
    <w:basedOn w:val="BodyText"/>
    <w:rsid w:val="00B75D2A"/>
    <w:pPr>
      <w:tabs>
        <w:tab w:val="left" w:pos="1361"/>
      </w:tabs>
      <w:spacing w:before="60" w:after="60"/>
      <w:ind w:left="1361" w:hanging="340"/>
    </w:pPr>
  </w:style>
  <w:style w:type="paragraph" w:styleId="List5">
    <w:name w:val="List 5"/>
    <w:basedOn w:val="BodyText"/>
    <w:rsid w:val="00B75D2A"/>
    <w:pPr>
      <w:tabs>
        <w:tab w:val="left" w:pos="1701"/>
      </w:tabs>
      <w:spacing w:before="60" w:after="60"/>
      <w:ind w:left="1701" w:hanging="340"/>
    </w:pPr>
  </w:style>
  <w:style w:type="paragraph" w:styleId="ListBullet3">
    <w:name w:val="List Bullet 3"/>
    <w:basedOn w:val="List3"/>
    <w:rsid w:val="00B75D2A"/>
    <w:pPr>
      <w:numPr>
        <w:numId w:val="13"/>
      </w:numPr>
      <w:tabs>
        <w:tab w:val="clear" w:pos="1021"/>
      </w:tabs>
      <w:ind w:left="1037" w:hanging="357"/>
    </w:pPr>
  </w:style>
  <w:style w:type="paragraph" w:styleId="ListBullet4">
    <w:name w:val="List Bullet 4"/>
    <w:basedOn w:val="List4"/>
    <w:rsid w:val="00B75D2A"/>
    <w:pPr>
      <w:numPr>
        <w:numId w:val="1"/>
      </w:numPr>
    </w:pPr>
  </w:style>
  <w:style w:type="paragraph" w:styleId="ListBullet5">
    <w:name w:val="List Bullet 5"/>
    <w:basedOn w:val="List5"/>
    <w:rsid w:val="00B75D2A"/>
    <w:pPr>
      <w:numPr>
        <w:numId w:val="2"/>
      </w:numPr>
    </w:pPr>
  </w:style>
  <w:style w:type="paragraph" w:styleId="ListContinue2">
    <w:name w:val="List Continue 2"/>
    <w:basedOn w:val="List2"/>
    <w:rsid w:val="00B75D2A"/>
    <w:pPr>
      <w:ind w:firstLine="0"/>
    </w:pPr>
  </w:style>
  <w:style w:type="paragraph" w:styleId="ListContinue3">
    <w:name w:val="List Continue 3"/>
    <w:basedOn w:val="List3"/>
    <w:rsid w:val="00B75D2A"/>
    <w:pPr>
      <w:ind w:left="1021" w:firstLine="0"/>
    </w:pPr>
  </w:style>
  <w:style w:type="paragraph" w:styleId="ListContinue4">
    <w:name w:val="List Continue 4"/>
    <w:basedOn w:val="List4"/>
    <w:rsid w:val="00B75D2A"/>
    <w:pPr>
      <w:ind w:firstLine="0"/>
    </w:pPr>
  </w:style>
  <w:style w:type="paragraph" w:styleId="ListContinue5">
    <w:name w:val="List Continue 5"/>
    <w:basedOn w:val="List5"/>
    <w:rsid w:val="00B75D2A"/>
    <w:pPr>
      <w:ind w:firstLine="0"/>
    </w:pPr>
  </w:style>
  <w:style w:type="paragraph" w:styleId="ListNumber3">
    <w:name w:val="List Number 3"/>
    <w:basedOn w:val="List3"/>
    <w:rsid w:val="00B75D2A"/>
    <w:pPr>
      <w:numPr>
        <w:numId w:val="3"/>
      </w:numPr>
    </w:pPr>
  </w:style>
  <w:style w:type="paragraph" w:styleId="ListNumber4">
    <w:name w:val="List Number 4"/>
    <w:basedOn w:val="List4"/>
    <w:rsid w:val="00B75D2A"/>
    <w:pPr>
      <w:numPr>
        <w:numId w:val="4"/>
      </w:numPr>
    </w:pPr>
  </w:style>
  <w:style w:type="paragraph" w:styleId="ListNumber5">
    <w:name w:val="List Number 5"/>
    <w:basedOn w:val="List5"/>
    <w:rsid w:val="00B75D2A"/>
    <w:pPr>
      <w:numPr>
        <w:numId w:val="5"/>
      </w:numPr>
    </w:pPr>
  </w:style>
  <w:style w:type="paragraph" w:styleId="BlockText">
    <w:name w:val="Block Text"/>
    <w:basedOn w:val="Normal"/>
    <w:rsid w:val="00B75D2A"/>
    <w:pPr>
      <w:spacing w:after="120"/>
      <w:ind w:left="1440" w:right="1440"/>
    </w:pPr>
  </w:style>
  <w:style w:type="character" w:customStyle="1" w:styleId="Subscript">
    <w:name w:val="Subscript"/>
    <w:rsid w:val="00B75D2A"/>
    <w:rPr>
      <w:sz w:val="16"/>
      <w:vertAlign w:val="subscript"/>
    </w:rPr>
  </w:style>
  <w:style w:type="character" w:customStyle="1" w:styleId="Superscript">
    <w:name w:val="Superscript"/>
    <w:rsid w:val="00B75D2A"/>
    <w:rPr>
      <w:sz w:val="16"/>
      <w:vertAlign w:val="superscript"/>
    </w:rPr>
  </w:style>
  <w:style w:type="character" w:customStyle="1" w:styleId="Symbols">
    <w:name w:val="Symbols"/>
    <w:rsid w:val="00B75D2A"/>
    <w:rPr>
      <w:rFonts w:ascii="Symbol" w:hAnsi="Symbol"/>
    </w:rPr>
  </w:style>
  <w:style w:type="character" w:customStyle="1" w:styleId="MenuOptions">
    <w:name w:val="Menu Options"/>
    <w:rsid w:val="00B75D2A"/>
    <w:rPr>
      <w:rFonts w:ascii="Arial Narrow" w:hAnsi="Arial Narrow"/>
      <w:smallCaps/>
    </w:rPr>
  </w:style>
  <w:style w:type="character" w:customStyle="1" w:styleId="Buttons">
    <w:name w:val="Buttons"/>
    <w:rsid w:val="00B75D2A"/>
    <w:rPr>
      <w:b/>
    </w:rPr>
  </w:style>
  <w:style w:type="character" w:customStyle="1" w:styleId="Underlined">
    <w:name w:val="Underlined"/>
    <w:rsid w:val="00B75D2A"/>
    <w:rPr>
      <w:u w:val="single"/>
    </w:rPr>
  </w:style>
  <w:style w:type="paragraph" w:customStyle="1" w:styleId="TableBodyTextRight">
    <w:name w:val="Table Body Text Right"/>
    <w:basedOn w:val="TableBodyText"/>
    <w:rsid w:val="00B75D2A"/>
    <w:pPr>
      <w:widowControl w:val="0"/>
      <w:autoSpaceDE w:val="0"/>
      <w:autoSpaceDN w:val="0"/>
      <w:adjustRightInd w:val="0"/>
      <w:jc w:val="right"/>
    </w:pPr>
    <w:rPr>
      <w:rFonts w:cs="Arial"/>
      <w:szCs w:val="18"/>
    </w:rPr>
  </w:style>
  <w:style w:type="paragraph" w:customStyle="1" w:styleId="CopyrightText">
    <w:name w:val="Copyright Text"/>
    <w:basedOn w:val="BodyText"/>
    <w:rsid w:val="00B75D2A"/>
    <w:rPr>
      <w:sz w:val="18"/>
    </w:rPr>
  </w:style>
  <w:style w:type="paragraph" w:customStyle="1" w:styleId="BodySmallRight">
    <w:name w:val="Body Small Right"/>
    <w:basedOn w:val="BodyTextRight"/>
    <w:rsid w:val="00B75D2A"/>
    <w:rPr>
      <w:sz w:val="18"/>
      <w:szCs w:val="18"/>
    </w:rPr>
  </w:style>
  <w:style w:type="paragraph" w:customStyle="1" w:styleId="MarginEdition">
    <w:name w:val="Margin Edition"/>
    <w:basedOn w:val="MarginNote"/>
    <w:rsid w:val="00B75D2A"/>
    <w:pPr>
      <w:spacing w:before="0" w:after="0"/>
    </w:pPr>
    <w:rPr>
      <w:rFonts w:ascii="Times New Roman" w:hAnsi="Times New Roman"/>
      <w:color w:val="999999"/>
    </w:rPr>
  </w:style>
  <w:style w:type="paragraph" w:customStyle="1" w:styleId="Spacer">
    <w:name w:val="Spacer"/>
    <w:basedOn w:val="Normal"/>
    <w:rsid w:val="00B75D2A"/>
    <w:rPr>
      <w:sz w:val="2"/>
      <w:szCs w:val="2"/>
    </w:rPr>
  </w:style>
  <w:style w:type="character" w:customStyle="1" w:styleId="Small">
    <w:name w:val="Small"/>
    <w:rsid w:val="00B75D2A"/>
    <w:rPr>
      <w:sz w:val="16"/>
    </w:rPr>
  </w:style>
  <w:style w:type="paragraph" w:customStyle="1" w:styleId="WideTable">
    <w:name w:val="Wide Table"/>
    <w:basedOn w:val="Normal"/>
    <w:rsid w:val="00B75D2A"/>
    <w:pPr>
      <w:ind w:left="-1418"/>
    </w:pPr>
    <w:rPr>
      <w:sz w:val="2"/>
      <w:szCs w:val="2"/>
    </w:rPr>
  </w:style>
  <w:style w:type="character" w:styleId="PageNumber">
    <w:name w:val="page number"/>
    <w:rsid w:val="00B75D2A"/>
  </w:style>
  <w:style w:type="paragraph" w:styleId="Quote">
    <w:name w:val="Quote"/>
    <w:basedOn w:val="Heading1"/>
    <w:link w:val="QuoteChar"/>
    <w:qFormat/>
    <w:rsid w:val="00B75D2A"/>
    <w:rPr>
      <w:b w:val="0"/>
      <w:sz w:val="72"/>
      <w:szCs w:val="72"/>
      <w:lang w:val="en-NZ"/>
    </w:rPr>
  </w:style>
  <w:style w:type="character" w:customStyle="1" w:styleId="QuoteChar">
    <w:name w:val="Quote Char"/>
    <w:link w:val="Quote"/>
    <w:rsid w:val="00B75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D2A"/>
    <w:pPr>
      <w:pageBreakBefore/>
    </w:pPr>
  </w:style>
  <w:style w:type="paragraph" w:customStyle="1" w:styleId="Border">
    <w:name w:val="Border"/>
    <w:basedOn w:val="Normal"/>
    <w:qFormat/>
    <w:rsid w:val="00B75D2A"/>
    <w:pPr>
      <w:pBdr>
        <w:top w:val="single" w:sz="18" w:space="1" w:color="auto"/>
      </w:pBdr>
    </w:pPr>
    <w:rPr>
      <w:rFonts w:ascii="Times New Roman" w:hAnsi="Times New Roman"/>
      <w:color w:val="FFFFFF"/>
      <w:sz w:val="2"/>
    </w:rPr>
  </w:style>
  <w:style w:type="character" w:styleId="IntenseEmphasis">
    <w:name w:val="Intense Emphasis"/>
    <w:uiPriority w:val="21"/>
    <w:qFormat/>
    <w:rsid w:val="00B75D2A"/>
    <w:rPr>
      <w:b/>
      <w:bCs/>
      <w:i/>
      <w:iCs/>
      <w:color w:val="auto"/>
    </w:rPr>
  </w:style>
  <w:style w:type="paragraph" w:styleId="IntenseQuote">
    <w:name w:val="Intense Quote"/>
    <w:basedOn w:val="Normal"/>
    <w:next w:val="Normal"/>
    <w:link w:val="IntenseQuoteChar"/>
    <w:uiPriority w:val="30"/>
    <w:qFormat/>
    <w:rsid w:val="00B75D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5D2A"/>
    <w:rPr>
      <w:rFonts w:ascii="Courier New" w:eastAsia="Times New Roman" w:hAnsi="Courier New" w:cs="Times New Roman"/>
      <w:b/>
      <w:bCs/>
      <w:i/>
      <w:iCs/>
      <w:szCs w:val="20"/>
      <w:lang w:val="en-US" w:eastAsia="en-US"/>
    </w:rPr>
  </w:style>
  <w:style w:type="character" w:styleId="SubtleReference">
    <w:name w:val="Subtle Reference"/>
    <w:uiPriority w:val="31"/>
    <w:qFormat/>
    <w:rsid w:val="00B75D2A"/>
    <w:rPr>
      <w:smallCaps/>
      <w:color w:val="auto"/>
      <w:u w:val="single"/>
    </w:rPr>
  </w:style>
  <w:style w:type="character" w:styleId="IntenseReference">
    <w:name w:val="Intense Reference"/>
    <w:uiPriority w:val="32"/>
    <w:qFormat/>
    <w:rsid w:val="00B75D2A"/>
    <w:rPr>
      <w:b/>
      <w:bCs/>
      <w:smallCaps/>
      <w:color w:val="auto"/>
      <w:spacing w:val="5"/>
      <w:u w:val="single"/>
    </w:rPr>
  </w:style>
  <w:style w:type="paragraph" w:customStyle="1" w:styleId="2ColumnHeading">
    <w:name w:val="2Column Heading"/>
    <w:basedOn w:val="BodyText"/>
    <w:qFormat/>
    <w:rsid w:val="00B75D2A"/>
    <w:pPr>
      <w:spacing w:after="60"/>
      <w:ind w:left="-2268"/>
    </w:pPr>
    <w:rPr>
      <w:b/>
    </w:rPr>
  </w:style>
  <w:style w:type="paragraph" w:customStyle="1" w:styleId="Heading1TOC">
    <w:name w:val="Heading1 TOC"/>
    <w:basedOn w:val="Normal"/>
    <w:qFormat/>
    <w:rsid w:val="00B75D2A"/>
    <w:pPr>
      <w:spacing w:before="240" w:after="120"/>
    </w:pPr>
    <w:rPr>
      <w:rFonts w:ascii="Times New Roman" w:hAnsi="Times New Roman"/>
      <w:b/>
      <w:sz w:val="32"/>
    </w:rPr>
  </w:style>
  <w:style w:type="paragraph" w:customStyle="1" w:styleId="Heading2TOC">
    <w:name w:val="Heading2 TOC"/>
    <w:basedOn w:val="Normal"/>
    <w:qFormat/>
    <w:rsid w:val="00B75D2A"/>
    <w:pPr>
      <w:spacing w:before="240" w:after="60"/>
    </w:pPr>
    <w:rPr>
      <w:rFonts w:ascii="Times New Roman" w:hAnsi="Times New Roman"/>
      <w:b/>
      <w:sz w:val="28"/>
    </w:rPr>
  </w:style>
  <w:style w:type="character" w:customStyle="1" w:styleId="Underline">
    <w:name w:val="Underline"/>
    <w:qFormat/>
    <w:rsid w:val="00B75D2A"/>
    <w:rPr>
      <w:u w:val="single"/>
    </w:rPr>
  </w:style>
  <w:style w:type="character" w:customStyle="1" w:styleId="BoldandItalics">
    <w:name w:val="Bold and Italics"/>
    <w:qFormat/>
    <w:rsid w:val="00B75D2A"/>
    <w:rPr>
      <w:b/>
      <w:i/>
      <w:u w:val="none"/>
    </w:rPr>
  </w:style>
  <w:style w:type="paragraph" w:styleId="BalloonText">
    <w:name w:val="Balloon Text"/>
    <w:basedOn w:val="Normal"/>
    <w:link w:val="BalloonTextChar"/>
    <w:rsid w:val="00B75D2A"/>
    <w:rPr>
      <w:rFonts w:ascii="Tahoma" w:hAnsi="Tahoma" w:cs="Tahoma"/>
      <w:sz w:val="16"/>
      <w:szCs w:val="16"/>
    </w:rPr>
  </w:style>
  <w:style w:type="character" w:customStyle="1" w:styleId="BalloonTextChar">
    <w:name w:val="Balloon Text Char"/>
    <w:link w:val="BalloonText"/>
    <w:rsid w:val="00B75D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5D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5D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10200</Characters>
  <Application>Microsoft Office Word</Application>
  <DocSecurity>0</DocSecurity>
  <Lines>286</Lines>
  <Paragraphs>170</Paragraphs>
  <ScaleCrop>false</ScaleCrop>
  <Company>Author-it Software Corporation Ltd.</Company>
  <LinksUpToDate>false</LinksUpToDate>
  <CharactersWithSpaces>11689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PMLTEST303B Prepare working solutions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2012-05-26T08:10:00Z</dcterms:created>
  <dcterms:modified xsi:type="dcterms:W3CDTF">2012-05-26T08:10:00Z</dcterms:modified>
</cp:coreProperties>
</file>