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AF6" w:rsidP="00922AF6">
      <w:pPr>
        <w:pStyle w:val="Title"/>
      </w:pPr>
      <w:r>
        <w:fldChar w:fldCharType="begin"/>
      </w:r>
      <w:r>
        <w:instrText xml:space="preserve"> TITLE   \* MERGEFORMAT </w:instrText>
      </w:r>
      <w:r>
        <w:fldChar w:fldCharType="separate"/>
      </w:r>
      <w:r>
        <w:t>PMLTEST300B Perform basic tests</w:t>
      </w:r>
      <w:r>
        <w:fldChar w:fldCharType="end"/>
      </w:r>
    </w:p>
    <w:p w:rsidR="00922AF6" w:rsidP="00922AF6">
      <w:pPr>
        <w:pStyle w:val="Version"/>
        <w:sectPr w:rsidSect="00F302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2BF" w:rsidP="00F302BF">
      <w:pPr>
        <w:pStyle w:val="SuperHeading"/>
      </w:pPr>
      <w:r w:rsidRPr="00F302BF">
        <w:t>PMLTEST300B Perform basic tests</w:t>
      </w:r>
    </w:p>
    <w:p w:rsidR="00000000" w:rsidRPr="00F302BF" w:rsidP="00F302BF">
      <w:pPr>
        <w:pStyle w:val="Heading1"/>
      </w:pPr>
      <w:bookmarkStart w:id="1" w:name="O_312170"/>
      <w:bookmarkEnd w:id="1"/>
      <w:r w:rsidRPr="00F302BF">
        <w:t>Modification History</w:t>
      </w:r>
    </w:p>
    <w:p w:rsidR="00000000" w:rsidRPr="00F302BF" w:rsidP="00F302BF">
      <w:pPr>
        <w:pStyle w:val="Heading1"/>
      </w:pPr>
      <w:bookmarkStart w:id="2" w:name="O_312174"/>
      <w:bookmarkEnd w:id="2"/>
      <w:r w:rsidRPr="00F302BF">
        <w:t>Unit Descriptor</w:t>
      </w:r>
    </w:p>
    <w:p w:rsidR="00000000" w:rsidRPr="00F302BF" w:rsidP="00F302BF">
      <w:pPr>
        <w:pStyle w:val="BodyText"/>
      </w:pPr>
      <w:r w:rsidRPr="00F302BF">
        <w:t xml:space="preserve">This unit of competency covers the ability to perform tests using standard methods and with access to readily available advice. Personnel are required </w:t>
      </w:r>
      <w:r w:rsidRPr="00F302BF">
        <w:t>to demonstrate close attention to the accuracy and precision of measurements and the data obtained. In general, they do not calibrate equipment and make only limited adjustments to the controls. The unit of competency does not cover interpretation or analy</w:t>
      </w:r>
      <w:r w:rsidRPr="00F302BF">
        <w:t>sis of results or troubleshooting equipment problems.</w:t>
      </w:r>
    </w:p>
    <w:p w:rsidR="00000000" w:rsidRPr="00F302BF" w:rsidP="00F302BF">
      <w:pPr>
        <w:pStyle w:val="BodyText"/>
      </w:pPr>
      <w:r w:rsidRPr="00F302BF">
        <w:t>This unit competency has no prerequisites.</w:t>
      </w:r>
    </w:p>
    <w:p w:rsidR="00000000" w:rsidRPr="00F302BF" w:rsidP="00F302BF">
      <w:pPr>
        <w:pStyle w:val="BodyText"/>
      </w:pPr>
      <w:r w:rsidRPr="00F302BF">
        <w:t>This unit of competency is applicable to laboratory/field assistants working in all industry sectors.</w:t>
      </w:r>
    </w:p>
    <w:p w:rsidR="00000000" w:rsidRPr="00F302BF" w:rsidP="00F302BF">
      <w:pPr>
        <w:pStyle w:val="BodyText"/>
      </w:pPr>
      <w:r w:rsidRPr="00F302BF">
        <w:t>Industry representatives have provided case studies to il</w:t>
      </w:r>
      <w:r w:rsidRPr="00F302BF">
        <w:t>lustrate the practical application of this unit of competency and to show its relevance in a workplace setting. These are found at the end of this unit of competency under the section This competency in practice.</w:t>
      </w:r>
    </w:p>
    <w:p w:rsidR="00000000" w:rsidRPr="00F302BF" w:rsidP="00F302BF">
      <w:pPr>
        <w:pStyle w:val="AllowPageBreak"/>
      </w:pPr>
    </w:p>
    <w:p w:rsidR="00000000" w:rsidRPr="00F302BF" w:rsidP="00F302BF">
      <w:pPr>
        <w:pStyle w:val="Heading1"/>
      </w:pPr>
      <w:bookmarkStart w:id="3" w:name="O_312173"/>
      <w:bookmarkEnd w:id="3"/>
      <w:r w:rsidRPr="00F302BF">
        <w:t>Application of the Unit</w:t>
      </w:r>
    </w:p>
    <w:p w:rsidR="00000000" w:rsidRPr="00F302BF" w:rsidP="00F302BF">
      <w:pPr>
        <w:pStyle w:val="Heading1"/>
      </w:pPr>
      <w:bookmarkStart w:id="4" w:name="O_312172"/>
      <w:bookmarkEnd w:id="4"/>
      <w:r w:rsidRPr="00F302BF">
        <w:t>Licensing/Regulatory Information</w:t>
      </w:r>
    </w:p>
    <w:p w:rsidR="00000000" w:rsidRPr="00F302BF" w:rsidP="00F302BF">
      <w:pPr>
        <w:pStyle w:val="Heading1"/>
      </w:pPr>
      <w:bookmarkStart w:id="5" w:name="O_312171"/>
      <w:bookmarkEnd w:id="5"/>
      <w:r w:rsidRPr="00F302BF">
        <w:t>Pre-Requisites</w:t>
      </w:r>
    </w:p>
    <w:p w:rsidR="00000000" w:rsidRPr="00F302BF" w:rsidP="00F302BF">
      <w:pPr>
        <w:pStyle w:val="Heading1"/>
      </w:pPr>
      <w:bookmarkStart w:id="6" w:name="O_312165"/>
      <w:bookmarkEnd w:id="6"/>
      <w:r w:rsidRPr="00F302BF">
        <w:t>Employability Skills Information</w:t>
      </w:r>
    </w:p>
    <w:p w:rsidR="00000000" w:rsidRPr="00F302BF" w:rsidP="00F302BF">
      <w:pPr>
        <w:pStyle w:val="Heading1"/>
      </w:pPr>
      <w:bookmarkStart w:id="7" w:name="O_312164"/>
      <w:bookmarkEnd w:id="7"/>
      <w:r w:rsidRPr="00F302BF">
        <w:t>Elements and Performance Criteria Pre-Content</w:t>
      </w:r>
    </w:p>
    <w:p w:rsidR="00000000" w:rsidRPr="00F302BF" w:rsidP="00F302BF">
      <w:pPr>
        <w:pStyle w:val="BodyText"/>
      </w:pPr>
      <w:r w:rsidRPr="00F302BF">
        <w:t>Elements describe the essential outcomes of a unit of competency.</w:t>
      </w:r>
    </w:p>
    <w:p w:rsidR="00000000" w:rsidRPr="00F302BF" w:rsidP="00F302BF">
      <w:pPr>
        <w:pStyle w:val="BodyText"/>
      </w:pPr>
      <w:r w:rsidRPr="00F302BF">
        <w:t>Performance Criteria describe the level of performance required to demonstrate achievement of the element.</w:t>
      </w:r>
    </w:p>
    <w:p w:rsidR="00000000" w:rsidRPr="00F302BF" w:rsidP="00F302BF">
      <w:pPr>
        <w:pStyle w:val="AllowPageBreak"/>
      </w:pPr>
    </w:p>
    <w:p w:rsidR="00000000" w:rsidRPr="00F302BF" w:rsidP="00F302BF">
      <w:pPr>
        <w:pStyle w:val="Heading1"/>
      </w:pPr>
      <w:bookmarkStart w:id="8" w:name="O_312175"/>
      <w:bookmarkEnd w:id="8"/>
      <w:r w:rsidRPr="00F302B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22AF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rPr>
                <w:rStyle w:val="SpecialBold"/>
              </w:rPr>
              <w:t>Elements and Performance Criteria</w:t>
            </w:r>
          </w:p>
        </w:tc>
      </w:tr>
      <w:tr w:rsidTr="00922AF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302BF" w:rsidP="00F302BF">
            <w:pPr>
              <w:pStyle w:val="BodyText"/>
            </w:pPr>
            <w:r w:rsidRPr="00F302B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rPr>
                <w:rStyle w:val="SpecialBold"/>
              </w:rPr>
              <w:t>Performance Criteria</w:t>
            </w:r>
          </w:p>
        </w:tc>
      </w:tr>
      <w:tr w:rsidTr="00922A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1</w:t>
            </w:r>
          </w:p>
        </w:tc>
        <w:tc>
          <w:tcPr>
            <w:tcW w:w="3000" w:type="dxa"/>
            <w:vMerge w:val="restart"/>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Interpret test requirements</w:t>
            </w: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1.1</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Review test request to identify samples to be tested, test method and equipment involved</w:t>
            </w:r>
          </w:p>
        </w:tc>
      </w:tr>
      <w:tr w:rsidTr="00922A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1.2</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Identify hazards and enterprise controls associated with the sample, preparation methods, reagents and/or equipment</w:t>
            </w:r>
          </w:p>
        </w:tc>
      </w:tr>
      <w:tr w:rsidTr="00922A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2</w:t>
            </w:r>
          </w:p>
        </w:tc>
        <w:tc>
          <w:tcPr>
            <w:tcW w:w="3000" w:type="dxa"/>
            <w:vMerge w:val="restart"/>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Prepare sample</w:t>
            </w: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2.1</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Record sample description, compare with specification, record and report discrepancies</w:t>
            </w:r>
          </w:p>
        </w:tc>
      </w:tr>
      <w:tr w:rsidTr="00922A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2.2</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Prepare sample in accordance with appropriate standard methods</w:t>
            </w:r>
          </w:p>
        </w:tc>
      </w:tr>
      <w:tr w:rsidTr="00922A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3</w:t>
            </w:r>
          </w:p>
        </w:tc>
        <w:tc>
          <w:tcPr>
            <w:tcW w:w="3000" w:type="dxa"/>
            <w:vMerge w:val="restart"/>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Check equipment before use</w:t>
            </w: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3.1</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 xml:space="preserve">Set up test equipment in accordance with test </w:t>
            </w:r>
            <w:r w:rsidRPr="00F302BF">
              <w:t>method</w:t>
            </w:r>
          </w:p>
        </w:tc>
      </w:tr>
      <w:tr w:rsidTr="00922A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3.2</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Perform pre-use and safety checks in accordance with enterprise procedures and manufacturer's instructions</w:t>
            </w:r>
          </w:p>
        </w:tc>
      </w:tr>
      <w:tr w:rsidTr="00922A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3.3</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Identify faulty or unsafe equipment and report to appropriate personnel</w:t>
            </w:r>
          </w:p>
        </w:tc>
      </w:tr>
      <w:tr w:rsidTr="00922A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3.4</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Check calibration status of equipment and report any out of calibration items to appropriate personnel</w:t>
            </w:r>
          </w:p>
        </w:tc>
      </w:tr>
      <w:tr w:rsidTr="00922A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4</w:t>
            </w:r>
          </w:p>
        </w:tc>
        <w:tc>
          <w:tcPr>
            <w:tcW w:w="3000" w:type="dxa"/>
            <w:vMerge w:val="restart"/>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Perform tests on samples</w:t>
            </w: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4.1</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Identify, prepare and weigh or measure sample and standards to be tested</w:t>
            </w:r>
          </w:p>
        </w:tc>
      </w:tr>
      <w:tr w:rsidTr="00922A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4.2</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Conduct tests in accordance with enterpri</w:t>
            </w:r>
            <w:r w:rsidRPr="00F302BF">
              <w:t>se procedures</w:t>
            </w:r>
          </w:p>
        </w:tc>
      </w:tr>
      <w:tr w:rsidTr="00922A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4.3</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Record data in accordance with enterprise procedures</w:t>
            </w:r>
          </w:p>
        </w:tc>
      </w:tr>
      <w:tr w:rsidTr="00922A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4.4</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Perform calculations on data as required</w:t>
            </w:r>
          </w:p>
        </w:tc>
      </w:tr>
      <w:tr w:rsidTr="00922A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4.5</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Identify and report 'out of specification' or atypical results promptly to appropriate personnel</w:t>
            </w:r>
          </w:p>
        </w:tc>
      </w:tr>
      <w:tr w:rsidTr="00922A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4.6</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Shut down equipment in accordance with operating procedures</w:t>
            </w:r>
          </w:p>
        </w:tc>
      </w:tr>
      <w:tr w:rsidTr="00922A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5</w:t>
            </w:r>
          </w:p>
        </w:tc>
        <w:tc>
          <w:tcPr>
            <w:tcW w:w="3000" w:type="dxa"/>
            <w:vMerge w:val="restart"/>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Maintain a safe work environment</w:t>
            </w: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5.1</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Use established safe work practices and personal protective equipment to ensure personal safety and that of other laboratory personnel</w:t>
            </w:r>
          </w:p>
        </w:tc>
      </w:tr>
      <w:tr w:rsidTr="00922A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5.2</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Minimise the generation of wastes and environmental impacts</w:t>
            </w:r>
          </w:p>
        </w:tc>
      </w:tr>
      <w:tr w:rsidTr="00922A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5.3</w:t>
            </w:r>
          </w:p>
        </w:tc>
        <w:tc>
          <w:tcPr>
            <w:tcW w:w="51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Ensure safe disposal of laboratory and hazardous wastes</w:t>
            </w:r>
          </w:p>
        </w:tc>
      </w:tr>
      <w:tr w:rsidTr="00922A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5.4</w:t>
            </w:r>
          </w:p>
        </w:tc>
        <w:tc>
          <w:tcPr>
            <w:tcW w:w="5100" w:type="dxa"/>
            <w:tcBorders>
              <w:top w:val="nil"/>
              <w:left w:val="nil"/>
              <w:bottom w:val="nil"/>
              <w:right w:val="nil"/>
            </w:tcBorders>
            <w:tcMar>
              <w:top w:w="0" w:type="dxa"/>
              <w:left w:w="62" w:type="dxa"/>
              <w:bottom w:w="0" w:type="dxa"/>
              <w:right w:w="62" w:type="dxa"/>
            </w:tcMar>
          </w:tcPr>
          <w:p w:rsidR="00000000" w:rsidRPr="00F302BF" w:rsidP="00F302BF">
            <w:pPr>
              <w:pStyle w:val="BodyText"/>
            </w:pPr>
            <w:r w:rsidRPr="00F302BF">
              <w:t>Clean, care for and store equipment and reagents as required.</w:t>
            </w:r>
          </w:p>
        </w:tc>
      </w:tr>
    </w:tbl>
    <w:p w:rsidR="00000000" w:rsidRPr="00F302BF" w:rsidP="00F302BF">
      <w:pPr>
        <w:pStyle w:val="BodyText"/>
      </w:pPr>
    </w:p>
    <w:p w:rsidR="00000000" w:rsidRPr="00F302BF" w:rsidP="00F302BF">
      <w:pPr>
        <w:pStyle w:val="AllowPageBreak"/>
      </w:pPr>
    </w:p>
    <w:p w:rsidR="00000000" w:rsidRPr="00F302BF" w:rsidP="00F302BF">
      <w:pPr>
        <w:pStyle w:val="Heading1"/>
      </w:pPr>
      <w:bookmarkStart w:id="9" w:name="O_312169"/>
      <w:bookmarkEnd w:id="9"/>
      <w:r w:rsidRPr="00F302BF">
        <w:t>Required Skills and Knowledge</w:t>
      </w:r>
    </w:p>
    <w:p w:rsidR="00000000" w:rsidRPr="00F302BF" w:rsidP="00F302BF">
      <w:pPr>
        <w:pStyle w:val="Heading1"/>
      </w:pPr>
      <w:bookmarkStart w:id="10" w:name="O_312168"/>
      <w:bookmarkEnd w:id="10"/>
      <w:r w:rsidRPr="00F302BF">
        <w:t>Evidence Guide</w:t>
      </w:r>
    </w:p>
    <w:p w:rsidR="00000000" w:rsidRPr="00F302BF" w:rsidP="00F302BF">
      <w:pPr>
        <w:pStyle w:val="BodyText"/>
      </w:pPr>
      <w:r w:rsidRPr="00F302BF">
        <w:t>The Evidence Guide describes the underpinning knowledge and skills that must be demonstrated to prove competence.</w:t>
      </w:r>
    </w:p>
    <w:p w:rsidR="00000000" w:rsidRPr="00F302BF" w:rsidP="00F302BF">
      <w:pPr>
        <w:pStyle w:val="BodyText"/>
      </w:pPr>
      <w:r w:rsidRPr="00F302BF">
        <w:rPr>
          <w:rStyle w:val="SpecialBold"/>
        </w:rPr>
        <w:t>Critical aspects of competency</w:t>
      </w:r>
    </w:p>
    <w:p w:rsidR="00000000" w:rsidRPr="00F302BF" w:rsidP="00F302BF">
      <w:pPr>
        <w:pStyle w:val="BodyText"/>
      </w:pPr>
      <w:r w:rsidRPr="00F302BF">
        <w:t>Competency must be demonstrated in the ability to perform consistently at the required s</w:t>
      </w:r>
      <w:r w:rsidRPr="00F302BF">
        <w:t>tandard. In particular, assessors should look to see that the candidate:</w:t>
      </w:r>
    </w:p>
    <w:p w:rsidR="00000000" w:rsidRPr="00F302BF" w:rsidP="00F302BF">
      <w:pPr>
        <w:pStyle w:val="BodyText"/>
      </w:pPr>
      <w:r w:rsidRPr="00F302BF">
        <w:t>interprets enterprise procedure or standard methods accurately</w:t>
      </w:r>
    </w:p>
    <w:p w:rsidR="00000000" w:rsidRPr="00F302BF" w:rsidP="00F302BF">
      <w:pPr>
        <w:pStyle w:val="BodyText"/>
      </w:pPr>
      <w:r w:rsidRPr="00F302BF">
        <w:t>uses safety information (for example, MSDSs) and performs procedures safely</w:t>
      </w:r>
    </w:p>
    <w:p w:rsidR="00000000" w:rsidRPr="00F302BF" w:rsidP="00F302BF">
      <w:pPr>
        <w:pStyle w:val="BodyText"/>
      </w:pPr>
      <w:r w:rsidRPr="00F302BF">
        <w:t>checks test equipment before use</w:t>
      </w:r>
    </w:p>
    <w:p w:rsidR="00000000" w:rsidRPr="00F302BF" w:rsidP="00F302BF">
      <w:pPr>
        <w:pStyle w:val="BodyText"/>
      </w:pPr>
      <w:r w:rsidRPr="00F302BF">
        <w:t>completes a</w:t>
      </w:r>
      <w:r w:rsidRPr="00F302BF">
        <w:t>ll tests within required timeline without sacrificing safety, accuracy or quality</w:t>
      </w:r>
    </w:p>
    <w:p w:rsidR="00000000" w:rsidRPr="00F302BF" w:rsidP="00F302BF">
      <w:pPr>
        <w:pStyle w:val="BodyText"/>
      </w:pPr>
      <w:r w:rsidRPr="00F302BF">
        <w:t>calculates, records and presents results accurately and legibly</w:t>
      </w:r>
    </w:p>
    <w:p w:rsidR="00000000" w:rsidRPr="00F302BF" w:rsidP="00F302BF">
      <w:pPr>
        <w:pStyle w:val="BodyText"/>
      </w:pPr>
      <w:r w:rsidRPr="00F302BF">
        <w:t>maintains security, integrity and traceability of all samples, data/results and documentation</w:t>
      </w:r>
    </w:p>
    <w:p w:rsidR="00000000" w:rsidRPr="00F302BF" w:rsidP="00F302BF">
      <w:pPr>
        <w:pStyle w:val="BodyText"/>
      </w:pPr>
      <w:r w:rsidRPr="00F302BF">
        <w:t>cleans and maint</w:t>
      </w:r>
      <w:r w:rsidRPr="00F302BF">
        <w:t>ains equipment.</w:t>
      </w:r>
    </w:p>
    <w:p w:rsidR="00000000" w:rsidRPr="00F302BF" w:rsidP="00F302BF">
      <w:pPr>
        <w:pStyle w:val="BodyText"/>
      </w:pPr>
      <w:r w:rsidRPr="00F302BF">
        <w:rPr>
          <w:rStyle w:val="SpecialBold"/>
        </w:rPr>
        <w:t>Underpinning knowledge</w:t>
      </w:r>
    </w:p>
    <w:p w:rsidR="00000000" w:rsidRPr="00F302BF" w:rsidP="00F302BF">
      <w:pPr>
        <w:pStyle w:val="BodyText"/>
      </w:pPr>
      <w:r w:rsidRPr="00F302BF">
        <w:t>Competency includes the ability to apply and explain:</w:t>
      </w:r>
    </w:p>
    <w:p w:rsidR="00000000" w:rsidRPr="00F302BF" w:rsidP="00F302BF">
      <w:pPr>
        <w:pStyle w:val="BodyText"/>
      </w:pPr>
      <w:r w:rsidRPr="00F302BF">
        <w:t xml:space="preserve">purpose of test </w:t>
      </w:r>
    </w:p>
    <w:p w:rsidR="00000000" w:rsidRPr="00F302BF" w:rsidP="00F302BF">
      <w:pPr>
        <w:pStyle w:val="BodyText"/>
      </w:pPr>
      <w:r w:rsidRPr="00F302BF">
        <w:t>principles of the standard method</w:t>
      </w:r>
    </w:p>
    <w:p w:rsidR="00000000" w:rsidRPr="00F302BF" w:rsidP="00F302BF">
      <w:pPr>
        <w:pStyle w:val="BodyText"/>
      </w:pPr>
      <w:r w:rsidRPr="00F302BF">
        <w:t>pre-use equipment checks</w:t>
      </w:r>
    </w:p>
    <w:p w:rsidR="00000000" w:rsidRPr="00F302BF" w:rsidP="00F302BF">
      <w:pPr>
        <w:pStyle w:val="BodyText"/>
      </w:pPr>
      <w:r w:rsidRPr="00F302BF">
        <w:t>relevant standards/specifications and their interpretation</w:t>
      </w:r>
    </w:p>
    <w:p w:rsidR="00000000" w:rsidRPr="00F302BF" w:rsidP="00F302BF">
      <w:pPr>
        <w:pStyle w:val="BodyText"/>
      </w:pPr>
      <w:r w:rsidRPr="00F302BF">
        <w:t>sources of uncertainty in measurement and methods for control</w:t>
      </w:r>
    </w:p>
    <w:p w:rsidR="00000000" w:rsidRPr="00F302BF" w:rsidP="00F302BF">
      <w:pPr>
        <w:pStyle w:val="BodyText"/>
      </w:pPr>
      <w:r w:rsidRPr="00F302BF">
        <w:t>enterprise and/or legal traceability requirements</w:t>
      </w:r>
    </w:p>
    <w:p w:rsidR="00000000" w:rsidRPr="00F302BF" w:rsidP="00F302BF">
      <w:pPr>
        <w:pStyle w:val="BodyText"/>
      </w:pPr>
      <w:r w:rsidRPr="00F302BF">
        <w:t>interpretation and recording of test result, including simple calculations</w:t>
      </w:r>
    </w:p>
    <w:p w:rsidR="00000000" w:rsidRPr="00F302BF" w:rsidP="00F302BF">
      <w:pPr>
        <w:pStyle w:val="BodyText"/>
      </w:pPr>
      <w:r w:rsidRPr="00F302BF">
        <w:t>procedures for recognition/reporting of unexpected or unusual results</w:t>
      </w:r>
    </w:p>
    <w:p w:rsidR="00000000" w:rsidRPr="00F302BF" w:rsidP="00F302BF">
      <w:pPr>
        <w:pStyle w:val="BodyText"/>
      </w:pPr>
      <w:r w:rsidRPr="00F302BF">
        <w:t>relevant health, safety and environment requirements.</w:t>
      </w:r>
    </w:p>
    <w:p w:rsidR="00000000" w:rsidRPr="00F302BF" w:rsidP="00F302BF">
      <w:pPr>
        <w:pStyle w:val="BodyText"/>
      </w:pPr>
      <w:r w:rsidRPr="00F302BF">
        <w:rPr>
          <w:rStyle w:val="SpecialBold"/>
        </w:rPr>
        <w:t>Assessment context and methods</w:t>
      </w:r>
    </w:p>
    <w:p w:rsidR="00000000" w:rsidRPr="00F302BF" w:rsidP="00F302BF">
      <w:pPr>
        <w:pStyle w:val="BodyText"/>
      </w:pPr>
      <w:r w:rsidRPr="00F302BF">
        <w:t xml:space="preserve">This unit of competency is to be assessed in the workplace or simulated workplace environment. </w:t>
      </w:r>
    </w:p>
    <w:p w:rsidR="00000000" w:rsidRPr="00F302BF" w:rsidP="00F302BF">
      <w:pPr>
        <w:pStyle w:val="BodyText"/>
      </w:pPr>
      <w:r w:rsidRPr="00F302BF">
        <w:t>The following assessment methods are suggested:</w:t>
      </w:r>
    </w:p>
    <w:p w:rsidR="00000000" w:rsidRPr="00F302BF" w:rsidP="00F302BF">
      <w:pPr>
        <w:pStyle w:val="BodyText"/>
      </w:pPr>
      <w:r w:rsidRPr="00F302BF">
        <w:t>review of the quality of t</w:t>
      </w:r>
      <w:r w:rsidRPr="00F302BF">
        <w:t>est data/results achieved by the candidate over time</w:t>
      </w:r>
    </w:p>
    <w:p w:rsidR="00000000" w:rsidRPr="00F302BF" w:rsidP="00F302BF">
      <w:pPr>
        <w:pStyle w:val="BodyText"/>
      </w:pPr>
      <w:r w:rsidRPr="00F302BF">
        <w:t>inspection of records and workplace documentation completed by the candidate</w:t>
      </w:r>
    </w:p>
    <w:p w:rsidR="00000000" w:rsidRPr="00F302BF" w:rsidP="00F302BF">
      <w:pPr>
        <w:pStyle w:val="BodyText"/>
      </w:pPr>
      <w:r w:rsidRPr="00F302BF">
        <w:t>feedback from peers and supervisors</w:t>
      </w:r>
    </w:p>
    <w:p w:rsidR="00000000" w:rsidRPr="00F302BF" w:rsidP="00F302BF">
      <w:pPr>
        <w:pStyle w:val="BodyText"/>
      </w:pPr>
      <w:r w:rsidRPr="00F302BF">
        <w:t>observation of the candidate performing a range of basic tests</w:t>
      </w:r>
    </w:p>
    <w:p w:rsidR="00000000" w:rsidRPr="00F302BF" w:rsidP="00F302BF">
      <w:pPr>
        <w:pStyle w:val="BodyText"/>
      </w:pPr>
      <w:r w:rsidRPr="00F302BF">
        <w:t>oral or written questioning</w:t>
      </w:r>
      <w:r w:rsidRPr="00F302BF">
        <w:t xml:space="preserve"> to check underpinning knowledge of test procedures.</w:t>
      </w:r>
    </w:p>
    <w:p w:rsidR="00000000" w:rsidRPr="00F302BF" w:rsidP="00F302BF">
      <w:pPr>
        <w:pStyle w:val="BodyText"/>
      </w:pPr>
      <w:r w:rsidRPr="00F302BF">
        <w:t xml:space="preserve">In all cases, practical assessment should be supported by questions to assess underpinning knowledge and those aspects of competency which are difficult to assess directly. Questioning techniques should </w:t>
      </w:r>
      <w:r w:rsidRPr="00F302BF">
        <w:t>suit the language and literacy levels of the candidate.</w:t>
      </w:r>
    </w:p>
    <w:p w:rsidR="00000000" w:rsidRPr="00F302BF" w:rsidP="00F302BF">
      <w:pPr>
        <w:pStyle w:val="BodyText"/>
      </w:pPr>
      <w:r w:rsidRPr="00F302BF">
        <w:rPr>
          <w:rStyle w:val="SpecialBold"/>
        </w:rPr>
        <w:t>Interdependent assessment of unit</w:t>
      </w:r>
    </w:p>
    <w:p w:rsidR="00000000" w:rsidRPr="00F302BF" w:rsidP="00F302BF">
      <w:pPr>
        <w:pStyle w:val="BodyText"/>
      </w:pPr>
      <w:r w:rsidRPr="00F302BF">
        <w:t>This unit of competency may be assessed with:</w:t>
      </w:r>
    </w:p>
    <w:p w:rsidR="00000000" w:rsidRPr="00F302BF" w:rsidP="00F302BF">
      <w:pPr>
        <w:pStyle w:val="BodyText"/>
      </w:pPr>
      <w:r w:rsidRPr="00F302BF">
        <w:rPr>
          <w:rStyle w:val="SpecialBold"/>
        </w:rPr>
        <w:t>PMLDATA200A Record and present data</w:t>
      </w:r>
      <w:r w:rsidRPr="00F302BF">
        <w:t>.</w:t>
      </w:r>
    </w:p>
    <w:p w:rsidR="00000000" w:rsidRPr="00F302BF" w:rsidP="00F302BF">
      <w:pPr>
        <w:pStyle w:val="BodyText"/>
      </w:pPr>
      <w:r w:rsidRPr="00F302BF">
        <w:rPr>
          <w:rStyle w:val="SpecialBold"/>
        </w:rPr>
        <w:t>Resource implications</w:t>
      </w:r>
    </w:p>
    <w:p w:rsidR="00000000" w:rsidRPr="00F302BF" w:rsidP="00F302BF">
      <w:pPr>
        <w:pStyle w:val="BodyText"/>
      </w:pPr>
      <w:r w:rsidRPr="00F302BF">
        <w:t>Resources may include:</w:t>
      </w:r>
    </w:p>
    <w:p w:rsidR="00000000" w:rsidRPr="00F302BF" w:rsidP="00F302BF">
      <w:pPr>
        <w:pStyle w:val="BodyText"/>
      </w:pPr>
      <w:r w:rsidRPr="00F302BF">
        <w:t>standard laboratory equipped with appr</w:t>
      </w:r>
      <w:r w:rsidRPr="00F302BF">
        <w:t>opriate equipment standards and materials</w:t>
      </w:r>
    </w:p>
    <w:p w:rsidR="00000000" w:rsidRPr="00F302BF" w:rsidP="00F302BF">
      <w:pPr>
        <w:pStyle w:val="BodyText"/>
      </w:pPr>
      <w:r w:rsidRPr="00F302BF">
        <w:t>enterprise procedures and standard methods, equipment manuals</w:t>
      </w:r>
    </w:p>
    <w:p w:rsidR="00000000" w:rsidRPr="00F302BF" w:rsidP="00F302BF">
      <w:pPr>
        <w:pStyle w:val="BodyText"/>
      </w:pPr>
      <w:r w:rsidRPr="00F302BF">
        <w:t>material safety data sheets (MSDSs).</w:t>
      </w:r>
    </w:p>
    <w:p w:rsidR="00000000" w:rsidRPr="00F302BF" w:rsidP="00F302BF">
      <w:pPr>
        <w:pStyle w:val="BodyText"/>
      </w:pPr>
      <w:r w:rsidRPr="00F302BF">
        <w:rPr>
          <w:rStyle w:val="SpecialBold"/>
        </w:rPr>
        <w:t>This competency in practice</w:t>
      </w:r>
    </w:p>
    <w:p w:rsidR="00000000" w:rsidRPr="00F302BF" w:rsidP="00F302BF">
      <w:pPr>
        <w:pStyle w:val="BodyText"/>
      </w:pPr>
      <w:r w:rsidRPr="00F302BF">
        <w:rPr>
          <w:rStyle w:val="SpecialBold"/>
        </w:rPr>
        <w:t>Manufacturing</w:t>
      </w:r>
    </w:p>
    <w:p w:rsidR="00000000" w:rsidRPr="00F302BF" w:rsidP="00F302BF">
      <w:pPr>
        <w:pStyle w:val="BodyText"/>
      </w:pPr>
      <w:r w:rsidRPr="00F302BF">
        <w:t xml:space="preserve">Standard testing methods may be viewed as 'legal' requirements that must </w:t>
      </w:r>
      <w:r w:rsidRPr="00F302BF">
        <w:t>be followed to ensure that a product manufactured in a chemical plant meets the specification by which it is sold to the customer. Technical assistants perform tests in a quality control laboratory to ensure that material meets 'legal' requirements and the</w:t>
      </w:r>
      <w:r w:rsidRPr="00F302BF">
        <w:t xml:space="preserve"> material is safe and effective in use. Peroxides may be present in ether as a result of light-catalysed air oxidation. Peroxides are toxic and can give rise to mixtures which are explosive when distilled. Technical assistants test ether to ensure that the</w:t>
      </w:r>
      <w:r w:rsidRPr="00F302BF">
        <w:t xml:space="preserve"> level of peroxide is within acceptable limits. The test is done by shaking ether with a solution of potassium iodide. After standing for 30 minutes in the dark the yellow colour of the aqueous phase, due to the liberation of iodine, must not be more inten</w:t>
      </w:r>
      <w:r w:rsidRPr="00F302BF">
        <w:t>se than a prepared standard solution. These tests ensure the quality and safety of the ether.</w:t>
      </w:r>
    </w:p>
    <w:p w:rsidR="00000000" w:rsidRPr="00F302BF" w:rsidP="00F302BF">
      <w:pPr>
        <w:pStyle w:val="BodyText"/>
      </w:pPr>
      <w:r w:rsidRPr="00F302BF">
        <w:rPr>
          <w:rStyle w:val="SpecialBold"/>
        </w:rPr>
        <w:t>Food processing</w:t>
      </w:r>
    </w:p>
    <w:p w:rsidR="00000000" w:rsidRPr="00F302BF" w:rsidP="00F302BF">
      <w:pPr>
        <w:pStyle w:val="BodyText"/>
      </w:pPr>
      <w:r w:rsidRPr="00F302BF">
        <w:t xml:space="preserve">A Snack Food Company produces a range of high quality, impulse purchase snack foods. Some of these products are moisture and/or oxygen sensitive and are therefore packaged in multi-layer flexible packaging to provide optimum shelf-life. The packaging must </w:t>
      </w:r>
      <w:r w:rsidRPr="00F302BF">
        <w:t>also be able to withstand the rigours of the production and distribution process. While the packaging is purchased to meet the shelf-life and distribution specifications, the quality assurance program requires the periodic evaluation of the packaging mater</w:t>
      </w:r>
      <w:r w:rsidRPr="00F302BF">
        <w:t>ials against these specifications. A laboratory assistant uses standard methods to test the tearing resistance, bursting strength, impact resistance and permeability and/or leakage of the snack food packaging. Tests are also conducted on aspects of the man</w:t>
      </w:r>
      <w:r w:rsidRPr="00F302BF">
        <w:t>ufacturing process that can affect shelf-life. These tests involve the measuring of the heat-seam strength and the sealing performance of the closure process. The test results are recorded by the laboratory assistant to verify the conformance of the materi</w:t>
      </w:r>
      <w:r w:rsidRPr="00F302BF">
        <w:t>als to the supplier specifications and of the process to the manufacturing specifications. The assistant reports any anomalies or non-conformances to the appropriate personnel.</w:t>
      </w:r>
    </w:p>
    <w:p w:rsidR="00000000" w:rsidRPr="00F302BF" w:rsidP="00F302BF">
      <w:pPr>
        <w:pStyle w:val="BodyText"/>
      </w:pPr>
      <w:r w:rsidRPr="00F302BF">
        <w:rPr>
          <w:rStyle w:val="SpecialBold"/>
        </w:rPr>
        <w:t>Key Competencies</w:t>
      </w:r>
    </w:p>
    <w:p w:rsidR="00000000" w:rsidRPr="00F302BF" w:rsidP="00F302BF">
      <w:pPr>
        <w:pStyle w:val="BodyText"/>
      </w:pPr>
      <w:r w:rsidRPr="00F302BF">
        <w:t>The seven key competencies represent generic skills considered</w:t>
      </w:r>
      <w:r w:rsidRPr="00F302BF">
        <w:t xml:space="preserve"> for effective work participation. The bracketed numbering against each of the key competencies indicates the performance level required in this unit. These are stand-alone levels and do not correspond to levels in the Australian Qualifications Framework (</w:t>
      </w:r>
      <w:r w:rsidRPr="00F302BF">
        <w:t>AQF).</w:t>
      </w:r>
    </w:p>
    <w:p w:rsidR="00000000" w:rsidRPr="00F302BF" w:rsidP="00F302BF">
      <w:pPr>
        <w:pStyle w:val="BodyText"/>
      </w:pPr>
      <w:r w:rsidRPr="00F302BF">
        <w:t>Level (1) represents the competence to undertake tasks effectively</w:t>
      </w:r>
    </w:p>
    <w:p w:rsidR="00000000" w:rsidRPr="00F302BF" w:rsidP="00F302BF">
      <w:pPr>
        <w:pStyle w:val="BodyText"/>
      </w:pPr>
      <w:r w:rsidRPr="00F302BF">
        <w:t>Level (2) represents the competence to manage tasks</w:t>
      </w:r>
    </w:p>
    <w:p w:rsidR="00000000" w:rsidRPr="00F302BF" w:rsidP="00F302BF">
      <w:pPr>
        <w:pStyle w:val="BodyText"/>
      </w:pPr>
      <w:r w:rsidRPr="00F302BF">
        <w:t>Level (3) represents the competence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922AF6">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Collecting, analysing and organising inform</w:t>
            </w:r>
            <w:r w:rsidRPr="00F302BF">
              <w:t xml:space="preserve">ation </w:t>
            </w:r>
          </w:p>
        </w:tc>
        <w:tc>
          <w:tcPr>
            <w:tcW w:w="1285"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Solving problems</w:t>
            </w:r>
          </w:p>
        </w:tc>
        <w:tc>
          <w:tcPr>
            <w:tcW w:w="1285"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 xml:space="preserve">Using technology </w:t>
            </w:r>
          </w:p>
        </w:tc>
      </w:tr>
      <w:tr w:rsidTr="00922AF6">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 xml:space="preserve">Level 1 </w:t>
            </w:r>
          </w:p>
        </w:tc>
        <w:tc>
          <w:tcPr>
            <w:tcW w:w="1285"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 xml:space="preserve">Level 1 </w:t>
            </w:r>
          </w:p>
        </w:tc>
        <w:tc>
          <w:tcPr>
            <w:tcW w:w="1285"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 xml:space="preserve">Level 1 </w:t>
            </w:r>
          </w:p>
        </w:tc>
        <w:tc>
          <w:tcPr>
            <w:tcW w:w="1285"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 xml:space="preserve">Level 1 </w:t>
            </w:r>
          </w:p>
        </w:tc>
        <w:tc>
          <w:tcPr>
            <w:tcW w:w="1285"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 xml:space="preserve">Level 1 </w:t>
            </w:r>
          </w:p>
        </w:tc>
        <w:tc>
          <w:tcPr>
            <w:tcW w:w="1285" w:type="dxa"/>
            <w:tcBorders>
              <w:top w:val="nil"/>
              <w:left w:val="nil"/>
              <w:bottom w:val="nil"/>
              <w:right w:val="nil"/>
            </w:tcBorders>
            <w:tcMar>
              <w:top w:w="0" w:type="dxa"/>
              <w:left w:w="62" w:type="dxa"/>
              <w:bottom w:w="0" w:type="dxa"/>
              <w:right w:w="62" w:type="dxa"/>
            </w:tcMar>
          </w:tcPr>
          <w:p w:rsidR="00000000" w:rsidP="00F302BF">
            <w:pPr>
              <w:pStyle w:val="BodyText"/>
              <w:rPr>
                <w:lang w:val="en-NZ"/>
              </w:rPr>
            </w:pPr>
            <w:r w:rsidRPr="00F302BF">
              <w:t xml:space="preserve">Level 1 </w:t>
            </w:r>
          </w:p>
        </w:tc>
        <w:tc>
          <w:tcPr>
            <w:tcW w:w="1285" w:type="dxa"/>
            <w:tcBorders>
              <w:top w:val="nil"/>
              <w:left w:val="nil"/>
              <w:bottom w:val="nil"/>
              <w:right w:val="nil"/>
            </w:tcBorders>
            <w:tcMar>
              <w:top w:w="0" w:type="dxa"/>
              <w:left w:w="62" w:type="dxa"/>
              <w:bottom w:w="0" w:type="dxa"/>
              <w:right w:w="62" w:type="dxa"/>
            </w:tcMar>
          </w:tcPr>
          <w:p w:rsidR="00000000" w:rsidRPr="00F302BF" w:rsidP="00F302BF">
            <w:pPr>
              <w:pStyle w:val="BodyText"/>
            </w:pPr>
            <w:r w:rsidRPr="00F302BF">
              <w:t xml:space="preserve">Level 1 </w:t>
            </w:r>
          </w:p>
        </w:tc>
      </w:tr>
    </w:tbl>
    <w:p w:rsidR="00000000" w:rsidRPr="00F302BF" w:rsidP="00F302BF">
      <w:pPr>
        <w:pStyle w:val="BodyText"/>
      </w:pPr>
    </w:p>
    <w:p w:rsidR="00000000" w:rsidRPr="00F302BF" w:rsidP="00F302BF">
      <w:pPr>
        <w:pStyle w:val="AllowPageBreak"/>
      </w:pPr>
    </w:p>
    <w:p w:rsidR="00000000" w:rsidRPr="00F302BF" w:rsidP="00F302BF">
      <w:pPr>
        <w:pStyle w:val="Heading1"/>
      </w:pPr>
      <w:bookmarkStart w:id="11" w:name="O_312167"/>
      <w:bookmarkEnd w:id="11"/>
      <w:r w:rsidRPr="00F302BF">
        <w:t>Range Statement</w:t>
      </w:r>
    </w:p>
    <w:p w:rsidR="00000000" w:rsidRPr="00F302BF" w:rsidP="00F302BF">
      <w:pPr>
        <w:pStyle w:val="BodyText"/>
      </w:pPr>
      <w:r w:rsidRPr="00F302BF">
        <w:t xml:space="preserve">The range of variables relates to the unit of competency as a whole. It allows for different work environments and situations that will affect performance. </w:t>
      </w:r>
    </w:p>
    <w:p w:rsidR="00000000" w:rsidRPr="00F302BF" w:rsidP="00F302BF">
      <w:pPr>
        <w:pStyle w:val="BodyText"/>
      </w:pPr>
      <w:r w:rsidRPr="00F302BF">
        <w:t>Where reference is made to industry Codes of Practice, and/or Austr</w:t>
      </w:r>
      <w:r w:rsidRPr="00F302BF">
        <w:t xml:space="preserve">alian/international standards, it is expected the latest version will be used. </w:t>
      </w:r>
    </w:p>
    <w:p w:rsidR="00000000" w:rsidRPr="00F302BF" w:rsidP="00F302BF">
      <w:pPr>
        <w:pStyle w:val="BodyText"/>
      </w:pPr>
      <w:r w:rsidRPr="00F302BF">
        <w:t>This unit of competency describes the work conducted by supervised laboratory assistants who perform a range of basic tests and measurements.</w:t>
      </w:r>
    </w:p>
    <w:p w:rsidR="00000000" w:rsidRPr="00F302BF" w:rsidP="00F302BF">
      <w:pPr>
        <w:pStyle w:val="BodyText"/>
      </w:pPr>
      <w:r w:rsidRPr="00F302BF">
        <w:t>All operations must comply with re</w:t>
      </w:r>
      <w:r w:rsidRPr="00F302BF">
        <w:t>levant standards, appropriate procedures and/or enterprise requirements. These procedures include or have been prepared from:</w:t>
      </w:r>
    </w:p>
    <w:p w:rsidR="00000000" w:rsidRPr="00F302BF" w:rsidP="00F302BF">
      <w:pPr>
        <w:pStyle w:val="BodyText"/>
      </w:pPr>
      <w:r w:rsidRPr="00F302BF">
        <w:t xml:space="preserve">Australian and international standards, such as: </w:t>
      </w:r>
    </w:p>
    <w:p w:rsidR="00000000" w:rsidRPr="00F302BF" w:rsidP="00F302BF">
      <w:pPr>
        <w:pStyle w:val="BodyText"/>
      </w:pPr>
      <w:r w:rsidRPr="00F302BF">
        <w:t>AS ISO/IEC 17025 General requirements for the competence of testing and calibrat</w:t>
      </w:r>
      <w:r w:rsidRPr="00F302BF">
        <w:t>ion laboratories</w:t>
      </w:r>
    </w:p>
    <w:p w:rsidR="00000000" w:rsidRPr="00F302BF" w:rsidP="00F302BF">
      <w:pPr>
        <w:pStyle w:val="BodyText"/>
      </w:pPr>
      <w:r w:rsidRPr="00F302BF">
        <w:t>AS/NZS 2243.2 Chemical aspects</w:t>
      </w:r>
    </w:p>
    <w:p w:rsidR="00000000" w:rsidRPr="00F302BF" w:rsidP="00F302BF">
      <w:pPr>
        <w:pStyle w:val="BodyText"/>
      </w:pPr>
      <w:r w:rsidRPr="00F302BF">
        <w:t>AS 2243.6 Mechanical aspects</w:t>
      </w:r>
    </w:p>
    <w:p w:rsidR="00000000" w:rsidRPr="00F302BF" w:rsidP="00F302BF">
      <w:pPr>
        <w:pStyle w:val="BodyText"/>
      </w:pPr>
      <w:r w:rsidRPr="00F302BF">
        <w:t>AS 2243.10 Storage of chemicals</w:t>
      </w:r>
    </w:p>
    <w:p w:rsidR="00000000" w:rsidRPr="00F302BF" w:rsidP="00F302BF">
      <w:pPr>
        <w:pStyle w:val="BodyText"/>
      </w:pPr>
      <w:r w:rsidRPr="00F302BF">
        <w:t>AS 2830 Good laboratory practice</w:t>
      </w:r>
    </w:p>
    <w:p w:rsidR="00000000" w:rsidRPr="00F302BF" w:rsidP="00F302BF">
      <w:pPr>
        <w:pStyle w:val="BodyText"/>
      </w:pPr>
      <w:r w:rsidRPr="00F302BF">
        <w:t>Codes of Practice (such as GLP and GMP)</w:t>
      </w:r>
    </w:p>
    <w:p w:rsidR="00000000" w:rsidRPr="00F302BF" w:rsidP="00F302BF">
      <w:pPr>
        <w:pStyle w:val="BodyText"/>
      </w:pPr>
      <w:r w:rsidRPr="00F302BF">
        <w:t>material safety data sheets (MSDSs) and safety procedures</w:t>
      </w:r>
    </w:p>
    <w:p w:rsidR="00000000" w:rsidRPr="00F302BF" w:rsidP="00F302BF">
      <w:pPr>
        <w:pStyle w:val="BodyText"/>
      </w:pPr>
      <w:r w:rsidRPr="00F302BF">
        <w:t>standard operati</w:t>
      </w:r>
      <w:r w:rsidRPr="00F302BF">
        <w:t>ng procedures (SOPs)</w:t>
      </w:r>
    </w:p>
    <w:p w:rsidR="00000000" w:rsidRPr="00F302BF" w:rsidP="00F302BF">
      <w:pPr>
        <w:pStyle w:val="BodyText"/>
      </w:pPr>
      <w:r w:rsidRPr="00F302BF">
        <w:t>equipment manuals</w:t>
      </w:r>
    </w:p>
    <w:p w:rsidR="00000000" w:rsidRPr="00F302BF" w:rsidP="00F302BF">
      <w:pPr>
        <w:pStyle w:val="BodyText"/>
      </w:pPr>
      <w:r w:rsidRPr="00F302BF">
        <w:t>equipment startup, operation and shutdown procedures</w:t>
      </w:r>
    </w:p>
    <w:p w:rsidR="00000000" w:rsidRPr="00F302BF" w:rsidP="00F302BF">
      <w:pPr>
        <w:pStyle w:val="BodyText"/>
      </w:pPr>
      <w:r w:rsidRPr="00F302BF">
        <w:t>calibration and maintenance schedules</w:t>
      </w:r>
    </w:p>
    <w:p w:rsidR="00000000" w:rsidRPr="00F302BF" w:rsidP="00F302BF">
      <w:pPr>
        <w:pStyle w:val="BodyText"/>
      </w:pPr>
      <w:r w:rsidRPr="00F302BF">
        <w:t>quality manuals</w:t>
      </w:r>
    </w:p>
    <w:p w:rsidR="00000000" w:rsidRPr="00F302BF" w:rsidP="00F302BF">
      <w:pPr>
        <w:pStyle w:val="BodyText"/>
      </w:pPr>
      <w:r w:rsidRPr="00F302BF">
        <w:t>enterprise recording and reporting procedures</w:t>
      </w:r>
    </w:p>
    <w:p w:rsidR="00000000" w:rsidRPr="00F302BF" w:rsidP="00F302BF">
      <w:pPr>
        <w:pStyle w:val="BodyText"/>
      </w:pPr>
      <w:r w:rsidRPr="00F302BF">
        <w:t>production and laboratory schedules</w:t>
      </w:r>
    </w:p>
    <w:p w:rsidR="00000000" w:rsidRPr="00F302BF" w:rsidP="00F302BF">
      <w:pPr>
        <w:pStyle w:val="BodyText"/>
      </w:pPr>
      <w:r w:rsidRPr="00F302BF">
        <w:t>material, production and pro</w:t>
      </w:r>
      <w:r w:rsidRPr="00F302BF">
        <w:t>duct specifications.</w:t>
      </w:r>
    </w:p>
    <w:p w:rsidR="00000000" w:rsidRPr="00F302BF" w:rsidP="00F302BF">
      <w:pPr>
        <w:pStyle w:val="BodyText"/>
      </w:pPr>
      <w:r w:rsidRPr="00F302BF">
        <w:t>Codes of Practice.</w:t>
      </w:r>
    </w:p>
    <w:p w:rsidR="00000000" w:rsidRPr="00F302BF" w:rsidP="00F302BF">
      <w:pPr>
        <w:pStyle w:val="BodyText"/>
      </w:pPr>
      <w:r w:rsidRPr="00F302BF">
        <w:t>Preparation of samples can include:</w:t>
      </w:r>
    </w:p>
    <w:p w:rsidR="00000000" w:rsidRPr="00F302BF" w:rsidP="00F302BF">
      <w:pPr>
        <w:pStyle w:val="BodyText"/>
      </w:pPr>
      <w:r w:rsidRPr="00F302BF">
        <w:t>sub-sampling or splitting using procedures, such as: riffling, coning and quartering, manual and mechanical splitters</w:t>
      </w:r>
    </w:p>
    <w:p w:rsidR="00000000" w:rsidRPr="00F302BF" w:rsidP="00F302BF">
      <w:pPr>
        <w:pStyle w:val="BodyText"/>
      </w:pPr>
      <w:r w:rsidRPr="00F302BF">
        <w:t>diluting samples</w:t>
      </w:r>
    </w:p>
    <w:p w:rsidR="00000000" w:rsidRPr="00F302BF" w:rsidP="00F302BF">
      <w:pPr>
        <w:pStyle w:val="BodyText"/>
      </w:pPr>
      <w:r w:rsidRPr="00F302BF">
        <w:t>physical treatments, such as ashing, dissolving, filtration, sieving, centrifugation and comminution</w:t>
      </w:r>
    </w:p>
    <w:p w:rsidR="00000000" w:rsidRPr="00F302BF" w:rsidP="00F302BF">
      <w:pPr>
        <w:pStyle w:val="BodyText"/>
      </w:pPr>
      <w:r w:rsidRPr="00F302BF">
        <w:t>moulding, casting or cutting specimens.</w:t>
      </w:r>
    </w:p>
    <w:p w:rsidR="00000000" w:rsidRPr="00F302BF" w:rsidP="00F302BF">
      <w:pPr>
        <w:pStyle w:val="BodyText"/>
      </w:pPr>
      <w:r w:rsidRPr="00F302BF">
        <w:t>Typical tests carried out by laboratory/field assistants could include:</w:t>
      </w:r>
    </w:p>
    <w:p w:rsidR="00000000" w:rsidRPr="00F302BF" w:rsidP="00F302BF">
      <w:pPr>
        <w:pStyle w:val="BodyText"/>
      </w:pPr>
      <w:r w:rsidRPr="00F302BF">
        <w:t>visual/optical tests of appearance, colour,</w:t>
      </w:r>
      <w:r w:rsidRPr="00F302BF">
        <w:t xml:space="preserve"> texture, identity, turbidity, refractive index (alcohol content, Baume/Brix)</w:t>
      </w:r>
    </w:p>
    <w:p w:rsidR="00000000" w:rsidRPr="00F302BF" w:rsidP="00F302BF">
      <w:pPr>
        <w:pStyle w:val="BodyText"/>
      </w:pPr>
      <w:r w:rsidRPr="00F302BF">
        <w:t>physical tests, such as:</w:t>
      </w:r>
    </w:p>
    <w:p w:rsidR="00000000" w:rsidRPr="00F302BF" w:rsidP="00F302BF">
      <w:pPr>
        <w:pStyle w:val="BodyText"/>
      </w:pPr>
      <w:r w:rsidRPr="00F302BF">
        <w:t>density, specific gravity, compacted density</w:t>
      </w:r>
    </w:p>
    <w:p w:rsidR="00000000" w:rsidRPr="00F302BF" w:rsidP="00F302BF">
      <w:pPr>
        <w:pStyle w:val="BodyText"/>
      </w:pPr>
      <w:r w:rsidRPr="00F302BF">
        <w:t>moisture content, water activity</w:t>
      </w:r>
    </w:p>
    <w:p w:rsidR="00000000" w:rsidRPr="00F302BF" w:rsidP="00F302BF">
      <w:pPr>
        <w:pStyle w:val="BodyText"/>
      </w:pPr>
      <w:r w:rsidRPr="00F302BF">
        <w:t>particle size, particle shape, size distribution</w:t>
      </w:r>
    </w:p>
    <w:p w:rsidR="00000000" w:rsidRPr="00F302BF" w:rsidP="00F302BF">
      <w:pPr>
        <w:pStyle w:val="BodyText"/>
      </w:pPr>
      <w:r w:rsidRPr="00F302BF">
        <w:t>chemical tests, such as:</w:t>
      </w:r>
    </w:p>
    <w:p w:rsidR="00000000" w:rsidRPr="00F302BF" w:rsidP="00F302BF">
      <w:pPr>
        <w:pStyle w:val="BodyText"/>
      </w:pPr>
      <w:r w:rsidRPr="00F302BF">
        <w:t>g</w:t>
      </w:r>
      <w:r w:rsidRPr="00F302BF">
        <w:t>ravimetric</w:t>
      </w:r>
    </w:p>
    <w:p w:rsidR="00000000" w:rsidRPr="00F302BF" w:rsidP="00F302BF">
      <w:pPr>
        <w:pStyle w:val="BodyText"/>
      </w:pPr>
      <w:r w:rsidRPr="00F302BF">
        <w:t>colorimetric</w:t>
      </w:r>
    </w:p>
    <w:p w:rsidR="00000000" w:rsidRPr="00F302BF" w:rsidP="00F302BF">
      <w:pPr>
        <w:pStyle w:val="BodyText"/>
      </w:pPr>
      <w:r w:rsidRPr="00F302BF">
        <w:t>electrical conductivity (EC), pH</w:t>
      </w:r>
    </w:p>
    <w:p w:rsidR="00000000" w:rsidRPr="00F302BF" w:rsidP="00F302BF">
      <w:pPr>
        <w:pStyle w:val="BodyText"/>
      </w:pPr>
      <w:r w:rsidRPr="00F302BF">
        <w:t>specific ions using dipsticks and kits</w:t>
      </w:r>
    </w:p>
    <w:p w:rsidR="00000000" w:rsidRPr="00F302BF" w:rsidP="00F302BF">
      <w:pPr>
        <w:pStyle w:val="BodyText"/>
      </w:pPr>
      <w:r w:rsidRPr="00F302BF">
        <w:t>nutrients (for example nitrates, orthophosphates) using basic kits</w:t>
      </w:r>
    </w:p>
    <w:p w:rsidR="00000000" w:rsidRPr="00F302BF" w:rsidP="00F302BF">
      <w:pPr>
        <w:pStyle w:val="BodyText"/>
      </w:pPr>
      <w:r w:rsidRPr="00F302BF">
        <w:t>ashes, including sulphated ashes</w:t>
      </w:r>
    </w:p>
    <w:p w:rsidR="00000000" w:rsidRPr="00F302BF" w:rsidP="00F302BF">
      <w:pPr>
        <w:pStyle w:val="BodyText"/>
      </w:pPr>
      <w:r w:rsidRPr="00F302BF">
        <w:t>biological/environmental tests, such as:</w:t>
      </w:r>
    </w:p>
    <w:p w:rsidR="00000000" w:rsidRPr="00F302BF" w:rsidP="00F302BF">
      <w:pPr>
        <w:pStyle w:val="BodyText"/>
      </w:pPr>
      <w:r w:rsidRPr="00F302BF">
        <w:t>pH, oxygen reductio</w:t>
      </w:r>
      <w:r w:rsidRPr="00F302BF">
        <w:t>n potential (ORP), dissolved oxygen (DO), electrical conductivity</w:t>
      </w:r>
    </w:p>
    <w:p w:rsidR="00000000" w:rsidRPr="00F302BF" w:rsidP="00F302BF">
      <w:pPr>
        <w:pStyle w:val="BodyText"/>
      </w:pPr>
      <w:r w:rsidRPr="00F302BF">
        <w:t>E coli using test kits</w:t>
      </w:r>
    </w:p>
    <w:p w:rsidR="00000000" w:rsidRPr="00F302BF" w:rsidP="00F302BF">
      <w:pPr>
        <w:pStyle w:val="BodyText"/>
      </w:pPr>
      <w:r w:rsidRPr="00F302BF">
        <w:t>surface hygiene/presence of microbes</w:t>
      </w:r>
    </w:p>
    <w:p w:rsidR="00000000" w:rsidRPr="00F302BF" w:rsidP="00F302BF">
      <w:pPr>
        <w:pStyle w:val="BodyText"/>
      </w:pPr>
      <w:r w:rsidRPr="00F302BF">
        <w:t>packaging tests, such as:</w:t>
      </w:r>
    </w:p>
    <w:p w:rsidR="00000000" w:rsidRPr="00F302BF" w:rsidP="00F302BF">
      <w:pPr>
        <w:pStyle w:val="BodyText"/>
      </w:pPr>
      <w:r w:rsidRPr="00F302BF">
        <w:t>tearing resistance, bursting strength, impact resistance</w:t>
      </w:r>
    </w:p>
    <w:p w:rsidR="00000000" w:rsidRPr="00F302BF" w:rsidP="00F302BF">
      <w:pPr>
        <w:pStyle w:val="BodyText"/>
      </w:pPr>
      <w:r w:rsidRPr="00F302BF">
        <w:t>permeability and/or leakage</w:t>
      </w:r>
    </w:p>
    <w:p w:rsidR="00000000" w:rsidRPr="00F302BF" w:rsidP="00F302BF">
      <w:pPr>
        <w:pStyle w:val="BodyText"/>
      </w:pPr>
      <w:r w:rsidRPr="00F302BF">
        <w:t>mechanical tests, s</w:t>
      </w:r>
      <w:r w:rsidRPr="00F302BF">
        <w:t>uch as:</w:t>
      </w:r>
    </w:p>
    <w:p w:rsidR="00000000" w:rsidRPr="00F302BF" w:rsidP="00F302BF">
      <w:pPr>
        <w:pStyle w:val="BodyText"/>
      </w:pPr>
      <w:r w:rsidRPr="00F302BF">
        <w:t>Emerson class</w:t>
      </w:r>
    </w:p>
    <w:p w:rsidR="00000000" w:rsidRPr="00F302BF" w:rsidP="00F302BF">
      <w:pPr>
        <w:pStyle w:val="BodyText"/>
      </w:pPr>
      <w:r w:rsidRPr="00F302BF">
        <w:t>concrete slump</w:t>
      </w:r>
    </w:p>
    <w:p w:rsidR="00000000" w:rsidRPr="00F302BF" w:rsidP="00F302BF">
      <w:pPr>
        <w:pStyle w:val="BodyText"/>
      </w:pPr>
      <w:r w:rsidRPr="00F302BF">
        <w:t>Other measurements may include:</w:t>
      </w:r>
    </w:p>
    <w:p w:rsidR="00000000" w:rsidRPr="00F302BF" w:rsidP="00F302BF">
      <w:pPr>
        <w:pStyle w:val="BodyText"/>
      </w:pPr>
      <w:r w:rsidRPr="00F302BF">
        <w:t>simple ground surveys</w:t>
      </w:r>
    </w:p>
    <w:p w:rsidR="00000000" w:rsidRPr="00F302BF" w:rsidP="00F302BF">
      <w:pPr>
        <w:pStyle w:val="BodyText"/>
      </w:pPr>
      <w:r w:rsidRPr="00F302BF">
        <w:t>meteorological parameters, such as: wind direction/strength, rainfall, max./min. temperature, humidity, solar radiation</w:t>
      </w:r>
    </w:p>
    <w:p w:rsidR="00000000" w:rsidRPr="00F302BF" w:rsidP="00F302BF">
      <w:pPr>
        <w:pStyle w:val="BodyText"/>
      </w:pPr>
      <w:r w:rsidRPr="00F302BF">
        <w:t>simple background radiation survey</w:t>
      </w:r>
    </w:p>
    <w:p w:rsidR="00000000" w:rsidRPr="00F302BF" w:rsidP="00F302BF">
      <w:pPr>
        <w:pStyle w:val="BodyText"/>
      </w:pPr>
      <w:r w:rsidRPr="00F302BF">
        <w:t>production/process parameters, such as temperature, flow, pressure</w:t>
      </w:r>
    </w:p>
    <w:p w:rsidR="00000000" w:rsidRPr="00F302BF" w:rsidP="00F302BF">
      <w:pPr>
        <w:pStyle w:val="BodyText"/>
      </w:pPr>
      <w:r w:rsidRPr="00F302BF">
        <w:t>gas levels in a confined space.</w:t>
      </w:r>
    </w:p>
    <w:p w:rsidR="00000000" w:rsidRPr="00F302BF" w:rsidP="00F302BF">
      <w:pPr>
        <w:pStyle w:val="BodyText"/>
      </w:pPr>
      <w:r w:rsidRPr="00F302BF">
        <w:t>Common measuring equipment may include:</w:t>
      </w:r>
    </w:p>
    <w:p w:rsidR="00000000" w:rsidRPr="00F302BF" w:rsidP="00F302BF">
      <w:pPr>
        <w:pStyle w:val="BodyText"/>
      </w:pPr>
      <w:r w:rsidRPr="00F302BF">
        <w:t>dimension apparatus</w:t>
      </w:r>
    </w:p>
    <w:p w:rsidR="00000000" w:rsidRPr="00F302BF" w:rsidP="00F302BF">
      <w:pPr>
        <w:pStyle w:val="BodyText"/>
      </w:pPr>
      <w:r w:rsidRPr="00F302BF">
        <w:t>dissolved oxygen (DO), electrical conductivity (EC)</w:t>
      </w:r>
    </w:p>
    <w:p w:rsidR="00000000" w:rsidRPr="00F302BF" w:rsidP="00F302BF">
      <w:pPr>
        <w:pStyle w:val="BodyText"/>
      </w:pPr>
      <w:r w:rsidRPr="00F302BF">
        <w:t>analogue and digital meters, charts/recorders</w:t>
      </w:r>
    </w:p>
    <w:p w:rsidR="00000000" w:rsidRPr="00F302BF" w:rsidP="00F302BF">
      <w:pPr>
        <w:pStyle w:val="BodyText"/>
      </w:pPr>
      <w:r w:rsidRPr="00F302BF">
        <w:t>basic chemical and biological test kits</w:t>
      </w:r>
    </w:p>
    <w:p w:rsidR="00000000" w:rsidRPr="00F302BF" w:rsidP="00F302BF">
      <w:pPr>
        <w:pStyle w:val="BodyText"/>
      </w:pPr>
      <w:r w:rsidRPr="00F302BF">
        <w:t>dipsticks and site test kits (for example, HACK)</w:t>
      </w:r>
    </w:p>
    <w:p w:rsidR="00000000" w:rsidRPr="00F302BF" w:rsidP="00F302BF">
      <w:pPr>
        <w:pStyle w:val="BodyText"/>
      </w:pPr>
      <w:r w:rsidRPr="00F302BF">
        <w:t>timing devices</w:t>
      </w:r>
    </w:p>
    <w:p w:rsidR="00000000" w:rsidRPr="00F302BF" w:rsidP="00F302BF">
      <w:pPr>
        <w:pStyle w:val="BodyText"/>
      </w:pPr>
      <w:r w:rsidRPr="00F302BF">
        <w:t>temperature measuring devices, such as thermometers, thermocouples.</w:t>
      </w:r>
    </w:p>
    <w:p w:rsidR="00000000" w:rsidRPr="00F302BF" w:rsidP="00F302BF">
      <w:pPr>
        <w:pStyle w:val="BodyText"/>
      </w:pPr>
      <w:r w:rsidRPr="00F302BF">
        <w:t>Hazards may include:</w:t>
      </w:r>
    </w:p>
    <w:p w:rsidR="00000000" w:rsidRPr="00F302BF" w:rsidP="00F302BF">
      <w:pPr>
        <w:pStyle w:val="BodyText"/>
      </w:pPr>
      <w:r w:rsidRPr="00F302BF">
        <w:t>electric shock</w:t>
      </w:r>
    </w:p>
    <w:p w:rsidR="00000000" w:rsidRPr="00F302BF" w:rsidP="00F302BF">
      <w:pPr>
        <w:pStyle w:val="BodyText"/>
      </w:pPr>
      <w:r w:rsidRPr="00F302BF">
        <w:t>biohazards, such as microbiological organisms a</w:t>
      </w:r>
      <w:r w:rsidRPr="00F302BF">
        <w:t>nd agents associated with soil, air, water, blood and blood products, human or animal tissue and fluids</w:t>
      </w:r>
    </w:p>
    <w:p w:rsidR="00000000" w:rsidRPr="00F302BF" w:rsidP="00F302BF">
      <w:pPr>
        <w:pStyle w:val="BodyText"/>
      </w:pPr>
      <w:r w:rsidRPr="00F302BF">
        <w:t>solar radiation, dust, noise</w:t>
      </w:r>
    </w:p>
    <w:p w:rsidR="00000000" w:rsidRPr="00F302BF" w:rsidP="00F302BF">
      <w:pPr>
        <w:pStyle w:val="BodyText"/>
      </w:pPr>
      <w:r w:rsidRPr="00F302BF">
        <w:t>chemicals, such as: sulphuric acid, fluorides, hydrocarbons</w:t>
      </w:r>
    </w:p>
    <w:p w:rsidR="00000000" w:rsidRPr="00F302BF" w:rsidP="00F302BF">
      <w:pPr>
        <w:pStyle w:val="BodyText"/>
      </w:pPr>
      <w:r w:rsidRPr="00F302BF">
        <w:t>aerosols</w:t>
      </w:r>
    </w:p>
    <w:p w:rsidR="00000000" w:rsidRPr="00F302BF" w:rsidP="00F302BF">
      <w:pPr>
        <w:pStyle w:val="BodyText"/>
      </w:pPr>
      <w:r w:rsidRPr="00F302BF">
        <w:t>sharps, broken glassware and hand tools</w:t>
      </w:r>
    </w:p>
    <w:p w:rsidR="00000000" w:rsidRPr="00F302BF" w:rsidP="00F302BF">
      <w:pPr>
        <w:pStyle w:val="BodyText"/>
      </w:pPr>
      <w:r w:rsidRPr="00F302BF">
        <w:t>flammable liqu</w:t>
      </w:r>
      <w:r w:rsidRPr="00F302BF">
        <w:t>ids</w:t>
      </w:r>
    </w:p>
    <w:p w:rsidR="00000000" w:rsidRPr="00F302BF" w:rsidP="00F302BF">
      <w:pPr>
        <w:pStyle w:val="BodyText"/>
      </w:pPr>
      <w:r w:rsidRPr="00F302BF">
        <w:t>dry ice and liquid nitrogen</w:t>
      </w:r>
    </w:p>
    <w:p w:rsidR="00000000" w:rsidRPr="00F302BF" w:rsidP="00F302BF">
      <w:pPr>
        <w:pStyle w:val="BodyText"/>
      </w:pPr>
      <w:r w:rsidRPr="00F302BF">
        <w:t xml:space="preserve">fluids under pressure </w:t>
      </w:r>
    </w:p>
    <w:p w:rsidR="00000000" w:rsidRPr="00F302BF" w:rsidP="00F302BF">
      <w:pPr>
        <w:pStyle w:val="BodyText"/>
      </w:pPr>
      <w:r w:rsidRPr="00F302BF">
        <w:t>sources of ignition</w:t>
      </w:r>
    </w:p>
    <w:p w:rsidR="00000000" w:rsidRPr="00F302BF" w:rsidP="00F302BF">
      <w:pPr>
        <w:pStyle w:val="BodyText"/>
      </w:pPr>
      <w:r w:rsidRPr="00F302BF">
        <w:t>occupational overuse syndrome, slips, trips and falls</w:t>
      </w:r>
    </w:p>
    <w:p w:rsidR="00000000" w:rsidRPr="00F302BF" w:rsidP="00F302BF">
      <w:pPr>
        <w:pStyle w:val="BodyText"/>
      </w:pPr>
      <w:r w:rsidRPr="00F302BF">
        <w:t>manual handling, working at heights and in confined spaces</w:t>
      </w:r>
    </w:p>
    <w:p w:rsidR="00000000" w:rsidRPr="00F302BF" w:rsidP="00F302BF">
      <w:pPr>
        <w:pStyle w:val="BodyText"/>
      </w:pPr>
      <w:r w:rsidRPr="00F302BF">
        <w:t>crushing, entanglement, cuts associated with moving machinery or fal</w:t>
      </w:r>
      <w:r w:rsidRPr="00F302BF">
        <w:t>ling objects.</w:t>
      </w:r>
    </w:p>
    <w:p w:rsidR="00000000" w:rsidRPr="00F302BF" w:rsidP="00F302BF">
      <w:pPr>
        <w:pStyle w:val="BodyText"/>
      </w:pPr>
      <w:r w:rsidRPr="00F302BF">
        <w:t>Enterprise controls to address hazards may include:</w:t>
      </w:r>
    </w:p>
    <w:p w:rsidR="00000000" w:rsidRPr="00F302BF" w:rsidP="00F302BF">
      <w:pPr>
        <w:pStyle w:val="BodyText"/>
      </w:pPr>
      <w:r w:rsidRPr="00F302BF">
        <w:t>use of material safety data sheets (MSDS)</w:t>
      </w:r>
    </w:p>
    <w:p w:rsidR="00000000" w:rsidRPr="00F302BF" w:rsidP="00F302BF">
      <w:pPr>
        <w:pStyle w:val="BodyText"/>
      </w:pPr>
      <w:r w:rsidRPr="00F302BF">
        <w:t>use of signage, barriers and service isolation tags</w:t>
      </w:r>
    </w:p>
    <w:p w:rsidR="00000000" w:rsidRPr="00F302BF" w:rsidP="00F302BF">
      <w:pPr>
        <w:pStyle w:val="BodyText"/>
      </w:pPr>
      <w:r w:rsidRPr="00F302BF">
        <w:t>use of personal protective equipment, such as hard hats, hearing protection, sunscreen lotion, gloves, safety glasses, goggles, face guards, coveralls, gown, body suits, respirators and safety boots</w:t>
      </w:r>
    </w:p>
    <w:p w:rsidR="00000000" w:rsidRPr="00F302BF" w:rsidP="00F302BF">
      <w:pPr>
        <w:pStyle w:val="BodyText"/>
      </w:pPr>
      <w:r w:rsidRPr="00F302BF">
        <w:t>use of appropriate equipment, such as biohazard container</w:t>
      </w:r>
      <w:r w:rsidRPr="00F302BF">
        <w:t>s and cabinets, laminar flow cabinets</w:t>
      </w:r>
    </w:p>
    <w:p w:rsidR="00000000" w:rsidRPr="00F302BF" w:rsidP="00F302BF">
      <w:pPr>
        <w:pStyle w:val="BodyText"/>
      </w:pPr>
      <w:r w:rsidRPr="00F302BF">
        <w:t>recognising and observing hazard warnings and safety signs</w:t>
      </w:r>
    </w:p>
    <w:p w:rsidR="00000000" w:rsidRPr="00F302BF" w:rsidP="00F302BF">
      <w:pPr>
        <w:pStyle w:val="BodyText"/>
      </w:pPr>
      <w:r w:rsidRPr="00F302BF">
        <w:t>labelling of samples, reagents, aliquoted samples and hazardous materials</w:t>
      </w:r>
    </w:p>
    <w:p w:rsidR="00000000" w:rsidRPr="00F302BF" w:rsidP="00F302BF">
      <w:pPr>
        <w:pStyle w:val="BodyText"/>
      </w:pPr>
      <w:r w:rsidRPr="00F302BF">
        <w:t>handling and storage of all hazardous materials and equipment in accordance with labe</w:t>
      </w:r>
      <w:r w:rsidRPr="00F302BF">
        <w:t>lling, materials safety data sheets and manufacturer's instructions, enterprise procedures and regulations</w:t>
      </w:r>
    </w:p>
    <w:p w:rsidR="00000000" w:rsidRPr="00F302BF" w:rsidP="00F302BF">
      <w:pPr>
        <w:pStyle w:val="BodyText"/>
      </w:pPr>
      <w:r w:rsidRPr="00F302BF">
        <w:t>cleaning and decontaminating equipment and work areas regularly using recommended procedures</w:t>
      </w:r>
    </w:p>
    <w:p w:rsidR="00000000" w:rsidRPr="00F302BF" w:rsidP="00F302BF">
      <w:pPr>
        <w:pStyle w:val="BodyText"/>
      </w:pPr>
      <w:r w:rsidRPr="00F302BF">
        <w:t>following established manual handling procedures for tas</w:t>
      </w:r>
      <w:r w:rsidRPr="00F302BF">
        <w:t>ks involving manual handling.</w:t>
      </w:r>
    </w:p>
    <w:p w:rsidR="00000000" w:rsidRPr="00F302BF" w:rsidP="00F302BF">
      <w:pPr>
        <w:pStyle w:val="BodyText"/>
      </w:pPr>
      <w:r w:rsidRPr="00F302BF">
        <w:t>Minimising environmental impacts may involve:</w:t>
      </w:r>
    </w:p>
    <w:p w:rsidR="00000000" w:rsidRPr="00F302BF" w:rsidP="00F302BF">
      <w:pPr>
        <w:pStyle w:val="BodyText"/>
      </w:pPr>
      <w:r w:rsidRPr="00F302BF">
        <w:t>recycling of non-hazardous waste, such as chemicals, batteries, plastic, metals, glass</w:t>
      </w:r>
    </w:p>
    <w:p w:rsidR="00000000" w:rsidRPr="00F302BF" w:rsidP="00F302BF">
      <w:pPr>
        <w:pStyle w:val="BodyText"/>
      </w:pPr>
      <w:r w:rsidRPr="00F302BF">
        <w:t>appropriate disposal of hazardous waste</w:t>
      </w:r>
    </w:p>
    <w:p w:rsidR="00000000" w:rsidRPr="00F302BF" w:rsidP="00F302BF">
      <w:pPr>
        <w:pStyle w:val="BodyText"/>
      </w:pPr>
      <w:r w:rsidRPr="00F302BF">
        <w:t>correct disposal of excess sample/test material</w:t>
      </w:r>
    </w:p>
    <w:p w:rsidR="00000000" w:rsidRPr="00F302BF" w:rsidP="00F302BF">
      <w:pPr>
        <w:pStyle w:val="BodyText"/>
      </w:pPr>
      <w:r w:rsidRPr="00F302BF">
        <w:t>corre</w:t>
      </w:r>
      <w:r w:rsidRPr="00F302BF">
        <w:t>ct storage and handling of hazardous chemicals.</w:t>
      </w:r>
    </w:p>
    <w:p w:rsidR="00000000" w:rsidRPr="00F302BF" w:rsidP="00F302BF">
      <w:pPr>
        <w:pStyle w:val="BodyText"/>
      </w:pPr>
      <w:r w:rsidRPr="00F302BF">
        <w:rPr>
          <w:rStyle w:val="SpecialBold"/>
        </w:rPr>
        <w:t>Health</w:t>
      </w:r>
      <w:r w:rsidRPr="00F302BF">
        <w:t xml:space="preserve">, </w:t>
      </w:r>
      <w:r w:rsidRPr="00F302BF">
        <w:rPr>
          <w:rStyle w:val="SpecialBold"/>
        </w:rPr>
        <w:t>safety and environment</w:t>
      </w:r>
    </w:p>
    <w:p w:rsidR="00000000" w:rsidRPr="00F302BF" w:rsidP="00F302BF">
      <w:pPr>
        <w:pStyle w:val="BodyText"/>
      </w:pPr>
      <w:r w:rsidRPr="00F302BF">
        <w:t>All operations to which this unit applies are subject to stringent health, safety and environmental (HSE) requirements, which may be imposed through State or Federal legislation</w:t>
      </w:r>
      <w:r w:rsidRPr="00F302BF">
        <w:t>, and these must not be compromised at any time. Where there is an apparent conflict between performance criteria and HSE requirements, the HSE requirements take precedence.</w:t>
      </w:r>
    </w:p>
    <w:p w:rsidR="00000000" w:rsidRPr="00F302BF" w:rsidP="00F302BF">
      <w:pPr>
        <w:pStyle w:val="BodyText"/>
      </w:pPr>
      <w:r w:rsidRPr="00F302BF">
        <w:t>All operations assume the potentially hazardous nature of samples and require stan</w:t>
      </w:r>
      <w:r w:rsidRPr="00F302BF">
        <w:t>dard precautions to be applied. Users should access and apply current industry understanding of infection control issued by the National Health and Medical Research Council and State and Territory Departments of Health. All operations are performed in acco</w:t>
      </w:r>
      <w:r w:rsidRPr="00F302BF">
        <w:t>rdance with standard operating procedures.</w:t>
      </w:r>
    </w:p>
    <w:p w:rsidR="00000000" w:rsidRPr="00F302BF" w:rsidP="00F302BF">
      <w:pPr>
        <w:pStyle w:val="AllowPageBreak"/>
      </w:pPr>
    </w:p>
    <w:p w:rsidR="00000000" w:rsidRPr="00F302BF" w:rsidP="00F302BF">
      <w:pPr>
        <w:pStyle w:val="Heading1"/>
      </w:pPr>
      <w:bookmarkStart w:id="12" w:name="O_312166"/>
      <w:bookmarkEnd w:id="12"/>
      <w:r w:rsidRPr="00F302BF">
        <w:t>Unit Sector(s)</w:t>
      </w:r>
    </w:p>
    <w:p w:rsidR="00000000" w:rsidRPr="00F302BF" w:rsidP="00F302BF"/>
    <w:sectPr w:rsidSect="00F302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2AF6" w:rsidP="00922A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AF6" w:rsidP="00F30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2AF6" w:rsidP="00F302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22AF6" w:rsidP="00F302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2AF6" w:rsidP="00922A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AF6" w:rsidP="00F302BF">
    <w:pPr>
      <w:pStyle w:val="Header"/>
      <w:framePr w:wrap="around"/>
    </w:pPr>
    <w:r>
      <w:fldChar w:fldCharType="begin"/>
    </w:r>
    <w:r>
      <w:instrText xml:space="preserve"> TITLE   \* MERGEFORMAT </w:instrText>
    </w:r>
    <w:r>
      <w:fldChar w:fldCharType="separate"/>
    </w:r>
    <w:r>
      <w:t>PMLTEST300B Perform basic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2AF6" w:rsidP="00F302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2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02BF"/>
    <w:pPr>
      <w:spacing w:before="360" w:after="60"/>
      <w:outlineLvl w:val="0"/>
    </w:pPr>
    <w:rPr>
      <w:sz w:val="32"/>
    </w:rPr>
  </w:style>
  <w:style w:type="paragraph" w:styleId="Heading2">
    <w:name w:val="heading 2"/>
    <w:basedOn w:val="HeadingBase"/>
    <w:next w:val="BodyText"/>
    <w:link w:val="Heading2Char"/>
    <w:qFormat/>
    <w:rsid w:val="00F302BF"/>
    <w:pPr>
      <w:keepLines/>
      <w:spacing w:before="240" w:after="120"/>
      <w:outlineLvl w:val="1"/>
    </w:pPr>
    <w:rPr>
      <w:sz w:val="28"/>
      <w:szCs w:val="40"/>
    </w:rPr>
  </w:style>
  <w:style w:type="paragraph" w:styleId="Heading3">
    <w:name w:val="heading 3"/>
    <w:basedOn w:val="HeadingBase"/>
    <w:next w:val="BodyText"/>
    <w:link w:val="Heading3Char"/>
    <w:qFormat/>
    <w:rsid w:val="00F302BF"/>
    <w:pPr>
      <w:spacing w:before="180" w:after="120"/>
      <w:outlineLvl w:val="2"/>
    </w:pPr>
    <w:rPr>
      <w:spacing w:val="-10"/>
      <w:kern w:val="32"/>
    </w:rPr>
  </w:style>
  <w:style w:type="paragraph" w:styleId="Heading4">
    <w:name w:val="heading 4"/>
    <w:basedOn w:val="HeadingBase"/>
    <w:next w:val="BodyText"/>
    <w:link w:val="Heading4Char"/>
    <w:qFormat/>
    <w:rsid w:val="00F302BF"/>
    <w:pPr>
      <w:spacing w:before="160" w:after="120"/>
      <w:outlineLvl w:val="3"/>
    </w:pPr>
    <w:rPr>
      <w:sz w:val="22"/>
    </w:rPr>
  </w:style>
  <w:style w:type="paragraph" w:styleId="Heading5">
    <w:name w:val="heading 5"/>
    <w:basedOn w:val="HeadingBase"/>
    <w:next w:val="Normal"/>
    <w:link w:val="Heading5Char"/>
    <w:qFormat/>
    <w:rsid w:val="00F302BF"/>
    <w:pPr>
      <w:spacing w:before="80"/>
      <w:outlineLvl w:val="4"/>
    </w:pPr>
    <w:rPr>
      <w:color w:val="918585"/>
      <w:sz w:val="20"/>
    </w:rPr>
  </w:style>
  <w:style w:type="paragraph" w:styleId="Heading6">
    <w:name w:val="heading 6"/>
    <w:basedOn w:val="HeadingBase"/>
    <w:next w:val="Normal"/>
    <w:link w:val="Heading6Char"/>
    <w:qFormat/>
    <w:rsid w:val="00F302BF"/>
    <w:pPr>
      <w:spacing w:before="60"/>
      <w:outlineLvl w:val="5"/>
    </w:pPr>
    <w:rPr>
      <w:color w:val="918585"/>
      <w:sz w:val="20"/>
    </w:rPr>
  </w:style>
  <w:style w:type="paragraph" w:styleId="Heading7">
    <w:name w:val="heading 7"/>
    <w:basedOn w:val="Normal"/>
    <w:next w:val="Normal"/>
    <w:link w:val="Heading7Char"/>
    <w:qFormat/>
    <w:rsid w:val="00F302BF"/>
    <w:pPr>
      <w:ind w:left="720"/>
      <w:outlineLvl w:val="6"/>
    </w:pPr>
    <w:rPr>
      <w:i/>
    </w:rPr>
  </w:style>
  <w:style w:type="paragraph" w:styleId="Heading8">
    <w:name w:val="heading 8"/>
    <w:basedOn w:val="Normal"/>
    <w:next w:val="Normal"/>
    <w:link w:val="Heading8Char"/>
    <w:qFormat/>
    <w:rsid w:val="00F302BF"/>
    <w:pPr>
      <w:ind w:left="720"/>
      <w:outlineLvl w:val="7"/>
    </w:pPr>
    <w:rPr>
      <w:i/>
    </w:rPr>
  </w:style>
  <w:style w:type="paragraph" w:styleId="Heading9">
    <w:name w:val="heading 9"/>
    <w:basedOn w:val="Normal"/>
    <w:next w:val="Normal"/>
    <w:link w:val="Heading9Char"/>
    <w:qFormat/>
    <w:rsid w:val="00F302BF"/>
    <w:pPr>
      <w:ind w:left="720"/>
      <w:outlineLvl w:val="8"/>
    </w:pPr>
    <w:rPr>
      <w:i/>
    </w:rPr>
  </w:style>
  <w:style w:type="character" w:default="1" w:styleId="DefaultParagraphFont">
    <w:name w:val="Default Paragraph Font"/>
    <w:uiPriority w:val="1"/>
    <w:unhideWhenUsed/>
    <w:rsid w:val="00F30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2BF"/>
  </w:style>
  <w:style w:type="character" w:customStyle="1" w:styleId="Heading1Char">
    <w:name w:val="Heading 1 Char"/>
    <w:basedOn w:val="DefaultParagraphFont"/>
    <w:link w:val="Heading1"/>
    <w:rsid w:val="00F302BF"/>
    <w:rPr>
      <w:rFonts w:ascii="Times New Roman" w:eastAsia="Times New Roman" w:hAnsi="Times New Roman" w:cs="Times New Roman"/>
      <w:b/>
      <w:sz w:val="32"/>
      <w:szCs w:val="20"/>
      <w:lang w:eastAsia="en-US"/>
    </w:rPr>
  </w:style>
  <w:style w:type="paragraph" w:styleId="BodyText">
    <w:name w:val="Body Text"/>
    <w:basedOn w:val="Normal"/>
    <w:link w:val="BodyTextChar"/>
    <w:rsid w:val="00F302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02BF"/>
    <w:rPr>
      <w:rFonts w:ascii="Times New Roman" w:eastAsia="Times New Roman" w:hAnsi="Times New Roman" w:cs="Times New Roman"/>
      <w:sz w:val="24"/>
      <w:lang w:val="en-US" w:eastAsia="en-US"/>
    </w:rPr>
  </w:style>
  <w:style w:type="paragraph" w:styleId="Footer">
    <w:name w:val="footer"/>
    <w:basedOn w:val="Normal"/>
    <w:link w:val="FooterChar"/>
    <w:rsid w:val="00F30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2B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302BF"/>
    <w:rPr>
      <w:b/>
      <w:spacing w:val="0"/>
    </w:rPr>
  </w:style>
  <w:style w:type="paragraph" w:styleId="Header">
    <w:name w:val="header"/>
    <w:basedOn w:val="Normal"/>
    <w:link w:val="HeaderChar"/>
    <w:rsid w:val="00F30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2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02BF"/>
    <w:pPr>
      <w:spacing w:before="240" w:after="120"/>
      <w:outlineLvl w:val="0"/>
    </w:pPr>
    <w:rPr>
      <w:rFonts w:ascii="Times New Roman" w:hAnsi="Times New Roman"/>
      <w:b/>
      <w:sz w:val="28"/>
    </w:rPr>
  </w:style>
  <w:style w:type="paragraph" w:customStyle="1" w:styleId="AllowPageBreak">
    <w:name w:val="AllowPageBreak"/>
    <w:rsid w:val="00F302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2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02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02BF"/>
    <w:rPr>
      <w:rFonts w:ascii="Courier New" w:eastAsia="Times New Roman" w:hAnsi="Courier New" w:cs="Times New Roman"/>
      <w:i/>
      <w:szCs w:val="20"/>
      <w:lang w:val="en-US" w:eastAsia="en-US"/>
    </w:rPr>
  </w:style>
  <w:style w:type="paragraph" w:customStyle="1" w:styleId="HeadingBase">
    <w:name w:val="Heading Base"/>
    <w:rsid w:val="00F30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2BF"/>
    <w:pPr>
      <w:tabs>
        <w:tab w:val="right" w:leader="dot" w:pos="9072"/>
      </w:tabs>
      <w:ind w:left="567"/>
    </w:pPr>
    <w:rPr>
      <w:szCs w:val="22"/>
    </w:rPr>
  </w:style>
  <w:style w:type="paragraph" w:customStyle="1" w:styleId="TOCBase">
    <w:name w:val="TOC Base"/>
    <w:rsid w:val="00F30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2BF"/>
    <w:pPr>
      <w:tabs>
        <w:tab w:val="right" w:leader="dot" w:pos="9072"/>
      </w:tabs>
      <w:spacing w:before="40" w:after="40"/>
      <w:ind w:left="284"/>
    </w:pPr>
    <w:rPr>
      <w:rFonts w:ascii="Times New Roman" w:hAnsi="Times New Roman"/>
    </w:rPr>
  </w:style>
  <w:style w:type="paragraph" w:styleId="TOC1">
    <w:name w:val="toc 1"/>
    <w:basedOn w:val="TOCBase"/>
    <w:next w:val="Normal"/>
    <w:rsid w:val="00F302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02BF"/>
    <w:pPr>
      <w:spacing w:before="5040"/>
      <w:jc w:val="center"/>
    </w:pPr>
    <w:rPr>
      <w:sz w:val="48"/>
      <w:szCs w:val="72"/>
      <w:lang w:val="en-US"/>
    </w:rPr>
  </w:style>
  <w:style w:type="character" w:customStyle="1" w:styleId="TitleChar">
    <w:name w:val="Title Char"/>
    <w:basedOn w:val="DefaultParagraphFont"/>
    <w:link w:val="Title"/>
    <w:rsid w:val="00F30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2BF"/>
    <w:pPr>
      <w:tabs>
        <w:tab w:val="left" w:pos="3600"/>
        <w:tab w:val="left" w:pos="3958"/>
      </w:tabs>
    </w:pPr>
  </w:style>
  <w:style w:type="paragraph" w:styleId="List">
    <w:name w:val="List"/>
    <w:basedOn w:val="BodyText"/>
    <w:next w:val="BodyText"/>
    <w:rsid w:val="00F302BF"/>
    <w:pPr>
      <w:tabs>
        <w:tab w:val="left" w:pos="340"/>
      </w:tabs>
      <w:spacing w:before="60" w:after="60"/>
      <w:ind w:left="340" w:hanging="340"/>
    </w:pPr>
  </w:style>
  <w:style w:type="paragraph" w:styleId="ListBullet">
    <w:name w:val="List Bullet"/>
    <w:basedOn w:val="List"/>
    <w:rsid w:val="00F302BF"/>
    <w:pPr>
      <w:numPr>
        <w:numId w:val="11"/>
      </w:numPr>
      <w:tabs>
        <w:tab w:val="clear" w:pos="340"/>
      </w:tabs>
      <w:spacing w:before="40" w:after="40"/>
    </w:pPr>
  </w:style>
  <w:style w:type="paragraph" w:customStyle="1" w:styleId="Note">
    <w:name w:val="Note"/>
    <w:basedOn w:val="BodyText"/>
    <w:rsid w:val="00F30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2BF"/>
    <w:pPr>
      <w:framePr w:wrap="auto" w:hAnchor="text" w:y="6049"/>
    </w:pPr>
    <w:rPr>
      <w:color w:val="000000"/>
      <w:sz w:val="40"/>
    </w:rPr>
  </w:style>
  <w:style w:type="paragraph" w:customStyle="1" w:styleId="TOCTitle">
    <w:name w:val="TOCTitle"/>
    <w:basedOn w:val="Heading1"/>
    <w:rsid w:val="00F302BF"/>
    <w:pPr>
      <w:spacing w:after="240"/>
      <w:jc w:val="center"/>
      <w:outlineLvl w:val="9"/>
    </w:pPr>
    <w:rPr>
      <w:caps/>
    </w:rPr>
  </w:style>
  <w:style w:type="paragraph" w:customStyle="1" w:styleId="Version">
    <w:name w:val="Version"/>
    <w:rsid w:val="00F302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02BF"/>
    <w:pPr>
      <w:numPr>
        <w:numId w:val="12"/>
      </w:numPr>
      <w:tabs>
        <w:tab w:val="clear" w:pos="680"/>
      </w:tabs>
    </w:pPr>
  </w:style>
  <w:style w:type="paragraph" w:styleId="Index1">
    <w:name w:val="index 1"/>
    <w:basedOn w:val="Normal"/>
    <w:next w:val="Normal"/>
    <w:semiHidden/>
    <w:rsid w:val="00F302BF"/>
    <w:pPr>
      <w:keepNext w:val="0"/>
      <w:tabs>
        <w:tab w:val="right" w:pos="4176"/>
      </w:tabs>
      <w:ind w:left="198" w:hanging="198"/>
    </w:pPr>
    <w:rPr>
      <w:rFonts w:ascii="Garamond" w:hAnsi="Garamond"/>
    </w:rPr>
  </w:style>
  <w:style w:type="paragraph" w:styleId="IndexHeading">
    <w:name w:val="index heading"/>
    <w:basedOn w:val="Normal"/>
    <w:next w:val="Index1"/>
    <w:semiHidden/>
    <w:rsid w:val="00F302BF"/>
    <w:pPr>
      <w:spacing w:before="120" w:after="120"/>
    </w:pPr>
    <w:rPr>
      <w:rFonts w:ascii="Arial" w:hAnsi="Arial"/>
      <w:b/>
      <w:color w:val="918585"/>
      <w:sz w:val="24"/>
    </w:rPr>
  </w:style>
  <w:style w:type="paragraph" w:customStyle="1" w:styleId="Chapter">
    <w:name w:val="Chapter"/>
    <w:basedOn w:val="Normal"/>
    <w:rsid w:val="00F302BF"/>
    <w:pPr>
      <w:spacing w:before="240"/>
    </w:pPr>
    <w:rPr>
      <w:rFonts w:ascii="Times New Roman" w:hAnsi="Times New Roman"/>
      <w:smallCaps/>
      <w:spacing w:val="80"/>
      <w:sz w:val="28"/>
    </w:rPr>
  </w:style>
  <w:style w:type="paragraph" w:customStyle="1" w:styleId="InChapter">
    <w:name w:val="InChapter"/>
    <w:basedOn w:val="Heading3"/>
    <w:rsid w:val="00F302BF"/>
    <w:pPr>
      <w:spacing w:after="240"/>
      <w:outlineLvl w:val="9"/>
    </w:pPr>
    <w:rPr>
      <w:noProof/>
    </w:rPr>
  </w:style>
  <w:style w:type="paragraph" w:styleId="Index2">
    <w:name w:val="index 2"/>
    <w:basedOn w:val="Normal"/>
    <w:next w:val="Normal"/>
    <w:semiHidden/>
    <w:rsid w:val="00F302BF"/>
    <w:pPr>
      <w:tabs>
        <w:tab w:val="right" w:pos="4176"/>
      </w:tabs>
      <w:ind w:left="568" w:hanging="284"/>
    </w:pPr>
    <w:rPr>
      <w:rFonts w:ascii="Garamond" w:hAnsi="Garamond"/>
    </w:rPr>
  </w:style>
  <w:style w:type="paragraph" w:customStyle="1" w:styleId="Byline">
    <w:name w:val="Byline"/>
    <w:rsid w:val="00F30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2BF"/>
    <w:pPr>
      <w:tabs>
        <w:tab w:val="clear" w:pos="3600"/>
        <w:tab w:val="clear" w:pos="3958"/>
      </w:tabs>
      <w:jc w:val="right"/>
    </w:pPr>
  </w:style>
  <w:style w:type="character" w:styleId="Emphasis">
    <w:name w:val="Emphasis"/>
    <w:basedOn w:val="DefaultParagraphFont"/>
    <w:qFormat/>
    <w:rsid w:val="00F302BF"/>
    <w:rPr>
      <w:i/>
    </w:rPr>
  </w:style>
  <w:style w:type="paragraph" w:styleId="Caption">
    <w:name w:val="caption"/>
    <w:basedOn w:val="BodyText"/>
    <w:next w:val="Normal"/>
    <w:qFormat/>
    <w:rsid w:val="00F302BF"/>
    <w:pPr>
      <w:framePr w:w="2268" w:hSpace="181" w:vSpace="181" w:wrap="around" w:vAnchor="text" w:hAnchor="page" w:x="1135" w:y="285" w:anchorLock="1"/>
    </w:pPr>
    <w:rPr>
      <w:i/>
    </w:rPr>
  </w:style>
  <w:style w:type="paragraph" w:customStyle="1" w:styleId="MiniTOCTitle">
    <w:name w:val="MiniTOCTitle"/>
    <w:basedOn w:val="Heading4"/>
    <w:rsid w:val="00F302BF"/>
    <w:pPr>
      <w:spacing w:before="240"/>
      <w:outlineLvl w:val="9"/>
    </w:pPr>
    <w:rPr>
      <w:noProof/>
      <w:sz w:val="24"/>
    </w:rPr>
  </w:style>
  <w:style w:type="paragraph" w:customStyle="1" w:styleId="MiniTOCItem">
    <w:name w:val="MiniTOCItem"/>
    <w:basedOn w:val="ListBullet"/>
    <w:rsid w:val="00F302BF"/>
    <w:pPr>
      <w:numPr>
        <w:numId w:val="0"/>
      </w:numPr>
      <w:tabs>
        <w:tab w:val="right" w:leader="dot" w:pos="6521"/>
      </w:tabs>
      <w:spacing w:before="0" w:after="0"/>
    </w:pPr>
  </w:style>
  <w:style w:type="paragraph" w:customStyle="1" w:styleId="TOFTitle">
    <w:name w:val="TOFTitle"/>
    <w:basedOn w:val="TOCTitle"/>
    <w:rsid w:val="00F302BF"/>
  </w:style>
  <w:style w:type="paragraph" w:styleId="TableofFigures">
    <w:name w:val="table of figures"/>
    <w:basedOn w:val="Normal"/>
    <w:next w:val="Normal"/>
    <w:semiHidden/>
    <w:rsid w:val="00F302BF"/>
    <w:pPr>
      <w:tabs>
        <w:tab w:val="right" w:leader="dot" w:pos="9072"/>
      </w:tabs>
      <w:ind w:left="970" w:hanging="403"/>
    </w:pPr>
    <w:rPr>
      <w:rFonts w:ascii="Times New Roman" w:hAnsi="Times New Roman"/>
      <w:b/>
    </w:rPr>
  </w:style>
  <w:style w:type="paragraph" w:styleId="ListNumber">
    <w:name w:val="List Number"/>
    <w:basedOn w:val="List"/>
    <w:rsid w:val="00F302BF"/>
    <w:pPr>
      <w:numPr>
        <w:numId w:val="9"/>
      </w:numPr>
    </w:pPr>
  </w:style>
  <w:style w:type="character" w:customStyle="1" w:styleId="WingdingSymbols">
    <w:name w:val="Wingding Symbols"/>
    <w:rsid w:val="00F302BF"/>
    <w:rPr>
      <w:rFonts w:ascii="Wingdings" w:hAnsi="Wingdings"/>
    </w:rPr>
  </w:style>
  <w:style w:type="paragraph" w:customStyle="1" w:styleId="TableHeading">
    <w:name w:val="Table Heading"/>
    <w:basedOn w:val="HeadingBase"/>
    <w:rsid w:val="00F302BF"/>
    <w:pPr>
      <w:keepLines/>
      <w:pBdr>
        <w:bottom w:val="single" w:sz="6" w:space="1" w:color="918585"/>
      </w:pBdr>
      <w:spacing w:before="240"/>
    </w:pPr>
  </w:style>
  <w:style w:type="character" w:customStyle="1" w:styleId="HotSpot">
    <w:name w:val="HotSpot"/>
    <w:rsid w:val="00F302BF"/>
    <w:rPr>
      <w:color w:val="0033CC"/>
      <w:u w:val="none"/>
    </w:rPr>
  </w:style>
  <w:style w:type="paragraph" w:customStyle="1" w:styleId="BodyTextRight">
    <w:name w:val="Body Text Right"/>
    <w:basedOn w:val="BodyText"/>
    <w:rsid w:val="00F302BF"/>
    <w:pPr>
      <w:spacing w:before="0" w:after="0"/>
      <w:jc w:val="right"/>
    </w:pPr>
  </w:style>
  <w:style w:type="paragraph" w:styleId="Index3">
    <w:name w:val="index 3"/>
    <w:basedOn w:val="ListNumber2"/>
    <w:next w:val="Normal"/>
    <w:semiHidden/>
    <w:rsid w:val="00F302BF"/>
    <w:pPr>
      <w:numPr>
        <w:numId w:val="0"/>
      </w:numPr>
      <w:tabs>
        <w:tab w:val="right" w:leader="dot" w:pos="4176"/>
      </w:tabs>
    </w:pPr>
  </w:style>
  <w:style w:type="paragraph" w:styleId="ListNumber2">
    <w:name w:val="List Number 2"/>
    <w:basedOn w:val="List2"/>
    <w:rsid w:val="00F302BF"/>
    <w:pPr>
      <w:numPr>
        <w:numId w:val="8"/>
      </w:numPr>
      <w:tabs>
        <w:tab w:val="clear" w:pos="1060"/>
      </w:tabs>
    </w:pPr>
  </w:style>
  <w:style w:type="paragraph" w:customStyle="1" w:styleId="MarginNote">
    <w:name w:val="Margin Note"/>
    <w:basedOn w:val="BodyText"/>
    <w:rsid w:val="00F30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2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02BF"/>
    <w:rPr>
      <w:sz w:val="32"/>
    </w:rPr>
  </w:style>
  <w:style w:type="paragraph" w:customStyle="1" w:styleId="HeadingProcedure">
    <w:name w:val="Heading Procedure"/>
    <w:basedOn w:val="HeadingBase"/>
    <w:next w:val="Normal"/>
    <w:rsid w:val="00F302BF"/>
    <w:pPr>
      <w:tabs>
        <w:tab w:val="left" w:pos="0"/>
      </w:tabs>
      <w:spacing w:before="120" w:after="60"/>
    </w:pPr>
    <w:rPr>
      <w:i/>
      <w:color w:val="918585"/>
      <w:sz w:val="22"/>
    </w:rPr>
  </w:style>
  <w:style w:type="paragraph" w:customStyle="1" w:styleId="TableBodyText">
    <w:name w:val="Table Body Text"/>
    <w:basedOn w:val="BodyText"/>
    <w:rsid w:val="00F302BF"/>
    <w:pPr>
      <w:spacing w:before="60" w:after="60"/>
    </w:pPr>
  </w:style>
  <w:style w:type="paragraph" w:styleId="ListContinue">
    <w:name w:val="List Continue"/>
    <w:basedOn w:val="List"/>
    <w:rsid w:val="00F302BF"/>
    <w:pPr>
      <w:ind w:firstLine="0"/>
    </w:pPr>
  </w:style>
  <w:style w:type="paragraph" w:customStyle="1" w:styleId="ListNote">
    <w:name w:val="List Note"/>
    <w:basedOn w:val="List"/>
    <w:rsid w:val="00F302BF"/>
    <w:pPr>
      <w:pBdr>
        <w:top w:val="single" w:sz="6" w:space="2" w:color="918585"/>
        <w:bottom w:val="single" w:sz="6" w:space="2" w:color="918585"/>
      </w:pBdr>
      <w:tabs>
        <w:tab w:val="left" w:pos="1021"/>
      </w:tabs>
      <w:ind w:firstLine="0"/>
    </w:pPr>
  </w:style>
  <w:style w:type="paragraph" w:customStyle="1" w:styleId="Warning">
    <w:name w:val="Warning"/>
    <w:basedOn w:val="BodyText"/>
    <w:rsid w:val="00F302BF"/>
    <w:pPr>
      <w:shd w:val="clear" w:color="auto" w:fill="D9D9D9"/>
      <w:tabs>
        <w:tab w:val="left" w:pos="992"/>
      </w:tabs>
      <w:ind w:left="119" w:right="119"/>
    </w:pPr>
    <w:rPr>
      <w:sz w:val="20"/>
    </w:rPr>
  </w:style>
  <w:style w:type="paragraph" w:customStyle="1" w:styleId="MarginIcons">
    <w:name w:val="Margin Icons"/>
    <w:basedOn w:val="BodyText"/>
    <w:rsid w:val="00F30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2BF"/>
    <w:rPr>
      <w:rFonts w:ascii="Courier New" w:hAnsi="Courier New"/>
    </w:rPr>
  </w:style>
  <w:style w:type="paragraph" w:customStyle="1" w:styleId="NoteBullet">
    <w:name w:val="Note Bullet"/>
    <w:basedOn w:val="Note"/>
    <w:rsid w:val="00F302BF"/>
    <w:pPr>
      <w:tabs>
        <w:tab w:val="clear" w:pos="680"/>
      </w:tabs>
      <w:spacing w:before="60" w:after="60"/>
    </w:pPr>
  </w:style>
  <w:style w:type="paragraph" w:customStyle="1" w:styleId="SubHeading2">
    <w:name w:val="SubHeading2"/>
    <w:basedOn w:val="HeadingBase"/>
    <w:rsid w:val="00F302BF"/>
    <w:pPr>
      <w:spacing w:before="240" w:after="60"/>
    </w:pPr>
    <w:rPr>
      <w:sz w:val="20"/>
    </w:rPr>
  </w:style>
  <w:style w:type="paragraph" w:customStyle="1" w:styleId="SubHeading1">
    <w:name w:val="SubHeading1"/>
    <w:basedOn w:val="HeadingBase"/>
    <w:rsid w:val="00F302BF"/>
    <w:pPr>
      <w:spacing w:before="240" w:after="60"/>
    </w:pPr>
    <w:rPr>
      <w:color w:val="918585"/>
      <w:sz w:val="22"/>
    </w:rPr>
  </w:style>
  <w:style w:type="paragraph" w:customStyle="1" w:styleId="SideHeading">
    <w:name w:val="Side Heading"/>
    <w:basedOn w:val="HeadingBase"/>
    <w:rsid w:val="00F30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2BF"/>
    <w:pPr>
      <w:numPr>
        <w:numId w:val="10"/>
      </w:numPr>
    </w:pPr>
  </w:style>
  <w:style w:type="paragraph" w:styleId="PlainText">
    <w:name w:val="Plain Text"/>
    <w:basedOn w:val="Normal"/>
    <w:link w:val="PlainTextChar"/>
    <w:rsid w:val="00F302BF"/>
    <w:rPr>
      <w:sz w:val="20"/>
    </w:rPr>
  </w:style>
  <w:style w:type="character" w:customStyle="1" w:styleId="PlainTextChar">
    <w:name w:val="Plain Text Char"/>
    <w:basedOn w:val="DefaultParagraphFont"/>
    <w:link w:val="PlainText"/>
    <w:rsid w:val="00F302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02BF"/>
    <w:rPr>
      <w:b/>
      <w:smallCaps/>
    </w:rPr>
  </w:style>
  <w:style w:type="paragraph" w:customStyle="1" w:styleId="TableListNumber">
    <w:name w:val="Table List Number"/>
    <w:basedOn w:val="ListNumber"/>
    <w:rsid w:val="00F302BF"/>
    <w:pPr>
      <w:numPr>
        <w:numId w:val="0"/>
      </w:numPr>
    </w:pPr>
  </w:style>
  <w:style w:type="paragraph" w:styleId="TOC4">
    <w:name w:val="toc 4"/>
    <w:basedOn w:val="TOCBase"/>
    <w:next w:val="Normal"/>
    <w:semiHidden/>
    <w:rsid w:val="00F302BF"/>
    <w:pPr>
      <w:tabs>
        <w:tab w:val="right" w:leader="dot" w:pos="9071"/>
      </w:tabs>
      <w:ind w:left="1701"/>
    </w:pPr>
  </w:style>
  <w:style w:type="paragraph" w:customStyle="1" w:styleId="ListAlpha">
    <w:name w:val="List Alpha"/>
    <w:basedOn w:val="List"/>
    <w:rsid w:val="00F302BF"/>
    <w:pPr>
      <w:numPr>
        <w:numId w:val="7"/>
      </w:numPr>
    </w:pPr>
  </w:style>
  <w:style w:type="paragraph" w:customStyle="1" w:styleId="ListAlpha2">
    <w:name w:val="List Alpha 2"/>
    <w:basedOn w:val="List2"/>
    <w:rsid w:val="00F302BF"/>
    <w:pPr>
      <w:numPr>
        <w:numId w:val="6"/>
      </w:numPr>
    </w:pPr>
  </w:style>
  <w:style w:type="paragraph" w:styleId="List2">
    <w:name w:val="List 2"/>
    <w:basedOn w:val="BodyText"/>
    <w:rsid w:val="00F302BF"/>
    <w:pPr>
      <w:tabs>
        <w:tab w:val="left" w:pos="680"/>
      </w:tabs>
      <w:spacing w:before="60" w:after="60"/>
      <w:ind w:left="680" w:hanging="340"/>
    </w:pPr>
  </w:style>
  <w:style w:type="paragraph" w:styleId="List3">
    <w:name w:val="List 3"/>
    <w:basedOn w:val="BodyText"/>
    <w:rsid w:val="00F302BF"/>
    <w:pPr>
      <w:tabs>
        <w:tab w:val="left" w:pos="1021"/>
      </w:tabs>
      <w:spacing w:before="60" w:after="60"/>
      <w:ind w:left="1020" w:hanging="340"/>
    </w:pPr>
  </w:style>
  <w:style w:type="paragraph" w:styleId="List4">
    <w:name w:val="List 4"/>
    <w:basedOn w:val="BodyText"/>
    <w:rsid w:val="00F302BF"/>
    <w:pPr>
      <w:tabs>
        <w:tab w:val="left" w:pos="1361"/>
      </w:tabs>
      <w:spacing w:before="60" w:after="60"/>
      <w:ind w:left="1361" w:hanging="340"/>
    </w:pPr>
  </w:style>
  <w:style w:type="paragraph" w:styleId="List5">
    <w:name w:val="List 5"/>
    <w:basedOn w:val="BodyText"/>
    <w:rsid w:val="00F302BF"/>
    <w:pPr>
      <w:tabs>
        <w:tab w:val="left" w:pos="1701"/>
      </w:tabs>
      <w:spacing w:before="60" w:after="60"/>
      <w:ind w:left="1701" w:hanging="340"/>
    </w:pPr>
  </w:style>
  <w:style w:type="paragraph" w:styleId="ListBullet3">
    <w:name w:val="List Bullet 3"/>
    <w:basedOn w:val="List3"/>
    <w:rsid w:val="00F302BF"/>
    <w:pPr>
      <w:numPr>
        <w:numId w:val="13"/>
      </w:numPr>
      <w:tabs>
        <w:tab w:val="clear" w:pos="1021"/>
      </w:tabs>
      <w:ind w:left="1037" w:hanging="357"/>
    </w:pPr>
  </w:style>
  <w:style w:type="paragraph" w:styleId="ListBullet4">
    <w:name w:val="List Bullet 4"/>
    <w:basedOn w:val="List4"/>
    <w:rsid w:val="00F302BF"/>
    <w:pPr>
      <w:numPr>
        <w:numId w:val="1"/>
      </w:numPr>
    </w:pPr>
  </w:style>
  <w:style w:type="paragraph" w:styleId="ListBullet5">
    <w:name w:val="List Bullet 5"/>
    <w:basedOn w:val="List5"/>
    <w:rsid w:val="00F302BF"/>
    <w:pPr>
      <w:numPr>
        <w:numId w:val="2"/>
      </w:numPr>
    </w:pPr>
  </w:style>
  <w:style w:type="paragraph" w:styleId="ListContinue2">
    <w:name w:val="List Continue 2"/>
    <w:basedOn w:val="List2"/>
    <w:rsid w:val="00F302BF"/>
    <w:pPr>
      <w:ind w:firstLine="0"/>
    </w:pPr>
  </w:style>
  <w:style w:type="paragraph" w:styleId="ListContinue3">
    <w:name w:val="List Continue 3"/>
    <w:basedOn w:val="List3"/>
    <w:rsid w:val="00F302BF"/>
    <w:pPr>
      <w:ind w:left="1021" w:firstLine="0"/>
    </w:pPr>
  </w:style>
  <w:style w:type="paragraph" w:styleId="ListContinue4">
    <w:name w:val="List Continue 4"/>
    <w:basedOn w:val="List4"/>
    <w:rsid w:val="00F302BF"/>
    <w:pPr>
      <w:ind w:firstLine="0"/>
    </w:pPr>
  </w:style>
  <w:style w:type="paragraph" w:styleId="ListContinue5">
    <w:name w:val="List Continue 5"/>
    <w:basedOn w:val="List5"/>
    <w:rsid w:val="00F302BF"/>
    <w:pPr>
      <w:ind w:firstLine="0"/>
    </w:pPr>
  </w:style>
  <w:style w:type="paragraph" w:styleId="ListNumber3">
    <w:name w:val="List Number 3"/>
    <w:basedOn w:val="List3"/>
    <w:rsid w:val="00F302BF"/>
    <w:pPr>
      <w:numPr>
        <w:numId w:val="3"/>
      </w:numPr>
    </w:pPr>
  </w:style>
  <w:style w:type="paragraph" w:styleId="ListNumber4">
    <w:name w:val="List Number 4"/>
    <w:basedOn w:val="List4"/>
    <w:rsid w:val="00F302BF"/>
    <w:pPr>
      <w:numPr>
        <w:numId w:val="4"/>
      </w:numPr>
    </w:pPr>
  </w:style>
  <w:style w:type="paragraph" w:styleId="ListNumber5">
    <w:name w:val="List Number 5"/>
    <w:basedOn w:val="List5"/>
    <w:rsid w:val="00F302BF"/>
    <w:pPr>
      <w:numPr>
        <w:numId w:val="5"/>
      </w:numPr>
    </w:pPr>
  </w:style>
  <w:style w:type="paragraph" w:styleId="BlockText">
    <w:name w:val="Block Text"/>
    <w:basedOn w:val="Normal"/>
    <w:rsid w:val="00F302BF"/>
    <w:pPr>
      <w:spacing w:after="120"/>
      <w:ind w:left="1440" w:right="1440"/>
    </w:pPr>
  </w:style>
  <w:style w:type="character" w:customStyle="1" w:styleId="Subscript">
    <w:name w:val="Subscript"/>
    <w:basedOn w:val="DefaultParagraphFont"/>
    <w:rsid w:val="00F302BF"/>
    <w:rPr>
      <w:sz w:val="16"/>
      <w:vertAlign w:val="subscript"/>
    </w:rPr>
  </w:style>
  <w:style w:type="character" w:customStyle="1" w:styleId="Superscript">
    <w:name w:val="Superscript"/>
    <w:basedOn w:val="DefaultParagraphFont"/>
    <w:rsid w:val="00F302BF"/>
    <w:rPr>
      <w:sz w:val="16"/>
      <w:vertAlign w:val="superscript"/>
    </w:rPr>
  </w:style>
  <w:style w:type="character" w:customStyle="1" w:styleId="Symbols">
    <w:name w:val="Symbols"/>
    <w:basedOn w:val="DefaultParagraphFont"/>
    <w:rsid w:val="00F302BF"/>
    <w:rPr>
      <w:rFonts w:ascii="Symbol" w:hAnsi="Symbol"/>
    </w:rPr>
  </w:style>
  <w:style w:type="character" w:customStyle="1" w:styleId="MenuOptions">
    <w:name w:val="Menu Options"/>
    <w:basedOn w:val="DefaultParagraphFont"/>
    <w:rsid w:val="00F302BF"/>
    <w:rPr>
      <w:rFonts w:ascii="Arial Narrow" w:hAnsi="Arial Narrow"/>
      <w:smallCaps/>
    </w:rPr>
  </w:style>
  <w:style w:type="character" w:customStyle="1" w:styleId="Buttons">
    <w:name w:val="Buttons"/>
    <w:basedOn w:val="DefaultParagraphFont"/>
    <w:rsid w:val="00F302BF"/>
    <w:rPr>
      <w:b/>
    </w:rPr>
  </w:style>
  <w:style w:type="character" w:customStyle="1" w:styleId="Underlined">
    <w:name w:val="Underlined"/>
    <w:basedOn w:val="DefaultParagraphFont"/>
    <w:rsid w:val="00F302BF"/>
    <w:rPr>
      <w:u w:val="single"/>
    </w:rPr>
  </w:style>
  <w:style w:type="paragraph" w:customStyle="1" w:styleId="TableBodyTextRight">
    <w:name w:val="Table Body Text Right"/>
    <w:basedOn w:val="TableBodyText"/>
    <w:rsid w:val="00F302BF"/>
    <w:pPr>
      <w:widowControl w:val="0"/>
      <w:autoSpaceDE w:val="0"/>
      <w:autoSpaceDN w:val="0"/>
      <w:adjustRightInd w:val="0"/>
      <w:jc w:val="right"/>
    </w:pPr>
    <w:rPr>
      <w:rFonts w:cs="Arial"/>
      <w:szCs w:val="18"/>
    </w:rPr>
  </w:style>
  <w:style w:type="paragraph" w:customStyle="1" w:styleId="CopyrightText">
    <w:name w:val="Copyright Text"/>
    <w:basedOn w:val="BodyText"/>
    <w:rsid w:val="00F302BF"/>
    <w:rPr>
      <w:sz w:val="18"/>
    </w:rPr>
  </w:style>
  <w:style w:type="paragraph" w:customStyle="1" w:styleId="BodySmallRight">
    <w:name w:val="Body Small Right"/>
    <w:basedOn w:val="BodyTextRight"/>
    <w:rsid w:val="00F302BF"/>
    <w:rPr>
      <w:sz w:val="18"/>
      <w:szCs w:val="18"/>
    </w:rPr>
  </w:style>
  <w:style w:type="paragraph" w:customStyle="1" w:styleId="MarginEdition">
    <w:name w:val="Margin Edition"/>
    <w:basedOn w:val="MarginNote"/>
    <w:rsid w:val="00F302BF"/>
    <w:pPr>
      <w:spacing w:before="0" w:after="0"/>
    </w:pPr>
    <w:rPr>
      <w:rFonts w:ascii="Times New Roman" w:hAnsi="Times New Roman"/>
      <w:color w:val="999999"/>
    </w:rPr>
  </w:style>
  <w:style w:type="paragraph" w:customStyle="1" w:styleId="Spacer">
    <w:name w:val="Spacer"/>
    <w:basedOn w:val="Normal"/>
    <w:rsid w:val="00F302BF"/>
    <w:rPr>
      <w:sz w:val="2"/>
      <w:szCs w:val="2"/>
    </w:rPr>
  </w:style>
  <w:style w:type="character" w:customStyle="1" w:styleId="Small">
    <w:name w:val="Small"/>
    <w:basedOn w:val="DefaultParagraphFont"/>
    <w:rsid w:val="00F302BF"/>
    <w:rPr>
      <w:sz w:val="16"/>
    </w:rPr>
  </w:style>
  <w:style w:type="paragraph" w:customStyle="1" w:styleId="WideTable">
    <w:name w:val="Wide Table"/>
    <w:basedOn w:val="Normal"/>
    <w:rsid w:val="00F302BF"/>
    <w:pPr>
      <w:ind w:left="-1418"/>
    </w:pPr>
    <w:rPr>
      <w:sz w:val="2"/>
      <w:szCs w:val="2"/>
    </w:rPr>
  </w:style>
  <w:style w:type="character" w:styleId="PageNumber">
    <w:name w:val="page number"/>
    <w:basedOn w:val="DefaultParagraphFont"/>
    <w:rsid w:val="00F302BF"/>
  </w:style>
  <w:style w:type="paragraph" w:styleId="Quote">
    <w:name w:val="Quote"/>
    <w:basedOn w:val="Heading1"/>
    <w:link w:val="QuoteChar"/>
    <w:qFormat/>
    <w:rsid w:val="00F302BF"/>
    <w:rPr>
      <w:b w:val="0"/>
      <w:sz w:val="72"/>
      <w:szCs w:val="72"/>
      <w:lang w:val="en-NZ"/>
    </w:rPr>
  </w:style>
  <w:style w:type="character" w:customStyle="1" w:styleId="QuoteChar">
    <w:name w:val="Quote Char"/>
    <w:basedOn w:val="DefaultParagraphFont"/>
    <w:link w:val="Quote"/>
    <w:rsid w:val="00F30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2BF"/>
    <w:pPr>
      <w:pageBreakBefore/>
    </w:pPr>
  </w:style>
  <w:style w:type="paragraph" w:customStyle="1" w:styleId="Border">
    <w:name w:val="Border"/>
    <w:basedOn w:val="Normal"/>
    <w:qFormat/>
    <w:rsid w:val="00F30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2BF"/>
    <w:rPr>
      <w:b/>
      <w:bCs/>
      <w:i/>
      <w:iCs/>
      <w:color w:val="auto"/>
    </w:rPr>
  </w:style>
  <w:style w:type="paragraph" w:styleId="IntenseQuote">
    <w:name w:val="Intense Quote"/>
    <w:basedOn w:val="Normal"/>
    <w:next w:val="Normal"/>
    <w:link w:val="IntenseQuoteChar"/>
    <w:uiPriority w:val="30"/>
    <w:qFormat/>
    <w:rsid w:val="00F30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2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02BF"/>
    <w:rPr>
      <w:smallCaps/>
      <w:color w:val="auto"/>
      <w:u w:val="single"/>
    </w:rPr>
  </w:style>
  <w:style w:type="character" w:styleId="IntenseReference">
    <w:name w:val="Intense Reference"/>
    <w:basedOn w:val="DefaultParagraphFont"/>
    <w:uiPriority w:val="32"/>
    <w:qFormat/>
    <w:rsid w:val="00F302BF"/>
    <w:rPr>
      <w:b/>
      <w:bCs/>
      <w:smallCaps/>
      <w:color w:val="auto"/>
      <w:spacing w:val="5"/>
      <w:u w:val="single"/>
    </w:rPr>
  </w:style>
  <w:style w:type="paragraph" w:customStyle="1" w:styleId="2ColumnHeading">
    <w:name w:val="2Column Heading"/>
    <w:basedOn w:val="BodyText"/>
    <w:qFormat/>
    <w:rsid w:val="00F302BF"/>
    <w:pPr>
      <w:spacing w:after="60"/>
      <w:ind w:left="-2268"/>
    </w:pPr>
    <w:rPr>
      <w:b/>
    </w:rPr>
  </w:style>
  <w:style w:type="paragraph" w:customStyle="1" w:styleId="Heading1TOC">
    <w:name w:val="Heading1 TOC"/>
    <w:basedOn w:val="Normal"/>
    <w:qFormat/>
    <w:rsid w:val="00F302BF"/>
    <w:pPr>
      <w:spacing w:before="240" w:after="120"/>
    </w:pPr>
    <w:rPr>
      <w:rFonts w:ascii="Times New Roman" w:hAnsi="Times New Roman"/>
      <w:b/>
      <w:sz w:val="32"/>
    </w:rPr>
  </w:style>
  <w:style w:type="paragraph" w:customStyle="1" w:styleId="Heading2TOC">
    <w:name w:val="Heading2 TOC"/>
    <w:basedOn w:val="Normal"/>
    <w:qFormat/>
    <w:rsid w:val="00F302BF"/>
    <w:pPr>
      <w:spacing w:before="240" w:after="60"/>
    </w:pPr>
    <w:rPr>
      <w:rFonts w:ascii="Times New Roman" w:hAnsi="Times New Roman"/>
      <w:b/>
      <w:sz w:val="28"/>
    </w:rPr>
  </w:style>
  <w:style w:type="character" w:customStyle="1" w:styleId="Underline">
    <w:name w:val="Underline"/>
    <w:basedOn w:val="DefaultParagraphFont"/>
    <w:qFormat/>
    <w:rsid w:val="00F302BF"/>
    <w:rPr>
      <w:u w:val="single"/>
    </w:rPr>
  </w:style>
  <w:style w:type="character" w:customStyle="1" w:styleId="BoldandItalics">
    <w:name w:val="Bold and Italics"/>
    <w:qFormat/>
    <w:rsid w:val="00F302BF"/>
    <w:rPr>
      <w:b/>
      <w:i/>
      <w:u w:val="none"/>
    </w:rPr>
  </w:style>
  <w:style w:type="paragraph" w:styleId="BalloonText">
    <w:name w:val="Balloon Text"/>
    <w:basedOn w:val="Normal"/>
    <w:link w:val="BalloonTextChar"/>
    <w:rsid w:val="00F302BF"/>
    <w:rPr>
      <w:rFonts w:ascii="Tahoma" w:hAnsi="Tahoma" w:cs="Tahoma"/>
      <w:sz w:val="16"/>
      <w:szCs w:val="16"/>
    </w:rPr>
  </w:style>
  <w:style w:type="character" w:customStyle="1" w:styleId="BalloonTextChar">
    <w:name w:val="Balloon Text Char"/>
    <w:basedOn w:val="DefaultParagraphFont"/>
    <w:link w:val="BalloonText"/>
    <w:rsid w:val="00F302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02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02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1963</Words>
  <Characters>12275</Characters>
  <Application>Microsoft Office Word</Application>
  <DocSecurity>0</DocSecurity>
  <Lines>365</Lines>
  <Paragraphs>227</Paragraphs>
  <ScaleCrop>false</ScaleCrop>
  <Company>Author-it Software Corporation Ltd.</Company>
  <LinksUpToDate>false</LinksUpToDate>
  <CharactersWithSpaces>14026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PMLTEST300B Perform basic tests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2012-05-26T08:09:00Z</dcterms:created>
  <dcterms:modified xsi:type="dcterms:W3CDTF">2012-05-26T08:09:00Z</dcterms:modified>
</cp:coreProperties>
</file>