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4DB" w:rsidP="001C14DB">
      <w:pPr>
        <w:pStyle w:val="Title"/>
      </w:pPr>
      <w:r>
        <w:fldChar w:fldCharType="begin"/>
      </w:r>
      <w:r>
        <w:instrText xml:space="preserve"> TITLE   \* MERGEFORMAT </w:instrText>
      </w:r>
      <w:r>
        <w:fldChar w:fldCharType="separate"/>
      </w:r>
      <w:r>
        <w:t>PMLTEST200A Conduct routine site measurements</w:t>
      </w:r>
      <w:r>
        <w:fldChar w:fldCharType="end"/>
      </w:r>
    </w:p>
    <w:p w:rsidR="001C14DB" w:rsidP="001C14DB">
      <w:pPr>
        <w:pStyle w:val="Version"/>
        <w:sectPr w:rsidSect="001372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207" w:rsidP="00137207">
      <w:pPr>
        <w:pStyle w:val="SuperHeading"/>
      </w:pPr>
      <w:r w:rsidRPr="00137207">
        <w:t>PMLTEST200A Conduct routine site measurements</w:t>
      </w:r>
    </w:p>
    <w:p w:rsidR="00000000" w:rsidRPr="00137207" w:rsidP="00137207">
      <w:pPr>
        <w:pStyle w:val="Heading1"/>
      </w:pPr>
      <w:bookmarkStart w:id="1" w:name="O_312162"/>
      <w:bookmarkEnd w:id="1"/>
      <w:r w:rsidRPr="00137207">
        <w:t>Modification History</w:t>
      </w:r>
    </w:p>
    <w:p w:rsidR="00000000" w:rsidRPr="00137207" w:rsidP="00137207">
      <w:pPr>
        <w:pStyle w:val="Heading1"/>
      </w:pPr>
      <w:bookmarkStart w:id="2" w:name="O_312161"/>
      <w:bookmarkEnd w:id="2"/>
      <w:r w:rsidRPr="00137207">
        <w:t>Unit Descriptor</w:t>
      </w:r>
    </w:p>
    <w:p w:rsidR="00000000" w:rsidRPr="00137207" w:rsidP="00137207">
      <w:pPr>
        <w:pStyle w:val="BodyText"/>
      </w:pPr>
      <w:r w:rsidRPr="00137207">
        <w:t>This unit of competency covers the ability to make direct measurements using enterprise procedures and equipment calibrated by others. Me</w:t>
      </w:r>
      <w:r w:rsidRPr="00137207">
        <w:t>asurements will be straightforward and involve a minimal number of steps, take a short time and have easily recognised control limits.</w:t>
      </w:r>
    </w:p>
    <w:p w:rsidR="00000000" w:rsidRPr="00137207" w:rsidP="00137207">
      <w:pPr>
        <w:pStyle w:val="BodyText"/>
      </w:pPr>
      <w:r w:rsidRPr="00137207">
        <w:t>This unit of competency has no prerequisites.</w:t>
      </w:r>
    </w:p>
    <w:p w:rsidR="00000000" w:rsidRPr="00137207" w:rsidP="00137207">
      <w:pPr>
        <w:pStyle w:val="BodyText"/>
      </w:pPr>
      <w:r w:rsidRPr="00137207">
        <w:t>This unit of competency is applicable to production operators, field assist</w:t>
      </w:r>
      <w:r w:rsidRPr="00137207">
        <w:t>ants and laboratory assistants in manufacturing, construction materials and environmental services.</w:t>
      </w:r>
    </w:p>
    <w:p w:rsidR="00000000" w:rsidRPr="00137207" w:rsidP="00137207">
      <w:pPr>
        <w:pStyle w:val="BodyText"/>
      </w:pPr>
      <w:r w:rsidRPr="00137207">
        <w:t>Industry representatives have provided case studies to illustrate the practical application of this unit of competency and to show its relevance in a workpl</w:t>
      </w:r>
      <w:r w:rsidRPr="00137207">
        <w:t>ace setting. These are found at the end of this unit of competency under the section This competency in practice.</w:t>
      </w:r>
    </w:p>
    <w:p w:rsidR="00000000" w:rsidRPr="00137207" w:rsidP="00137207">
      <w:pPr>
        <w:pStyle w:val="AllowPageBreak"/>
      </w:pPr>
    </w:p>
    <w:p w:rsidR="00000000" w:rsidRPr="00137207" w:rsidP="00137207">
      <w:pPr>
        <w:pStyle w:val="Heading1"/>
      </w:pPr>
      <w:bookmarkStart w:id="3" w:name="O_312160"/>
      <w:bookmarkEnd w:id="3"/>
      <w:r w:rsidRPr="00137207">
        <w:t>Application of the Unit</w:t>
      </w:r>
    </w:p>
    <w:p w:rsidR="00000000" w:rsidRPr="00137207" w:rsidP="00137207">
      <w:pPr>
        <w:pStyle w:val="Heading1"/>
      </w:pPr>
      <w:bookmarkStart w:id="4" w:name="O_312159"/>
      <w:bookmarkEnd w:id="4"/>
      <w:r w:rsidRPr="00137207">
        <w:t>Licensing/Regulatory Information</w:t>
      </w:r>
    </w:p>
    <w:p w:rsidR="00000000" w:rsidRPr="00137207" w:rsidP="00137207">
      <w:pPr>
        <w:pStyle w:val="Heading1"/>
      </w:pPr>
      <w:bookmarkStart w:id="5" w:name="O_312158"/>
      <w:bookmarkEnd w:id="5"/>
      <w:r w:rsidRPr="00137207">
        <w:t>Pre-Requisites</w:t>
      </w:r>
    </w:p>
    <w:p w:rsidR="00000000" w:rsidRPr="00137207" w:rsidP="00137207">
      <w:pPr>
        <w:pStyle w:val="Heading1"/>
      </w:pPr>
      <w:bookmarkStart w:id="6" w:name="O_312152"/>
      <w:bookmarkEnd w:id="6"/>
      <w:r w:rsidRPr="00137207">
        <w:t>Emplo</w:t>
      </w:r>
      <w:r w:rsidRPr="00137207">
        <w:t>yability Skills Information</w:t>
      </w:r>
    </w:p>
    <w:p w:rsidR="00000000" w:rsidRPr="00137207" w:rsidP="00137207">
      <w:pPr>
        <w:pStyle w:val="Heading1"/>
      </w:pPr>
      <w:bookmarkStart w:id="7" w:name="O_312157"/>
      <w:bookmarkEnd w:id="7"/>
      <w:r w:rsidRPr="00137207">
        <w:t>Elements and Performance Criteria Pre-Content</w:t>
      </w:r>
    </w:p>
    <w:p w:rsidR="00000000" w:rsidRPr="00137207" w:rsidP="00137207">
      <w:pPr>
        <w:pStyle w:val="BodyText"/>
      </w:pPr>
      <w:r w:rsidRPr="00137207">
        <w:t>Elements describe the essential outcomes of a unit of competency.</w:t>
      </w:r>
    </w:p>
    <w:p w:rsidR="00000000" w:rsidRPr="00137207" w:rsidP="00137207">
      <w:pPr>
        <w:pStyle w:val="BodyText"/>
      </w:pPr>
      <w:r w:rsidRPr="00137207">
        <w:t>Performance Criteria describe the level of performance required to demonstrate achievement of the element.</w:t>
      </w:r>
    </w:p>
    <w:p w:rsidR="00000000" w:rsidRPr="00137207" w:rsidP="00137207">
      <w:pPr>
        <w:pStyle w:val="AllowPageBreak"/>
      </w:pPr>
    </w:p>
    <w:p w:rsidR="00000000" w:rsidRPr="00137207" w:rsidP="00137207">
      <w:pPr>
        <w:pStyle w:val="Heading1"/>
      </w:pPr>
      <w:bookmarkStart w:id="8" w:name="O_312163"/>
      <w:bookmarkEnd w:id="8"/>
      <w:r w:rsidRPr="0013720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C14D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rPr>
                <w:rStyle w:val="SpecialBold"/>
              </w:rPr>
              <w:t>Elements and Performance Criteria</w:t>
            </w:r>
          </w:p>
        </w:tc>
      </w:tr>
      <w:tr w:rsidTr="001C14D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37207" w:rsidP="00137207">
            <w:pPr>
              <w:pStyle w:val="BodyText"/>
            </w:pPr>
            <w:r w:rsidRPr="0013720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rPr>
                <w:rStyle w:val="SpecialBold"/>
              </w:rPr>
              <w:t>Performance Criteria</w:t>
            </w:r>
          </w:p>
        </w:tc>
      </w:tr>
      <w:tr w:rsidTr="001C14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1</w:t>
            </w:r>
          </w:p>
        </w:tc>
        <w:tc>
          <w:tcPr>
            <w:tcW w:w="3000" w:type="dxa"/>
            <w:vMerge w:val="restart"/>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 xml:space="preserve">Prepare for measurement(s) </w:t>
            </w: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1.1</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 xml:space="preserve">Confirm the purpose, priority and nature of measurements required </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1.2</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Liaise with relevant personnel to arrange site access and all necessary clearances/permits</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1.3</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Identify site h</w:t>
            </w:r>
            <w:r w:rsidRPr="00137207">
              <w:t>azards and review enterprise safety procedures</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1.4</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Assemble all measuring and safety equipment and check they are fit for purpose</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1.5</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Check all equipment/materials against a given inventory and stow them to ensure safe transport</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1.6</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Arrange approp</w:t>
            </w:r>
            <w:r w:rsidRPr="00137207">
              <w:t>riate transport for site access as required</w:t>
            </w:r>
          </w:p>
        </w:tc>
      </w:tr>
      <w:tr w:rsidTr="001C14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2</w:t>
            </w:r>
          </w:p>
        </w:tc>
        <w:tc>
          <w:tcPr>
            <w:tcW w:w="3000" w:type="dxa"/>
            <w:vMerge w:val="restart"/>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Perform measurement(s)</w:t>
            </w: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2.1</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Locate measurement points and services at the site</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2.2</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Gain access to measurement points by removing covers and locks as appropriate</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2.3</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Seek advice if the required measurements cannot be made or if procedures require modification</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2.4</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Operate measuring equipment in accordance with enterprise procedures and manufacturer's instructions</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2.5</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Take sufficient readings to ensure reliable data</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2.6</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Record data with appropriate accuracy, precision and units</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2.7</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Record environmental/site conditions and any other observations that may impact on data quality</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2.8</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Recognise obvious errors/atypical data and take appropriate corrective action</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2.9</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Secure measuring points by replacing covers and locking as appropriate</w:t>
            </w:r>
          </w:p>
        </w:tc>
      </w:tr>
      <w:tr w:rsidTr="001C14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3</w:t>
            </w:r>
          </w:p>
        </w:tc>
        <w:tc>
          <w:tcPr>
            <w:tcW w:w="3000" w:type="dxa"/>
            <w:vMerge w:val="restart"/>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Finalise measurements</w:t>
            </w: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3.1</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Follow enterprise procedures for the cleaning/decontamination of equipm</w:t>
            </w:r>
            <w:r w:rsidRPr="00137207">
              <w:t xml:space="preserve">ent and vehicle as necessary </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3.2</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Check all equipment and materials against inventory and stow for safe transport</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3.3</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Liaise with relevant personnel to restore normal production and/or services as necessary</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3.4</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 xml:space="preserve">Report all measurements in accordance with </w:t>
            </w:r>
            <w:r w:rsidRPr="00137207">
              <w:t>enterprise procedures</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3.5</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On return, check and document serviceability of equipment before storage</w:t>
            </w:r>
          </w:p>
        </w:tc>
      </w:tr>
      <w:tr w:rsidTr="001C14D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4</w:t>
            </w:r>
          </w:p>
        </w:tc>
        <w:tc>
          <w:tcPr>
            <w:tcW w:w="3000" w:type="dxa"/>
            <w:vMerge w:val="restart"/>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Maintain a safe work environment</w:t>
            </w: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4.1</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Use established work practices and personal protective equipment to ensure personal safety and that of others</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4.2</w:t>
            </w:r>
          </w:p>
        </w:tc>
        <w:tc>
          <w:tcPr>
            <w:tcW w:w="51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Minimise environmental impacts of measurements and generation of waste</w:t>
            </w:r>
          </w:p>
        </w:tc>
      </w:tr>
      <w:tr w:rsidTr="001C14D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4.3</w:t>
            </w:r>
          </w:p>
        </w:tc>
        <w:tc>
          <w:tcPr>
            <w:tcW w:w="5100" w:type="dxa"/>
            <w:tcBorders>
              <w:top w:val="nil"/>
              <w:left w:val="nil"/>
              <w:bottom w:val="nil"/>
              <w:right w:val="nil"/>
            </w:tcBorders>
            <w:tcMar>
              <w:top w:w="0" w:type="dxa"/>
              <w:left w:w="62" w:type="dxa"/>
              <w:bottom w:w="0" w:type="dxa"/>
              <w:right w:w="62" w:type="dxa"/>
            </w:tcMar>
          </w:tcPr>
          <w:p w:rsidR="00000000" w:rsidRPr="00137207" w:rsidP="00137207">
            <w:pPr>
              <w:pStyle w:val="BodyText"/>
            </w:pPr>
            <w:r w:rsidRPr="00137207">
              <w:t>Dispose of all waste in accordance with enterprise procedures</w:t>
            </w:r>
          </w:p>
        </w:tc>
      </w:tr>
    </w:tbl>
    <w:p w:rsidR="00000000" w:rsidRPr="00137207" w:rsidP="00137207">
      <w:pPr>
        <w:pStyle w:val="BodyText"/>
      </w:pPr>
    </w:p>
    <w:p w:rsidR="00000000" w:rsidRPr="00137207" w:rsidP="00137207">
      <w:pPr>
        <w:pStyle w:val="AllowPageBreak"/>
      </w:pPr>
    </w:p>
    <w:p w:rsidR="00000000" w:rsidRPr="00137207" w:rsidP="00137207">
      <w:pPr>
        <w:pStyle w:val="Heading1"/>
      </w:pPr>
      <w:bookmarkStart w:id="9" w:name="O_312156"/>
      <w:bookmarkEnd w:id="9"/>
      <w:r w:rsidRPr="00137207">
        <w:t>Required Skills and Knowledge</w:t>
      </w:r>
    </w:p>
    <w:p w:rsidR="00000000" w:rsidRPr="00137207" w:rsidP="00137207">
      <w:pPr>
        <w:pStyle w:val="Heading1"/>
      </w:pPr>
      <w:bookmarkStart w:id="10" w:name="O_312155"/>
      <w:bookmarkEnd w:id="10"/>
      <w:r w:rsidRPr="00137207">
        <w:t>Evidence Guide</w:t>
      </w:r>
    </w:p>
    <w:p w:rsidR="00000000" w:rsidRPr="00137207" w:rsidP="00137207">
      <w:pPr>
        <w:pStyle w:val="BodyText"/>
      </w:pPr>
      <w:r w:rsidRPr="00137207">
        <w:t>The Evidence Guide describes the underpinning knowledge and skills that must be demonstrated to prove competence.</w:t>
      </w:r>
    </w:p>
    <w:p w:rsidR="00000000" w:rsidRPr="00137207" w:rsidP="00137207">
      <w:pPr>
        <w:pStyle w:val="BodyText"/>
      </w:pPr>
      <w:r w:rsidRPr="00137207">
        <w:rPr>
          <w:rStyle w:val="SpecialBold"/>
        </w:rPr>
        <w:t>Critical aspects of competency</w:t>
      </w:r>
    </w:p>
    <w:p w:rsidR="00000000" w:rsidRPr="00137207" w:rsidP="00137207">
      <w:pPr>
        <w:pStyle w:val="BodyText"/>
      </w:pPr>
      <w:r w:rsidRPr="00137207">
        <w:t>Competency must be demonstrate</w:t>
      </w:r>
      <w:r w:rsidRPr="00137207">
        <w:t>d in the ability to perform consistently at the required standard. In particular, assessors should look to see that the candidate:</w:t>
      </w:r>
    </w:p>
    <w:p w:rsidR="00000000" w:rsidRPr="00137207" w:rsidP="00137207">
      <w:pPr>
        <w:pStyle w:val="BodyText"/>
      </w:pPr>
      <w:r w:rsidRPr="00137207">
        <w:t>closely follows procedures when performing a variety of measurements at a range of sites</w:t>
      </w:r>
    </w:p>
    <w:p w:rsidR="00000000" w:rsidRPr="00137207" w:rsidP="00137207">
      <w:pPr>
        <w:pStyle w:val="BodyText"/>
      </w:pPr>
      <w:r w:rsidRPr="00137207">
        <w:t>performs measurements with minimal e</w:t>
      </w:r>
      <w:r w:rsidRPr="00137207">
        <w:t>nvironmental impact</w:t>
      </w:r>
    </w:p>
    <w:p w:rsidR="00000000" w:rsidRPr="00137207" w:rsidP="00137207">
      <w:pPr>
        <w:pStyle w:val="BodyText"/>
      </w:pPr>
      <w:r w:rsidRPr="00137207">
        <w:t>reads scales/displays accurately for a wide range of values</w:t>
      </w:r>
    </w:p>
    <w:p w:rsidR="00000000" w:rsidRPr="00137207" w:rsidP="00137207">
      <w:pPr>
        <w:pStyle w:val="BodyText"/>
      </w:pPr>
      <w:r w:rsidRPr="00137207">
        <w:t>records data legibly, free of errors and with appropriate accuracy, precision and units</w:t>
      </w:r>
    </w:p>
    <w:p w:rsidR="00000000" w:rsidRPr="00137207" w:rsidP="00137207">
      <w:pPr>
        <w:pStyle w:val="BodyText"/>
      </w:pPr>
      <w:r w:rsidRPr="00137207">
        <w:t>demonstrates enterprise and/or legal traceability requirements</w:t>
      </w:r>
    </w:p>
    <w:p w:rsidR="00000000" w:rsidRPr="00137207" w:rsidP="00137207">
      <w:pPr>
        <w:pStyle w:val="BodyText"/>
      </w:pPr>
      <w:r w:rsidRPr="00137207">
        <w:t>liaises with others to ac</w:t>
      </w:r>
      <w:r w:rsidRPr="00137207">
        <w:t>cess sites and perform measurements efficiently</w:t>
      </w:r>
    </w:p>
    <w:p w:rsidR="00000000" w:rsidRPr="00137207" w:rsidP="00137207">
      <w:pPr>
        <w:pStyle w:val="BodyText"/>
      </w:pPr>
      <w:r w:rsidRPr="00137207">
        <w:t>recognises limitations and seeks timely advice.</w:t>
      </w:r>
    </w:p>
    <w:p w:rsidR="00000000" w:rsidRPr="00137207" w:rsidP="00137207">
      <w:pPr>
        <w:pStyle w:val="BodyText"/>
      </w:pPr>
      <w:r w:rsidRPr="00137207">
        <w:rPr>
          <w:rStyle w:val="SpecialBold"/>
        </w:rPr>
        <w:t>Underpinning knowledge</w:t>
      </w:r>
    </w:p>
    <w:p w:rsidR="00000000" w:rsidRPr="00137207" w:rsidP="00137207">
      <w:pPr>
        <w:pStyle w:val="BodyText"/>
      </w:pPr>
      <w:r w:rsidRPr="00137207">
        <w:t>Competency includes the ability to apply and explain:</w:t>
      </w:r>
    </w:p>
    <w:p w:rsidR="00000000" w:rsidRPr="00137207" w:rsidP="00137207">
      <w:pPr>
        <w:pStyle w:val="BodyText"/>
      </w:pPr>
      <w:r w:rsidRPr="00137207">
        <w:t>key terminology and concepts, such as: analogue, digital, accuracy, precision, traceability, uncertainty and chain of custody</w:t>
      </w:r>
    </w:p>
    <w:p w:rsidR="00000000" w:rsidRPr="00137207" w:rsidP="00137207">
      <w:pPr>
        <w:pStyle w:val="BodyText"/>
      </w:pPr>
      <w:r w:rsidRPr="00137207">
        <w:t xml:space="preserve">purpose of the measurements </w:t>
      </w:r>
    </w:p>
    <w:p w:rsidR="00000000" w:rsidRPr="00137207" w:rsidP="00137207">
      <w:pPr>
        <w:pStyle w:val="BodyText"/>
      </w:pPr>
      <w:r w:rsidRPr="00137207">
        <w:t>the function of key equipment/materials and principles of operation</w:t>
      </w:r>
    </w:p>
    <w:p w:rsidR="00000000" w:rsidRPr="00137207" w:rsidP="00137207">
      <w:pPr>
        <w:pStyle w:val="BodyText"/>
      </w:pPr>
      <w:r w:rsidRPr="00137207">
        <w:t>hazards, risks and enterprise saf</w:t>
      </w:r>
      <w:r w:rsidRPr="00137207">
        <w:t>ety procedures associated with routine measurements undertaken</w:t>
      </w:r>
    </w:p>
    <w:p w:rsidR="00000000" w:rsidRPr="00137207" w:rsidP="00137207">
      <w:pPr>
        <w:pStyle w:val="BodyText"/>
      </w:pPr>
      <w:r w:rsidRPr="00137207">
        <w:t>enterprise procedures dealing with:</w:t>
      </w:r>
    </w:p>
    <w:p w:rsidR="00000000" w:rsidRPr="00137207" w:rsidP="00137207">
      <w:pPr>
        <w:pStyle w:val="BodyText"/>
      </w:pPr>
      <w:r w:rsidRPr="00137207">
        <w:t>measurements</w:t>
      </w:r>
    </w:p>
    <w:p w:rsidR="00000000" w:rsidRPr="00137207" w:rsidP="00137207">
      <w:pPr>
        <w:pStyle w:val="BodyText"/>
      </w:pPr>
      <w:r w:rsidRPr="00137207">
        <w:t>waste management, clean-up, spillage</w:t>
      </w:r>
    </w:p>
    <w:p w:rsidR="00000000" w:rsidRPr="00137207" w:rsidP="00137207">
      <w:pPr>
        <w:pStyle w:val="BodyText"/>
      </w:pPr>
      <w:r w:rsidRPr="00137207">
        <w:t>handling, transport and storage of dangerous goods</w:t>
      </w:r>
    </w:p>
    <w:p w:rsidR="00000000" w:rsidRPr="00137207" w:rsidP="00137207">
      <w:pPr>
        <w:pStyle w:val="BodyText"/>
      </w:pPr>
      <w:r w:rsidRPr="00137207">
        <w:t>relevant health, safety and environmental requirements.</w:t>
      </w:r>
    </w:p>
    <w:p w:rsidR="00000000" w:rsidRPr="00137207" w:rsidP="00137207">
      <w:pPr>
        <w:pStyle w:val="BodyText"/>
      </w:pPr>
      <w:r w:rsidRPr="00137207">
        <w:rPr>
          <w:rStyle w:val="SpecialBold"/>
        </w:rPr>
        <w:t>Assessment context and methods</w:t>
      </w:r>
    </w:p>
    <w:p w:rsidR="00000000" w:rsidRPr="00137207" w:rsidP="00137207">
      <w:pPr>
        <w:pStyle w:val="BodyText"/>
      </w:pPr>
      <w:r w:rsidRPr="00137207">
        <w:t xml:space="preserve">This unit of competency is to be assessed in the workplace or simulated workplace environment. </w:t>
      </w:r>
    </w:p>
    <w:p w:rsidR="00000000" w:rsidRPr="00137207" w:rsidP="00137207">
      <w:pPr>
        <w:pStyle w:val="BodyText"/>
      </w:pPr>
      <w:r w:rsidRPr="00137207">
        <w:t>The following assessment methods are suggested:</w:t>
      </w:r>
    </w:p>
    <w:p w:rsidR="00000000" w:rsidRPr="00137207" w:rsidP="00137207">
      <w:pPr>
        <w:pStyle w:val="BodyText"/>
      </w:pPr>
      <w:r w:rsidRPr="00137207">
        <w:t>review of the quality of data and documentation provided by candidates</w:t>
      </w:r>
    </w:p>
    <w:p w:rsidR="00000000" w:rsidRPr="00137207" w:rsidP="00137207">
      <w:pPr>
        <w:pStyle w:val="BodyText"/>
      </w:pPr>
      <w:r w:rsidRPr="00137207">
        <w:t>observatio</w:t>
      </w:r>
      <w:r w:rsidRPr="00137207">
        <w:t xml:space="preserve">n of the candidate performing a range of measurements </w:t>
      </w:r>
    </w:p>
    <w:p w:rsidR="00000000" w:rsidRPr="00137207" w:rsidP="00137207">
      <w:pPr>
        <w:pStyle w:val="BodyText"/>
      </w:pPr>
      <w:r w:rsidRPr="00137207">
        <w:t>feedback from supervisors and clients that relevant procedures were followed</w:t>
      </w:r>
    </w:p>
    <w:p w:rsidR="00000000" w:rsidRPr="00137207" w:rsidP="00137207">
      <w:pPr>
        <w:pStyle w:val="BodyText"/>
      </w:pPr>
      <w:r w:rsidRPr="00137207">
        <w:t>oral/written questioning about measurement procedures.</w:t>
      </w:r>
    </w:p>
    <w:p w:rsidR="00000000" w:rsidRPr="00137207" w:rsidP="00137207">
      <w:pPr>
        <w:pStyle w:val="BodyText"/>
      </w:pPr>
      <w:r w:rsidRPr="00137207">
        <w:t>In all cases, practical assessment should be supported by questions t</w:t>
      </w:r>
      <w:r w:rsidRPr="00137207">
        <w:t>o assess underpinning knowledge and those aspects of competency which are difficult to assess directly. Questioning techniques should suit the language and literacy levels of the candidate.</w:t>
      </w:r>
    </w:p>
    <w:p w:rsidR="00000000" w:rsidRPr="00137207" w:rsidP="00137207">
      <w:pPr>
        <w:pStyle w:val="BodyText"/>
      </w:pPr>
      <w:r w:rsidRPr="00137207">
        <w:rPr>
          <w:rStyle w:val="SpecialBold"/>
        </w:rPr>
        <w:t>Interdependent assessment of unit</w:t>
      </w:r>
    </w:p>
    <w:p w:rsidR="00000000" w:rsidRPr="00137207" w:rsidP="00137207">
      <w:pPr>
        <w:pStyle w:val="BodyText"/>
      </w:pPr>
      <w:r w:rsidRPr="00137207">
        <w:t>This unit of competency may be a</w:t>
      </w:r>
      <w:r w:rsidRPr="00137207">
        <w:t>ssessed with:</w:t>
      </w:r>
    </w:p>
    <w:p w:rsidR="00000000" w:rsidRPr="00137207" w:rsidP="00137207">
      <w:pPr>
        <w:pStyle w:val="BodyText"/>
      </w:pPr>
      <w:r w:rsidRPr="00137207">
        <w:rPr>
          <w:rStyle w:val="SpecialBold"/>
        </w:rPr>
        <w:t>PMLSAMP200A Collect routine site samples</w:t>
      </w:r>
      <w:r w:rsidRPr="00137207">
        <w:t>.</w:t>
      </w:r>
    </w:p>
    <w:p w:rsidR="00000000" w:rsidRPr="00137207" w:rsidP="00137207">
      <w:pPr>
        <w:pStyle w:val="BodyText"/>
      </w:pPr>
      <w:r w:rsidRPr="00137207">
        <w:rPr>
          <w:rStyle w:val="SpecialBold"/>
        </w:rPr>
        <w:t>Resource implications</w:t>
      </w:r>
    </w:p>
    <w:p w:rsidR="00000000" w:rsidRPr="00137207" w:rsidP="00137207">
      <w:pPr>
        <w:pStyle w:val="BodyText"/>
      </w:pPr>
      <w:r w:rsidRPr="00137207">
        <w:t>Resources may include:</w:t>
      </w:r>
    </w:p>
    <w:p w:rsidR="00000000" w:rsidRPr="00137207" w:rsidP="00137207">
      <w:pPr>
        <w:pStyle w:val="BodyText"/>
      </w:pPr>
      <w:r w:rsidRPr="00137207">
        <w:t>access to a variety of sites</w:t>
      </w:r>
    </w:p>
    <w:p w:rsidR="00000000" w:rsidRPr="00137207" w:rsidP="00137207">
      <w:pPr>
        <w:pStyle w:val="BodyText"/>
      </w:pPr>
      <w:r w:rsidRPr="00137207">
        <w:t>measurement and safety procedures</w:t>
      </w:r>
    </w:p>
    <w:p w:rsidR="00000000" w:rsidRPr="00137207" w:rsidP="00137207">
      <w:pPr>
        <w:pStyle w:val="BodyText"/>
      </w:pPr>
      <w:r w:rsidRPr="00137207">
        <w:t>a selection of measuring equipment and documentation.</w:t>
      </w:r>
    </w:p>
    <w:p w:rsidR="00000000" w:rsidRPr="00137207" w:rsidP="00137207">
      <w:pPr>
        <w:pStyle w:val="BodyText"/>
      </w:pPr>
      <w:r w:rsidRPr="00137207">
        <w:rPr>
          <w:rStyle w:val="SpecialBold"/>
        </w:rPr>
        <w:t>This competency in practice</w:t>
      </w:r>
    </w:p>
    <w:p w:rsidR="00000000" w:rsidRPr="00137207" w:rsidP="00137207">
      <w:pPr>
        <w:pStyle w:val="BodyText"/>
      </w:pPr>
      <w:r w:rsidRPr="00137207">
        <w:rPr>
          <w:rStyle w:val="SpecialBold"/>
        </w:rPr>
        <w:t>Manufacturing and construction materials</w:t>
      </w:r>
    </w:p>
    <w:p w:rsidR="00000000" w:rsidRPr="00137207" w:rsidP="00137207">
      <w:pPr>
        <w:pStyle w:val="BodyText"/>
      </w:pPr>
      <w:r w:rsidRPr="00137207">
        <w:t>A laboratory assistant is required to conduct daily routine site measurements around the plant. Each day they contact the engineering department to arrange for an engineer to accompany them to operate all mechanical</w:t>
      </w:r>
      <w:r w:rsidRPr="00137207">
        <w:t xml:space="preserve"> systems (for example, valves, pitcovers) associated with collection of samples and/or site measurements. The laboratory assistant locates the required safety equipment, ensures that all measurement equipment is operational and pre-calibrated and dons appr</w:t>
      </w:r>
      <w:r w:rsidRPr="00137207">
        <w:t>opriate personal protective equipment. They record site measurements directly in the plant monitoring log book along with any comments concerning plant operating conditions. Upon returning to the laboratory they enter this information into the Laboratory I</w:t>
      </w:r>
      <w:r w:rsidRPr="00137207">
        <w:t>nformation Management System (LIMS). The laboratory assistant then cleans and stores all equipment used in the routine site measurements.</w:t>
      </w:r>
    </w:p>
    <w:p w:rsidR="00000000" w:rsidRPr="00137207" w:rsidP="00137207">
      <w:pPr>
        <w:pStyle w:val="BodyText"/>
      </w:pPr>
      <w:r w:rsidRPr="00137207">
        <w:rPr>
          <w:rStyle w:val="SpecialBold"/>
        </w:rPr>
        <w:t>Environmental</w:t>
      </w:r>
    </w:p>
    <w:p w:rsidR="00000000" w:rsidRPr="00137207" w:rsidP="00137207">
      <w:pPr>
        <w:pStyle w:val="BodyText"/>
      </w:pPr>
      <w:r w:rsidRPr="00137207">
        <w:t xml:space="preserve">A field assistant is part of a team examining the rehabilitation of a mine site. They help to construct </w:t>
      </w:r>
      <w:r w:rsidRPr="00137207">
        <w:t>a grid map of the study area. The assistant is given identification photo cards for six species of plant and asked to count the number of each species in part of the grid, taking care to minimise environmental impact. They then record the data on a map usi</w:t>
      </w:r>
      <w:r w:rsidRPr="00137207">
        <w:t>ng a predetermined key.</w:t>
      </w:r>
    </w:p>
    <w:p w:rsidR="00000000" w:rsidRPr="00137207" w:rsidP="00137207">
      <w:pPr>
        <w:pStyle w:val="BodyText"/>
      </w:pPr>
      <w:r w:rsidRPr="00137207">
        <w:rPr>
          <w:rStyle w:val="SpecialBold"/>
        </w:rPr>
        <w:t>Key Competencies</w:t>
      </w:r>
    </w:p>
    <w:p w:rsidR="00000000" w:rsidRPr="00137207" w:rsidP="00137207">
      <w:pPr>
        <w:pStyle w:val="BodyText"/>
      </w:pPr>
      <w:r w:rsidRPr="00137207">
        <w:t>The seven key competencies represent generic skills considered for effective work participation. The bracketed numbering against each of the key competencies indicates the performance level required in this unit. Th</w:t>
      </w:r>
      <w:r w:rsidRPr="00137207">
        <w:t>ese are stand-alone levels and do not correspond to levels in the Australian Qualifications Framework (AQF).</w:t>
      </w:r>
    </w:p>
    <w:p w:rsidR="00000000" w:rsidRPr="00137207" w:rsidP="00137207">
      <w:pPr>
        <w:pStyle w:val="BodyText"/>
      </w:pPr>
      <w:r w:rsidRPr="00137207">
        <w:t>Level (1) represents the competence to undertake tasks effectively</w:t>
      </w:r>
    </w:p>
    <w:p w:rsidR="00000000" w:rsidRPr="00137207" w:rsidP="00137207">
      <w:pPr>
        <w:pStyle w:val="BodyText"/>
      </w:pPr>
      <w:r w:rsidRPr="00137207">
        <w:t>Level (2) represents the competence to manage tasks</w:t>
      </w:r>
    </w:p>
    <w:p w:rsidR="00000000" w:rsidRPr="00137207" w:rsidP="00137207">
      <w:pPr>
        <w:pStyle w:val="BodyText"/>
      </w:pPr>
      <w:r w:rsidRPr="00137207">
        <w:t>Level (3) represents the com</w:t>
      </w:r>
      <w:r w:rsidRPr="00137207">
        <w:t>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1C14DB">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 xml:space="preserve">Collecting,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S</w:t>
            </w:r>
            <w:r w:rsidRPr="00137207">
              <w:t>olving problems</w:t>
            </w:r>
          </w:p>
        </w:tc>
        <w:tc>
          <w:tcPr>
            <w:tcW w:w="1285"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 xml:space="preserve">Using technology </w:t>
            </w:r>
          </w:p>
        </w:tc>
      </w:tr>
      <w:tr w:rsidTr="001C14DB">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 xml:space="preserve">Level 1 </w:t>
            </w:r>
          </w:p>
        </w:tc>
        <w:tc>
          <w:tcPr>
            <w:tcW w:w="1285"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 xml:space="preserve">Level 1 </w:t>
            </w:r>
          </w:p>
        </w:tc>
        <w:tc>
          <w:tcPr>
            <w:tcW w:w="1285"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 xml:space="preserve">Level 1 </w:t>
            </w:r>
          </w:p>
        </w:tc>
        <w:tc>
          <w:tcPr>
            <w:tcW w:w="1285"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 xml:space="preserve">Level 1 </w:t>
            </w:r>
          </w:p>
        </w:tc>
        <w:tc>
          <w:tcPr>
            <w:tcW w:w="1285"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 xml:space="preserve">Level 1 </w:t>
            </w:r>
          </w:p>
        </w:tc>
        <w:tc>
          <w:tcPr>
            <w:tcW w:w="1285" w:type="dxa"/>
            <w:tcBorders>
              <w:top w:val="nil"/>
              <w:left w:val="nil"/>
              <w:bottom w:val="nil"/>
              <w:right w:val="nil"/>
            </w:tcBorders>
            <w:tcMar>
              <w:top w:w="0" w:type="dxa"/>
              <w:left w:w="62" w:type="dxa"/>
              <w:bottom w:w="0" w:type="dxa"/>
              <w:right w:w="62" w:type="dxa"/>
            </w:tcMar>
          </w:tcPr>
          <w:p w:rsidR="00000000" w:rsidP="00137207">
            <w:pPr>
              <w:pStyle w:val="BodyText"/>
              <w:rPr>
                <w:lang w:val="en-NZ"/>
              </w:rPr>
            </w:pPr>
            <w:r w:rsidRPr="00137207">
              <w:t xml:space="preserve">Level 1 </w:t>
            </w:r>
          </w:p>
        </w:tc>
        <w:tc>
          <w:tcPr>
            <w:tcW w:w="1285" w:type="dxa"/>
            <w:tcBorders>
              <w:top w:val="nil"/>
              <w:left w:val="nil"/>
              <w:bottom w:val="nil"/>
              <w:right w:val="nil"/>
            </w:tcBorders>
            <w:tcMar>
              <w:top w:w="0" w:type="dxa"/>
              <w:left w:w="62" w:type="dxa"/>
              <w:bottom w:w="0" w:type="dxa"/>
              <w:right w:w="62" w:type="dxa"/>
            </w:tcMar>
          </w:tcPr>
          <w:p w:rsidR="00000000" w:rsidRPr="00137207" w:rsidP="00137207">
            <w:pPr>
              <w:pStyle w:val="BodyText"/>
            </w:pPr>
            <w:r w:rsidRPr="00137207">
              <w:t xml:space="preserve">Level 1 </w:t>
            </w:r>
          </w:p>
        </w:tc>
      </w:tr>
    </w:tbl>
    <w:p w:rsidR="00000000" w:rsidRPr="00137207" w:rsidP="00137207">
      <w:pPr>
        <w:pStyle w:val="BodyText"/>
      </w:pPr>
    </w:p>
    <w:p w:rsidR="00000000" w:rsidRPr="00137207" w:rsidP="00137207">
      <w:pPr>
        <w:pStyle w:val="AllowPageBreak"/>
      </w:pPr>
    </w:p>
    <w:p w:rsidR="00000000" w:rsidRPr="00137207" w:rsidP="00137207">
      <w:pPr>
        <w:pStyle w:val="Heading1"/>
      </w:pPr>
      <w:bookmarkStart w:id="11" w:name="O_312154"/>
      <w:bookmarkEnd w:id="11"/>
      <w:r w:rsidRPr="00137207">
        <w:t>Range Statement</w:t>
      </w:r>
    </w:p>
    <w:p w:rsidR="00000000" w:rsidRPr="00137207" w:rsidP="00137207">
      <w:pPr>
        <w:pStyle w:val="BodyText"/>
      </w:pPr>
      <w:r w:rsidRPr="00137207">
        <w:t xml:space="preserve">The range of variables relates to the unit of competency as a whole. It allows for different work environments and situations that will affect performance. </w:t>
      </w:r>
    </w:p>
    <w:p w:rsidR="00000000" w:rsidRPr="00137207" w:rsidP="00137207">
      <w:pPr>
        <w:pStyle w:val="BodyText"/>
      </w:pPr>
      <w:r w:rsidRPr="00137207">
        <w:t>Where reference is made to industry Codes of Practice, and/or Australian/international standards, i</w:t>
      </w:r>
      <w:r w:rsidRPr="00137207">
        <w:t xml:space="preserve">t is expected the latest version will be used. </w:t>
      </w:r>
    </w:p>
    <w:p w:rsidR="00000000" w:rsidRPr="00137207" w:rsidP="00137207">
      <w:pPr>
        <w:pStyle w:val="BodyText"/>
      </w:pPr>
      <w:r w:rsidRPr="00137207">
        <w:t>Personnel usually have access to information, such as:</w:t>
      </w:r>
    </w:p>
    <w:p w:rsidR="00000000" w:rsidRPr="00137207" w:rsidP="00137207">
      <w:pPr>
        <w:pStyle w:val="BodyText"/>
      </w:pPr>
      <w:r w:rsidRPr="00137207">
        <w:t>enterprise procedures for specific client measurements at particular sites</w:t>
      </w:r>
    </w:p>
    <w:p w:rsidR="00000000" w:rsidRPr="00137207" w:rsidP="00137207">
      <w:pPr>
        <w:pStyle w:val="BodyText"/>
      </w:pPr>
      <w:r w:rsidRPr="00137207">
        <w:t>maps and site plans</w:t>
      </w:r>
    </w:p>
    <w:p w:rsidR="00000000" w:rsidRPr="00137207" w:rsidP="00137207">
      <w:pPr>
        <w:pStyle w:val="BodyText"/>
      </w:pPr>
      <w:r w:rsidRPr="00137207">
        <w:t>material safety data sheets (MSDS) and safety procedures</w:t>
      </w:r>
    </w:p>
    <w:p w:rsidR="00000000" w:rsidRPr="00137207" w:rsidP="00137207">
      <w:pPr>
        <w:pStyle w:val="BodyText"/>
      </w:pPr>
      <w:r w:rsidRPr="00137207">
        <w:t>e</w:t>
      </w:r>
      <w:r w:rsidRPr="00137207">
        <w:t>nterprise recording and reporting procedures.</w:t>
      </w:r>
    </w:p>
    <w:p w:rsidR="00000000" w:rsidRPr="00137207" w:rsidP="00137207">
      <w:pPr>
        <w:pStyle w:val="BodyText"/>
      </w:pPr>
      <w:r w:rsidRPr="00137207">
        <w:t>Hazards may include:</w:t>
      </w:r>
    </w:p>
    <w:p w:rsidR="00000000" w:rsidRPr="00137207" w:rsidP="00137207">
      <w:pPr>
        <w:pStyle w:val="BodyText"/>
      </w:pPr>
      <w:r w:rsidRPr="00137207">
        <w:t>solar radiation, dust and noise</w:t>
      </w:r>
    </w:p>
    <w:p w:rsidR="00000000" w:rsidRPr="00137207" w:rsidP="00137207">
      <w:pPr>
        <w:pStyle w:val="BodyText"/>
      </w:pPr>
      <w:r w:rsidRPr="00137207">
        <w:t>wildlife, such as snakes, spiders, domestic animals</w:t>
      </w:r>
    </w:p>
    <w:p w:rsidR="00000000" w:rsidRPr="00137207" w:rsidP="00137207">
      <w:pPr>
        <w:pStyle w:val="BodyText"/>
      </w:pPr>
      <w:r w:rsidRPr="00137207">
        <w:t>biohazards, such as micro-organisms and agents associated with soil, air, water</w:t>
      </w:r>
    </w:p>
    <w:p w:rsidR="00000000" w:rsidRPr="00137207" w:rsidP="00137207">
      <w:pPr>
        <w:pStyle w:val="BodyText"/>
      </w:pPr>
      <w:r w:rsidRPr="00137207">
        <w:t xml:space="preserve">chemicals, such as acids </w:t>
      </w:r>
      <w:r w:rsidRPr="00137207">
        <w:t>and hydrocarbons</w:t>
      </w:r>
    </w:p>
    <w:p w:rsidR="00000000" w:rsidRPr="00137207" w:rsidP="00137207">
      <w:pPr>
        <w:pStyle w:val="BodyText"/>
      </w:pPr>
      <w:r w:rsidRPr="00137207">
        <w:t>manual/handling of heavy equipment or materials</w:t>
      </w:r>
    </w:p>
    <w:p w:rsidR="00000000" w:rsidRPr="00137207" w:rsidP="00137207">
      <w:pPr>
        <w:pStyle w:val="BodyText"/>
      </w:pPr>
      <w:r w:rsidRPr="00137207">
        <w:t>crushing, entanglement, cuts associated with moving machinery</w:t>
      </w:r>
    </w:p>
    <w:p w:rsidR="00000000" w:rsidRPr="00137207" w:rsidP="00137207">
      <w:pPr>
        <w:pStyle w:val="BodyText"/>
      </w:pPr>
      <w:r w:rsidRPr="00137207">
        <w:t>falling objects, uneven surfaces, heights, slopes, wet surfaces, trenches, confined spaces</w:t>
      </w:r>
    </w:p>
    <w:p w:rsidR="00000000" w:rsidRPr="00137207" w:rsidP="00137207">
      <w:pPr>
        <w:pStyle w:val="BodyText"/>
      </w:pPr>
      <w:r w:rsidRPr="00137207">
        <w:t>vehicle handling in rough terrain, boat handling in rough or flowing water</w:t>
      </w:r>
    </w:p>
    <w:p w:rsidR="00000000" w:rsidRPr="00137207" w:rsidP="00137207">
      <w:pPr>
        <w:pStyle w:val="BodyText"/>
      </w:pPr>
      <w:r w:rsidRPr="00137207">
        <w:t>vehicular or pedestrian traffic</w:t>
      </w:r>
    </w:p>
    <w:p w:rsidR="00000000" w:rsidRPr="00137207" w:rsidP="00137207">
      <w:pPr>
        <w:pStyle w:val="BodyText"/>
      </w:pPr>
      <w:r w:rsidRPr="00137207">
        <w:t>Safety practices may include:</w:t>
      </w:r>
    </w:p>
    <w:p w:rsidR="00000000" w:rsidRPr="00137207" w:rsidP="00137207">
      <w:pPr>
        <w:pStyle w:val="BodyText"/>
      </w:pPr>
      <w:r w:rsidRPr="00137207">
        <w:t>use of material safety data sheets (MSDSs)</w:t>
      </w:r>
    </w:p>
    <w:p w:rsidR="00000000" w:rsidRPr="00137207" w:rsidP="00137207">
      <w:pPr>
        <w:pStyle w:val="BodyText"/>
      </w:pPr>
      <w:r w:rsidRPr="00137207">
        <w:t>use personal protective equipment, such as hard hats, hearing protection, gl</w:t>
      </w:r>
      <w:r w:rsidRPr="00137207">
        <w:t>oves, safety glasses, goggles, face-guards, coveralls, gown, body suits, respirators, safety boots</w:t>
      </w:r>
    </w:p>
    <w:p w:rsidR="00000000" w:rsidRPr="00137207" w:rsidP="00137207">
      <w:pPr>
        <w:pStyle w:val="BodyText"/>
      </w:pPr>
      <w:r w:rsidRPr="00137207">
        <w:t>correct labelling of hazardous materials</w:t>
      </w:r>
    </w:p>
    <w:p w:rsidR="00000000" w:rsidRPr="00137207" w:rsidP="00137207">
      <w:pPr>
        <w:pStyle w:val="BodyText"/>
      </w:pPr>
      <w:r w:rsidRPr="00137207">
        <w:t xml:space="preserve">handling and storing hazardous material and equipment in accordance with labels, MSDS, manufacturer's instructions, </w:t>
      </w:r>
      <w:r w:rsidRPr="00137207">
        <w:t>enterprise procedures and regulations</w:t>
      </w:r>
    </w:p>
    <w:p w:rsidR="00000000" w:rsidRPr="00137207" w:rsidP="00137207">
      <w:pPr>
        <w:pStyle w:val="BodyText"/>
      </w:pPr>
      <w:r w:rsidRPr="00137207">
        <w:t>regular cleaning and/or decontaminating of equipment</w:t>
      </w:r>
    </w:p>
    <w:p w:rsidR="00000000" w:rsidRPr="00137207" w:rsidP="00137207">
      <w:pPr>
        <w:pStyle w:val="BodyText"/>
      </w:pPr>
      <w:r w:rsidRPr="00137207">
        <w:t>machinery guards</w:t>
      </w:r>
    </w:p>
    <w:p w:rsidR="00000000" w:rsidRPr="00137207" w:rsidP="00137207">
      <w:pPr>
        <w:pStyle w:val="BodyText"/>
      </w:pPr>
      <w:r w:rsidRPr="00137207">
        <w:t>signage, barriers, service isolation tags, traffic control, flashing lights</w:t>
      </w:r>
    </w:p>
    <w:p w:rsidR="00000000" w:rsidRPr="00137207" w:rsidP="00137207">
      <w:pPr>
        <w:pStyle w:val="BodyText"/>
      </w:pPr>
      <w:r w:rsidRPr="00137207">
        <w:t>lockout and tagout procedures</w:t>
      </w:r>
    </w:p>
    <w:p w:rsidR="00000000" w:rsidRPr="00137207" w:rsidP="00137207">
      <w:pPr>
        <w:pStyle w:val="BodyText"/>
      </w:pPr>
      <w:r w:rsidRPr="00137207">
        <w:t>Measurements could include the use of inst</w:t>
      </w:r>
      <w:r w:rsidRPr="00137207">
        <w:t>ruments and/or kits to test:</w:t>
      </w:r>
    </w:p>
    <w:p w:rsidR="00000000" w:rsidRPr="00137207" w:rsidP="00137207">
      <w:pPr>
        <w:pStyle w:val="BodyText"/>
      </w:pPr>
      <w:r w:rsidRPr="00137207">
        <w:t>pH, specific ions, such as iron in water using dipsticks</w:t>
      </w:r>
    </w:p>
    <w:p w:rsidR="00000000" w:rsidRPr="00137207" w:rsidP="00137207">
      <w:pPr>
        <w:pStyle w:val="BodyText"/>
      </w:pPr>
      <w:r w:rsidRPr="00137207">
        <w:t>dissolved oxygen (DO)</w:t>
      </w:r>
    </w:p>
    <w:p w:rsidR="00000000" w:rsidRPr="00137207" w:rsidP="00137207">
      <w:pPr>
        <w:pStyle w:val="BodyText"/>
      </w:pPr>
      <w:r w:rsidRPr="00137207">
        <w:t>electrical conductivity (EC)</w:t>
      </w:r>
    </w:p>
    <w:p w:rsidR="00000000" w:rsidRPr="00137207" w:rsidP="00137207">
      <w:pPr>
        <w:pStyle w:val="BodyText"/>
      </w:pPr>
      <w:r w:rsidRPr="00137207">
        <w:t>Other measurements could include:</w:t>
      </w:r>
    </w:p>
    <w:p w:rsidR="00000000" w:rsidRPr="00137207" w:rsidP="00137207">
      <w:pPr>
        <w:pStyle w:val="BodyText"/>
      </w:pPr>
      <w:r w:rsidRPr="00137207">
        <w:t>sound (for example, dB level, dBA)</w:t>
      </w:r>
    </w:p>
    <w:p w:rsidR="00000000" w:rsidRPr="00137207" w:rsidP="00137207">
      <w:pPr>
        <w:pStyle w:val="BodyText"/>
      </w:pPr>
      <w:r w:rsidRPr="00137207">
        <w:t>light levels, illumination</w:t>
      </w:r>
    </w:p>
    <w:p w:rsidR="00000000" w:rsidRPr="00137207" w:rsidP="00137207">
      <w:pPr>
        <w:pStyle w:val="BodyText"/>
      </w:pPr>
      <w:r w:rsidRPr="00137207">
        <w:t>basic production/proces</w:t>
      </w:r>
      <w:r w:rsidRPr="00137207">
        <w:t>s parameters (for example, flow, temperature, pressure, mass, depth)</w:t>
      </w:r>
    </w:p>
    <w:p w:rsidR="00000000" w:rsidRPr="00137207" w:rsidP="00137207">
      <w:pPr>
        <w:pStyle w:val="BodyText"/>
      </w:pPr>
      <w:r w:rsidRPr="00137207">
        <w:t xml:space="preserve">simple surveys (for example, number of trees in quadrant) </w:t>
      </w:r>
    </w:p>
    <w:p w:rsidR="00000000" w:rsidRPr="00137207" w:rsidP="00137207">
      <w:pPr>
        <w:pStyle w:val="BodyText"/>
      </w:pPr>
      <w:r w:rsidRPr="00137207">
        <w:t>background radiation (for example, Geiger counter)</w:t>
      </w:r>
    </w:p>
    <w:p w:rsidR="00000000" w:rsidRPr="00137207" w:rsidP="00137207">
      <w:pPr>
        <w:pStyle w:val="BodyText"/>
      </w:pPr>
      <w:r w:rsidRPr="00137207">
        <w:t>dimensions</w:t>
      </w:r>
    </w:p>
    <w:p w:rsidR="00000000" w:rsidRPr="00137207" w:rsidP="00137207">
      <w:pPr>
        <w:pStyle w:val="BodyText"/>
      </w:pPr>
      <w:r w:rsidRPr="00137207">
        <w:t>meteorological measurements (for example, temperature, rainfall, w</w:t>
      </w:r>
      <w:r w:rsidRPr="00137207">
        <w:t xml:space="preserve">ind) </w:t>
      </w:r>
    </w:p>
    <w:p w:rsidR="00000000" w:rsidRPr="00137207" w:rsidP="00137207">
      <w:pPr>
        <w:pStyle w:val="BodyText"/>
      </w:pPr>
      <w:r w:rsidRPr="00137207">
        <w:t>Common measuring equipment could include:</w:t>
      </w:r>
    </w:p>
    <w:p w:rsidR="00000000" w:rsidRPr="00137207" w:rsidP="00137207">
      <w:pPr>
        <w:pStyle w:val="BodyText"/>
      </w:pPr>
      <w:r w:rsidRPr="00137207">
        <w:t>tape measure, rulers, micrometers calipers, water level indicators</w:t>
      </w:r>
    </w:p>
    <w:p w:rsidR="00000000" w:rsidRPr="00137207" w:rsidP="00137207">
      <w:pPr>
        <w:pStyle w:val="BodyText"/>
      </w:pPr>
      <w:r w:rsidRPr="00137207">
        <w:t>balances</w:t>
      </w:r>
    </w:p>
    <w:p w:rsidR="00000000" w:rsidRPr="00137207" w:rsidP="00137207">
      <w:pPr>
        <w:pStyle w:val="BodyText"/>
      </w:pPr>
      <w:r w:rsidRPr="00137207">
        <w:t>meter/probe systems (for example, dissolved oxygen (DO), electrical conductivity (EC) )</w:t>
      </w:r>
    </w:p>
    <w:p w:rsidR="00000000" w:rsidRPr="00137207" w:rsidP="00137207">
      <w:pPr>
        <w:pStyle w:val="BodyText"/>
      </w:pPr>
      <w:r w:rsidRPr="00137207">
        <w:t>analogue and digital meters (for example, vo</w:t>
      </w:r>
      <w:r w:rsidRPr="00137207">
        <w:t>ltage, current, resistance, pressure, temperature, barometers, anemometers, hygrometers)</w:t>
      </w:r>
    </w:p>
    <w:p w:rsidR="00000000" w:rsidRPr="00137207" w:rsidP="00137207">
      <w:pPr>
        <w:pStyle w:val="BodyText"/>
      </w:pPr>
      <w:r w:rsidRPr="00137207">
        <w:t>dipsticks or spot test kits</w:t>
      </w:r>
    </w:p>
    <w:p w:rsidR="00000000" w:rsidRPr="00137207" w:rsidP="00137207">
      <w:pPr>
        <w:pStyle w:val="BodyText"/>
      </w:pPr>
      <w:r w:rsidRPr="00137207">
        <w:t>clocks, timing devices.</w:t>
      </w:r>
    </w:p>
    <w:p w:rsidR="00000000" w:rsidRPr="00137207" w:rsidP="00137207">
      <w:pPr>
        <w:pStyle w:val="BodyText"/>
      </w:pPr>
      <w:r w:rsidRPr="00137207">
        <w:t>Services may include:</w:t>
      </w:r>
    </w:p>
    <w:p w:rsidR="00000000" w:rsidRPr="00137207" w:rsidP="00137207">
      <w:pPr>
        <w:pStyle w:val="BodyText"/>
      </w:pPr>
      <w:r w:rsidRPr="00137207">
        <w:t>water supply, gas, electricity</w:t>
      </w:r>
    </w:p>
    <w:p w:rsidR="00000000" w:rsidRPr="00137207" w:rsidP="00137207">
      <w:pPr>
        <w:pStyle w:val="BodyText"/>
      </w:pPr>
      <w:r w:rsidRPr="00137207">
        <w:t>telecommunications</w:t>
      </w:r>
    </w:p>
    <w:p w:rsidR="00000000" w:rsidRPr="00137207" w:rsidP="00137207">
      <w:pPr>
        <w:pStyle w:val="BodyText"/>
      </w:pPr>
      <w:r w:rsidRPr="00137207">
        <w:t>irrigation, stormwater, drainage, sewerage systems</w:t>
      </w:r>
    </w:p>
    <w:p w:rsidR="00000000" w:rsidRPr="00137207" w:rsidP="00137207">
      <w:pPr>
        <w:pStyle w:val="BodyText"/>
      </w:pPr>
      <w:r w:rsidRPr="00137207">
        <w:t>production plant.</w:t>
      </w:r>
    </w:p>
    <w:p w:rsidR="00000000" w:rsidRPr="00137207" w:rsidP="00137207">
      <w:pPr>
        <w:pStyle w:val="BodyText"/>
      </w:pPr>
      <w:r w:rsidRPr="00137207">
        <w:t>Appropriate corrective actions may include:</w:t>
      </w:r>
    </w:p>
    <w:p w:rsidR="00000000" w:rsidRPr="00137207" w:rsidP="00137207">
      <w:pPr>
        <w:pStyle w:val="BodyText"/>
      </w:pPr>
      <w:r w:rsidRPr="00137207">
        <w:t>logical check of equipment set-up</w:t>
      </w:r>
    </w:p>
    <w:p w:rsidR="00000000" w:rsidRPr="00137207" w:rsidP="00137207">
      <w:pPr>
        <w:pStyle w:val="BodyText"/>
      </w:pPr>
      <w:r w:rsidRPr="00137207">
        <w:t>check of calibration, zero error, drift for basic instruments</w:t>
      </w:r>
    </w:p>
    <w:p w:rsidR="00000000" w:rsidRPr="00137207" w:rsidP="00137207">
      <w:pPr>
        <w:pStyle w:val="BodyText"/>
      </w:pPr>
      <w:r w:rsidRPr="00137207">
        <w:t>careful re-reading of procedures</w:t>
      </w:r>
    </w:p>
    <w:p w:rsidR="00000000" w:rsidRPr="00137207" w:rsidP="00137207">
      <w:pPr>
        <w:pStyle w:val="BodyText"/>
      </w:pPr>
      <w:r w:rsidRPr="00137207">
        <w:t>repeat measure</w:t>
      </w:r>
      <w:r w:rsidRPr="00137207">
        <w:t xml:space="preserve">ments </w:t>
      </w:r>
    </w:p>
    <w:p w:rsidR="00000000" w:rsidRPr="00137207" w:rsidP="00137207">
      <w:pPr>
        <w:pStyle w:val="BodyText"/>
      </w:pPr>
      <w:r w:rsidRPr="00137207">
        <w:t>seek advice.</w:t>
      </w:r>
    </w:p>
    <w:p w:rsidR="00000000" w:rsidRPr="00137207" w:rsidP="00137207">
      <w:pPr>
        <w:pStyle w:val="BodyText"/>
      </w:pPr>
      <w:r w:rsidRPr="00137207">
        <w:t>Minimising environmental impacts may involve:</w:t>
      </w:r>
    </w:p>
    <w:p w:rsidR="00000000" w:rsidRPr="00137207" w:rsidP="00137207">
      <w:pPr>
        <w:pStyle w:val="BodyText"/>
      </w:pPr>
      <w:r w:rsidRPr="00137207">
        <w:t>disposal of surplus, spent or purged materials</w:t>
      </w:r>
    </w:p>
    <w:p w:rsidR="00000000" w:rsidRPr="00137207" w:rsidP="00137207">
      <w:pPr>
        <w:pStyle w:val="BodyText"/>
      </w:pPr>
      <w:r w:rsidRPr="00137207">
        <w:t>recycling of wastes</w:t>
      </w:r>
    </w:p>
    <w:p w:rsidR="00000000" w:rsidRPr="00137207" w:rsidP="00137207">
      <w:pPr>
        <w:pStyle w:val="BodyText"/>
      </w:pPr>
      <w:r w:rsidRPr="00137207">
        <w:t>responsible driving to avoid damage to vegetation and fauna</w:t>
      </w:r>
    </w:p>
    <w:p w:rsidR="00000000" w:rsidRPr="00137207" w:rsidP="00137207">
      <w:pPr>
        <w:pStyle w:val="BodyText"/>
      </w:pPr>
      <w:r w:rsidRPr="00137207">
        <w:t>cleaning of vehicles to prevent transfer of pests and contamina</w:t>
      </w:r>
      <w:r w:rsidRPr="00137207">
        <w:t xml:space="preserve">nts. </w:t>
      </w:r>
    </w:p>
    <w:p w:rsidR="00000000" w:rsidRPr="00137207" w:rsidP="00137207">
      <w:pPr>
        <w:pStyle w:val="BodyText"/>
      </w:pPr>
      <w:r w:rsidRPr="00137207">
        <w:rPr>
          <w:rStyle w:val="SpecialBold"/>
        </w:rPr>
        <w:t>Health</w:t>
      </w:r>
      <w:r w:rsidRPr="00137207">
        <w:t xml:space="preserve">, </w:t>
      </w:r>
      <w:r w:rsidRPr="00137207">
        <w:rPr>
          <w:rStyle w:val="SpecialBold"/>
        </w:rPr>
        <w:t>safety and environment</w:t>
      </w:r>
    </w:p>
    <w:p w:rsidR="00000000" w:rsidRPr="00137207" w:rsidP="00137207">
      <w:pPr>
        <w:pStyle w:val="BodyText"/>
      </w:pPr>
      <w:r w:rsidRPr="00137207">
        <w:t>All operations to which this unit applies are subject to stringent health, safety and environmental (HSE) requirements, which may be imposed through State or Federal legislation, and these must not be compromised at any</w:t>
      </w:r>
      <w:r w:rsidRPr="00137207">
        <w:t xml:space="preserve"> time. Where there is an apparent conflict between performance criteria and HSE requirements, the HSE requirements take precedence.</w:t>
      </w:r>
    </w:p>
    <w:p w:rsidR="00000000" w:rsidRPr="00137207" w:rsidP="00137207">
      <w:pPr>
        <w:pStyle w:val="BodyText"/>
      </w:pPr>
      <w:r w:rsidRPr="00137207">
        <w:t>All operations assume the potentially hazardous nature of samples and require standard precautions to be applied. Users shou</w:t>
      </w:r>
      <w:r w:rsidRPr="00137207">
        <w:t>ld access and apply current industry understanding of infection control issued by the National Health and Medical Research Council and State and Territory Departments of Health. All operations are performed in accordance with standard operating procedures.</w:t>
      </w:r>
    </w:p>
    <w:p w:rsidR="00000000" w:rsidRPr="00137207" w:rsidP="00137207">
      <w:pPr>
        <w:pStyle w:val="AllowPageBreak"/>
      </w:pPr>
    </w:p>
    <w:p w:rsidR="00000000" w:rsidRPr="00137207" w:rsidP="00137207">
      <w:pPr>
        <w:pStyle w:val="Heading1"/>
      </w:pPr>
      <w:bookmarkStart w:id="12" w:name="O_312153"/>
      <w:bookmarkEnd w:id="12"/>
      <w:r w:rsidRPr="00137207">
        <w:t>Unit Sector(s)</w:t>
      </w:r>
    </w:p>
    <w:p w:rsidR="00000000" w:rsidRPr="00137207" w:rsidP="00137207"/>
    <w:sectPr w:rsidSect="001372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2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4DB" w:rsidP="001C1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2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4DB" w:rsidP="001372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14DB" w:rsidP="001372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14DB" w:rsidP="001372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2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4DB" w:rsidP="001C14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2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4DB" w:rsidP="00137207">
    <w:pPr>
      <w:pStyle w:val="Header"/>
      <w:framePr w:wrap="around"/>
    </w:pPr>
    <w:r>
      <w:fldChar w:fldCharType="begin"/>
    </w:r>
    <w:r>
      <w:instrText xml:space="preserve"> TITLE   \* MERGEFORMAT </w:instrText>
    </w:r>
    <w:r>
      <w:fldChar w:fldCharType="separate"/>
    </w:r>
    <w:r>
      <w:t>PMLTEST200A Conduct routine site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14DB" w:rsidP="001372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2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7207"/>
    <w:pPr>
      <w:spacing w:before="360" w:after="60"/>
      <w:outlineLvl w:val="0"/>
    </w:pPr>
    <w:rPr>
      <w:sz w:val="32"/>
    </w:rPr>
  </w:style>
  <w:style w:type="paragraph" w:styleId="Heading2">
    <w:name w:val="heading 2"/>
    <w:basedOn w:val="HeadingBase"/>
    <w:next w:val="BodyText"/>
    <w:link w:val="Heading2Char"/>
    <w:qFormat/>
    <w:rsid w:val="00137207"/>
    <w:pPr>
      <w:keepLines/>
      <w:spacing w:before="240" w:after="120"/>
      <w:outlineLvl w:val="1"/>
    </w:pPr>
    <w:rPr>
      <w:sz w:val="28"/>
      <w:szCs w:val="40"/>
    </w:rPr>
  </w:style>
  <w:style w:type="paragraph" w:styleId="Heading3">
    <w:name w:val="heading 3"/>
    <w:basedOn w:val="HeadingBase"/>
    <w:next w:val="BodyText"/>
    <w:link w:val="Heading3Char"/>
    <w:qFormat/>
    <w:rsid w:val="00137207"/>
    <w:pPr>
      <w:spacing w:before="180" w:after="120"/>
      <w:outlineLvl w:val="2"/>
    </w:pPr>
    <w:rPr>
      <w:spacing w:val="-10"/>
      <w:kern w:val="32"/>
    </w:rPr>
  </w:style>
  <w:style w:type="paragraph" w:styleId="Heading4">
    <w:name w:val="heading 4"/>
    <w:basedOn w:val="HeadingBase"/>
    <w:next w:val="BodyText"/>
    <w:link w:val="Heading4Char"/>
    <w:qFormat/>
    <w:rsid w:val="00137207"/>
    <w:pPr>
      <w:spacing w:before="160" w:after="120"/>
      <w:outlineLvl w:val="3"/>
    </w:pPr>
    <w:rPr>
      <w:sz w:val="22"/>
    </w:rPr>
  </w:style>
  <w:style w:type="paragraph" w:styleId="Heading5">
    <w:name w:val="heading 5"/>
    <w:basedOn w:val="HeadingBase"/>
    <w:next w:val="Normal"/>
    <w:link w:val="Heading5Char"/>
    <w:qFormat/>
    <w:rsid w:val="00137207"/>
    <w:pPr>
      <w:spacing w:before="80"/>
      <w:outlineLvl w:val="4"/>
    </w:pPr>
    <w:rPr>
      <w:color w:val="918585"/>
      <w:sz w:val="20"/>
    </w:rPr>
  </w:style>
  <w:style w:type="paragraph" w:styleId="Heading6">
    <w:name w:val="heading 6"/>
    <w:basedOn w:val="HeadingBase"/>
    <w:next w:val="Normal"/>
    <w:link w:val="Heading6Char"/>
    <w:qFormat/>
    <w:rsid w:val="00137207"/>
    <w:pPr>
      <w:spacing w:before="60"/>
      <w:outlineLvl w:val="5"/>
    </w:pPr>
    <w:rPr>
      <w:color w:val="918585"/>
      <w:sz w:val="20"/>
    </w:rPr>
  </w:style>
  <w:style w:type="paragraph" w:styleId="Heading7">
    <w:name w:val="heading 7"/>
    <w:basedOn w:val="Normal"/>
    <w:next w:val="Normal"/>
    <w:link w:val="Heading7Char"/>
    <w:qFormat/>
    <w:rsid w:val="00137207"/>
    <w:pPr>
      <w:ind w:left="720"/>
      <w:outlineLvl w:val="6"/>
    </w:pPr>
    <w:rPr>
      <w:i/>
    </w:rPr>
  </w:style>
  <w:style w:type="paragraph" w:styleId="Heading8">
    <w:name w:val="heading 8"/>
    <w:basedOn w:val="Normal"/>
    <w:next w:val="Normal"/>
    <w:link w:val="Heading8Char"/>
    <w:qFormat/>
    <w:rsid w:val="00137207"/>
    <w:pPr>
      <w:ind w:left="720"/>
      <w:outlineLvl w:val="7"/>
    </w:pPr>
    <w:rPr>
      <w:i/>
    </w:rPr>
  </w:style>
  <w:style w:type="paragraph" w:styleId="Heading9">
    <w:name w:val="heading 9"/>
    <w:basedOn w:val="Normal"/>
    <w:next w:val="Normal"/>
    <w:link w:val="Heading9Char"/>
    <w:qFormat/>
    <w:rsid w:val="00137207"/>
    <w:pPr>
      <w:ind w:left="720"/>
      <w:outlineLvl w:val="8"/>
    </w:pPr>
    <w:rPr>
      <w:i/>
    </w:rPr>
  </w:style>
  <w:style w:type="character" w:default="1" w:styleId="DefaultParagraphFont">
    <w:name w:val="Default Paragraph Font"/>
    <w:uiPriority w:val="1"/>
    <w:unhideWhenUsed/>
    <w:rsid w:val="001372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207"/>
  </w:style>
  <w:style w:type="character" w:customStyle="1" w:styleId="Heading1Char">
    <w:name w:val="Heading 1 Char"/>
    <w:basedOn w:val="DefaultParagraphFont"/>
    <w:link w:val="Heading1"/>
    <w:rsid w:val="00137207"/>
    <w:rPr>
      <w:rFonts w:ascii="Times New Roman" w:eastAsia="Times New Roman" w:hAnsi="Times New Roman" w:cs="Times New Roman"/>
      <w:b/>
      <w:sz w:val="32"/>
      <w:szCs w:val="20"/>
      <w:lang w:eastAsia="en-US"/>
    </w:rPr>
  </w:style>
  <w:style w:type="paragraph" w:styleId="BodyText">
    <w:name w:val="Body Text"/>
    <w:basedOn w:val="Normal"/>
    <w:link w:val="BodyTextChar"/>
    <w:rsid w:val="001372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7207"/>
    <w:rPr>
      <w:rFonts w:ascii="Times New Roman" w:eastAsia="Times New Roman" w:hAnsi="Times New Roman" w:cs="Times New Roman"/>
      <w:sz w:val="24"/>
      <w:lang w:val="en-US" w:eastAsia="en-US"/>
    </w:rPr>
  </w:style>
  <w:style w:type="paragraph" w:styleId="Footer">
    <w:name w:val="footer"/>
    <w:basedOn w:val="Normal"/>
    <w:link w:val="FooterChar"/>
    <w:rsid w:val="001372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20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37207"/>
    <w:rPr>
      <w:b/>
      <w:spacing w:val="0"/>
    </w:rPr>
  </w:style>
  <w:style w:type="paragraph" w:styleId="Header">
    <w:name w:val="header"/>
    <w:basedOn w:val="Normal"/>
    <w:link w:val="HeaderChar"/>
    <w:rsid w:val="001372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2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7207"/>
    <w:pPr>
      <w:spacing w:before="240" w:after="120"/>
      <w:outlineLvl w:val="0"/>
    </w:pPr>
    <w:rPr>
      <w:rFonts w:ascii="Times New Roman" w:hAnsi="Times New Roman"/>
      <w:b/>
      <w:sz w:val="28"/>
    </w:rPr>
  </w:style>
  <w:style w:type="paragraph" w:customStyle="1" w:styleId="AllowPageBreak">
    <w:name w:val="AllowPageBreak"/>
    <w:rsid w:val="001372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72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2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2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2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2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2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72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7207"/>
    <w:rPr>
      <w:rFonts w:ascii="Courier New" w:eastAsia="Times New Roman" w:hAnsi="Courier New" w:cs="Times New Roman"/>
      <w:i/>
      <w:szCs w:val="20"/>
      <w:lang w:val="en-US" w:eastAsia="en-US"/>
    </w:rPr>
  </w:style>
  <w:style w:type="paragraph" w:customStyle="1" w:styleId="HeadingBase">
    <w:name w:val="Heading Base"/>
    <w:rsid w:val="001372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207"/>
    <w:pPr>
      <w:tabs>
        <w:tab w:val="right" w:leader="dot" w:pos="9072"/>
      </w:tabs>
      <w:ind w:left="567"/>
    </w:pPr>
    <w:rPr>
      <w:szCs w:val="22"/>
    </w:rPr>
  </w:style>
  <w:style w:type="paragraph" w:customStyle="1" w:styleId="TOCBase">
    <w:name w:val="TOC Base"/>
    <w:rsid w:val="001372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207"/>
    <w:pPr>
      <w:tabs>
        <w:tab w:val="right" w:leader="dot" w:pos="9072"/>
      </w:tabs>
      <w:spacing w:before="40" w:after="40"/>
      <w:ind w:left="284"/>
    </w:pPr>
    <w:rPr>
      <w:rFonts w:ascii="Times New Roman" w:hAnsi="Times New Roman"/>
    </w:rPr>
  </w:style>
  <w:style w:type="paragraph" w:styleId="TOC1">
    <w:name w:val="toc 1"/>
    <w:basedOn w:val="TOCBase"/>
    <w:next w:val="Normal"/>
    <w:rsid w:val="001372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7207"/>
    <w:pPr>
      <w:spacing w:before="5040"/>
      <w:jc w:val="center"/>
    </w:pPr>
    <w:rPr>
      <w:sz w:val="48"/>
      <w:szCs w:val="72"/>
      <w:lang w:val="en-US"/>
    </w:rPr>
  </w:style>
  <w:style w:type="character" w:customStyle="1" w:styleId="TitleChar">
    <w:name w:val="Title Char"/>
    <w:basedOn w:val="DefaultParagraphFont"/>
    <w:link w:val="Title"/>
    <w:rsid w:val="001372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207"/>
    <w:pPr>
      <w:tabs>
        <w:tab w:val="left" w:pos="3600"/>
        <w:tab w:val="left" w:pos="3958"/>
      </w:tabs>
    </w:pPr>
  </w:style>
  <w:style w:type="paragraph" w:styleId="List">
    <w:name w:val="List"/>
    <w:basedOn w:val="BodyText"/>
    <w:next w:val="BodyText"/>
    <w:rsid w:val="00137207"/>
    <w:pPr>
      <w:tabs>
        <w:tab w:val="left" w:pos="340"/>
      </w:tabs>
      <w:spacing w:before="60" w:after="60"/>
      <w:ind w:left="340" w:hanging="340"/>
    </w:pPr>
  </w:style>
  <w:style w:type="paragraph" w:styleId="ListBullet">
    <w:name w:val="List Bullet"/>
    <w:basedOn w:val="List"/>
    <w:rsid w:val="00137207"/>
    <w:pPr>
      <w:numPr>
        <w:numId w:val="11"/>
      </w:numPr>
      <w:tabs>
        <w:tab w:val="clear" w:pos="340"/>
      </w:tabs>
      <w:spacing w:before="40" w:after="40"/>
    </w:pPr>
  </w:style>
  <w:style w:type="paragraph" w:customStyle="1" w:styleId="Note">
    <w:name w:val="Note"/>
    <w:basedOn w:val="BodyText"/>
    <w:rsid w:val="001372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207"/>
    <w:pPr>
      <w:framePr w:wrap="auto" w:hAnchor="text" w:y="6049"/>
    </w:pPr>
    <w:rPr>
      <w:color w:val="000000"/>
      <w:sz w:val="40"/>
    </w:rPr>
  </w:style>
  <w:style w:type="paragraph" w:customStyle="1" w:styleId="TOCTitle">
    <w:name w:val="TOCTitle"/>
    <w:basedOn w:val="Heading1"/>
    <w:rsid w:val="00137207"/>
    <w:pPr>
      <w:spacing w:after="240"/>
      <w:jc w:val="center"/>
      <w:outlineLvl w:val="9"/>
    </w:pPr>
    <w:rPr>
      <w:caps/>
    </w:rPr>
  </w:style>
  <w:style w:type="paragraph" w:customStyle="1" w:styleId="Version">
    <w:name w:val="Version"/>
    <w:rsid w:val="001372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7207"/>
    <w:pPr>
      <w:numPr>
        <w:numId w:val="12"/>
      </w:numPr>
      <w:tabs>
        <w:tab w:val="clear" w:pos="680"/>
      </w:tabs>
    </w:pPr>
  </w:style>
  <w:style w:type="paragraph" w:styleId="Index1">
    <w:name w:val="index 1"/>
    <w:basedOn w:val="Normal"/>
    <w:next w:val="Normal"/>
    <w:semiHidden/>
    <w:rsid w:val="00137207"/>
    <w:pPr>
      <w:keepNext w:val="0"/>
      <w:tabs>
        <w:tab w:val="right" w:pos="4176"/>
      </w:tabs>
      <w:ind w:left="198" w:hanging="198"/>
    </w:pPr>
    <w:rPr>
      <w:rFonts w:ascii="Garamond" w:hAnsi="Garamond"/>
    </w:rPr>
  </w:style>
  <w:style w:type="paragraph" w:styleId="IndexHeading">
    <w:name w:val="index heading"/>
    <w:basedOn w:val="Normal"/>
    <w:next w:val="Index1"/>
    <w:semiHidden/>
    <w:rsid w:val="00137207"/>
    <w:pPr>
      <w:spacing w:before="120" w:after="120"/>
    </w:pPr>
    <w:rPr>
      <w:rFonts w:ascii="Arial" w:hAnsi="Arial"/>
      <w:b/>
      <w:color w:val="918585"/>
      <w:sz w:val="24"/>
    </w:rPr>
  </w:style>
  <w:style w:type="paragraph" w:customStyle="1" w:styleId="Chapter">
    <w:name w:val="Chapter"/>
    <w:basedOn w:val="Normal"/>
    <w:rsid w:val="00137207"/>
    <w:pPr>
      <w:spacing w:before="240"/>
    </w:pPr>
    <w:rPr>
      <w:rFonts w:ascii="Times New Roman" w:hAnsi="Times New Roman"/>
      <w:smallCaps/>
      <w:spacing w:val="80"/>
      <w:sz w:val="28"/>
    </w:rPr>
  </w:style>
  <w:style w:type="paragraph" w:customStyle="1" w:styleId="InChapter">
    <w:name w:val="InChapter"/>
    <w:basedOn w:val="Heading3"/>
    <w:rsid w:val="00137207"/>
    <w:pPr>
      <w:spacing w:after="240"/>
      <w:outlineLvl w:val="9"/>
    </w:pPr>
    <w:rPr>
      <w:noProof/>
    </w:rPr>
  </w:style>
  <w:style w:type="paragraph" w:styleId="Index2">
    <w:name w:val="index 2"/>
    <w:basedOn w:val="Normal"/>
    <w:next w:val="Normal"/>
    <w:semiHidden/>
    <w:rsid w:val="00137207"/>
    <w:pPr>
      <w:tabs>
        <w:tab w:val="right" w:pos="4176"/>
      </w:tabs>
      <w:ind w:left="568" w:hanging="284"/>
    </w:pPr>
    <w:rPr>
      <w:rFonts w:ascii="Garamond" w:hAnsi="Garamond"/>
    </w:rPr>
  </w:style>
  <w:style w:type="paragraph" w:customStyle="1" w:styleId="Byline">
    <w:name w:val="Byline"/>
    <w:rsid w:val="001372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207"/>
    <w:pPr>
      <w:tabs>
        <w:tab w:val="clear" w:pos="3600"/>
        <w:tab w:val="clear" w:pos="3958"/>
      </w:tabs>
      <w:jc w:val="right"/>
    </w:pPr>
  </w:style>
  <w:style w:type="character" w:styleId="Emphasis">
    <w:name w:val="Emphasis"/>
    <w:basedOn w:val="DefaultParagraphFont"/>
    <w:qFormat/>
    <w:rsid w:val="00137207"/>
    <w:rPr>
      <w:i/>
    </w:rPr>
  </w:style>
  <w:style w:type="paragraph" w:styleId="Caption">
    <w:name w:val="caption"/>
    <w:basedOn w:val="BodyText"/>
    <w:next w:val="Normal"/>
    <w:qFormat/>
    <w:rsid w:val="00137207"/>
    <w:pPr>
      <w:framePr w:w="2268" w:hSpace="181" w:vSpace="181" w:wrap="around" w:vAnchor="text" w:hAnchor="page" w:x="1135" w:y="285" w:anchorLock="1"/>
    </w:pPr>
    <w:rPr>
      <w:i/>
    </w:rPr>
  </w:style>
  <w:style w:type="paragraph" w:customStyle="1" w:styleId="MiniTOCTitle">
    <w:name w:val="MiniTOCTitle"/>
    <w:basedOn w:val="Heading4"/>
    <w:rsid w:val="00137207"/>
    <w:pPr>
      <w:spacing w:before="240"/>
      <w:outlineLvl w:val="9"/>
    </w:pPr>
    <w:rPr>
      <w:noProof/>
      <w:sz w:val="24"/>
    </w:rPr>
  </w:style>
  <w:style w:type="paragraph" w:customStyle="1" w:styleId="MiniTOCItem">
    <w:name w:val="MiniTOCItem"/>
    <w:basedOn w:val="ListBullet"/>
    <w:rsid w:val="00137207"/>
    <w:pPr>
      <w:numPr>
        <w:numId w:val="0"/>
      </w:numPr>
      <w:tabs>
        <w:tab w:val="right" w:leader="dot" w:pos="6521"/>
      </w:tabs>
      <w:spacing w:before="0" w:after="0"/>
    </w:pPr>
  </w:style>
  <w:style w:type="paragraph" w:customStyle="1" w:styleId="TOFTitle">
    <w:name w:val="TOFTitle"/>
    <w:basedOn w:val="TOCTitle"/>
    <w:rsid w:val="00137207"/>
  </w:style>
  <w:style w:type="paragraph" w:styleId="TableofFigures">
    <w:name w:val="table of figures"/>
    <w:basedOn w:val="Normal"/>
    <w:next w:val="Normal"/>
    <w:semiHidden/>
    <w:rsid w:val="00137207"/>
    <w:pPr>
      <w:tabs>
        <w:tab w:val="right" w:leader="dot" w:pos="9072"/>
      </w:tabs>
      <w:ind w:left="970" w:hanging="403"/>
    </w:pPr>
    <w:rPr>
      <w:rFonts w:ascii="Times New Roman" w:hAnsi="Times New Roman"/>
      <w:b/>
    </w:rPr>
  </w:style>
  <w:style w:type="paragraph" w:styleId="ListNumber">
    <w:name w:val="List Number"/>
    <w:basedOn w:val="List"/>
    <w:rsid w:val="00137207"/>
    <w:pPr>
      <w:numPr>
        <w:numId w:val="9"/>
      </w:numPr>
    </w:pPr>
  </w:style>
  <w:style w:type="character" w:customStyle="1" w:styleId="WingdingSymbols">
    <w:name w:val="Wingding Symbols"/>
    <w:rsid w:val="00137207"/>
    <w:rPr>
      <w:rFonts w:ascii="Wingdings" w:hAnsi="Wingdings"/>
    </w:rPr>
  </w:style>
  <w:style w:type="paragraph" w:customStyle="1" w:styleId="TableHeading">
    <w:name w:val="Table Heading"/>
    <w:basedOn w:val="HeadingBase"/>
    <w:rsid w:val="00137207"/>
    <w:pPr>
      <w:keepLines/>
      <w:pBdr>
        <w:bottom w:val="single" w:sz="6" w:space="1" w:color="918585"/>
      </w:pBdr>
      <w:spacing w:before="240"/>
    </w:pPr>
  </w:style>
  <w:style w:type="character" w:customStyle="1" w:styleId="HotSpot">
    <w:name w:val="HotSpot"/>
    <w:rsid w:val="00137207"/>
    <w:rPr>
      <w:color w:val="0033CC"/>
      <w:u w:val="none"/>
    </w:rPr>
  </w:style>
  <w:style w:type="paragraph" w:customStyle="1" w:styleId="BodyTextRight">
    <w:name w:val="Body Text Right"/>
    <w:basedOn w:val="BodyText"/>
    <w:rsid w:val="00137207"/>
    <w:pPr>
      <w:spacing w:before="0" w:after="0"/>
      <w:jc w:val="right"/>
    </w:pPr>
  </w:style>
  <w:style w:type="paragraph" w:styleId="Index3">
    <w:name w:val="index 3"/>
    <w:basedOn w:val="ListNumber2"/>
    <w:next w:val="Normal"/>
    <w:semiHidden/>
    <w:rsid w:val="00137207"/>
    <w:pPr>
      <w:numPr>
        <w:numId w:val="0"/>
      </w:numPr>
      <w:tabs>
        <w:tab w:val="right" w:leader="dot" w:pos="4176"/>
      </w:tabs>
    </w:pPr>
  </w:style>
  <w:style w:type="paragraph" w:styleId="ListNumber2">
    <w:name w:val="List Number 2"/>
    <w:basedOn w:val="List2"/>
    <w:rsid w:val="00137207"/>
    <w:pPr>
      <w:numPr>
        <w:numId w:val="8"/>
      </w:numPr>
      <w:tabs>
        <w:tab w:val="clear" w:pos="1060"/>
      </w:tabs>
    </w:pPr>
  </w:style>
  <w:style w:type="paragraph" w:customStyle="1" w:styleId="MarginNote">
    <w:name w:val="Margin Note"/>
    <w:basedOn w:val="BodyText"/>
    <w:rsid w:val="001372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2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2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7207"/>
    <w:rPr>
      <w:sz w:val="32"/>
    </w:rPr>
  </w:style>
  <w:style w:type="paragraph" w:customStyle="1" w:styleId="HeadingProcedure">
    <w:name w:val="Heading Procedure"/>
    <w:basedOn w:val="HeadingBase"/>
    <w:next w:val="Normal"/>
    <w:rsid w:val="00137207"/>
    <w:pPr>
      <w:tabs>
        <w:tab w:val="left" w:pos="0"/>
      </w:tabs>
      <w:spacing w:before="120" w:after="60"/>
    </w:pPr>
    <w:rPr>
      <w:i/>
      <w:color w:val="918585"/>
      <w:sz w:val="22"/>
    </w:rPr>
  </w:style>
  <w:style w:type="paragraph" w:customStyle="1" w:styleId="TableBodyText">
    <w:name w:val="Table Body Text"/>
    <w:basedOn w:val="BodyText"/>
    <w:rsid w:val="00137207"/>
    <w:pPr>
      <w:spacing w:before="60" w:after="60"/>
    </w:pPr>
  </w:style>
  <w:style w:type="paragraph" w:styleId="ListContinue">
    <w:name w:val="List Continue"/>
    <w:basedOn w:val="List"/>
    <w:rsid w:val="00137207"/>
    <w:pPr>
      <w:ind w:firstLine="0"/>
    </w:pPr>
  </w:style>
  <w:style w:type="paragraph" w:customStyle="1" w:styleId="ListNote">
    <w:name w:val="List Note"/>
    <w:basedOn w:val="List"/>
    <w:rsid w:val="00137207"/>
    <w:pPr>
      <w:pBdr>
        <w:top w:val="single" w:sz="6" w:space="2" w:color="918585"/>
        <w:bottom w:val="single" w:sz="6" w:space="2" w:color="918585"/>
      </w:pBdr>
      <w:tabs>
        <w:tab w:val="left" w:pos="1021"/>
      </w:tabs>
      <w:ind w:firstLine="0"/>
    </w:pPr>
  </w:style>
  <w:style w:type="paragraph" w:customStyle="1" w:styleId="Warning">
    <w:name w:val="Warning"/>
    <w:basedOn w:val="BodyText"/>
    <w:rsid w:val="00137207"/>
    <w:pPr>
      <w:shd w:val="clear" w:color="auto" w:fill="D9D9D9"/>
      <w:tabs>
        <w:tab w:val="left" w:pos="992"/>
      </w:tabs>
      <w:ind w:left="119" w:right="119"/>
    </w:pPr>
    <w:rPr>
      <w:sz w:val="20"/>
    </w:rPr>
  </w:style>
  <w:style w:type="paragraph" w:customStyle="1" w:styleId="MarginIcons">
    <w:name w:val="Margin Icons"/>
    <w:basedOn w:val="BodyText"/>
    <w:rsid w:val="001372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207"/>
    <w:rPr>
      <w:rFonts w:ascii="Courier New" w:hAnsi="Courier New"/>
    </w:rPr>
  </w:style>
  <w:style w:type="paragraph" w:customStyle="1" w:styleId="NoteBullet">
    <w:name w:val="Note Bullet"/>
    <w:basedOn w:val="Note"/>
    <w:rsid w:val="00137207"/>
    <w:pPr>
      <w:tabs>
        <w:tab w:val="clear" w:pos="680"/>
      </w:tabs>
      <w:spacing w:before="60" w:after="60"/>
    </w:pPr>
  </w:style>
  <w:style w:type="paragraph" w:customStyle="1" w:styleId="SubHeading2">
    <w:name w:val="SubHeading2"/>
    <w:basedOn w:val="HeadingBase"/>
    <w:rsid w:val="00137207"/>
    <w:pPr>
      <w:spacing w:before="240" w:after="60"/>
    </w:pPr>
    <w:rPr>
      <w:sz w:val="20"/>
    </w:rPr>
  </w:style>
  <w:style w:type="paragraph" w:customStyle="1" w:styleId="SubHeading1">
    <w:name w:val="SubHeading1"/>
    <w:basedOn w:val="HeadingBase"/>
    <w:rsid w:val="00137207"/>
    <w:pPr>
      <w:spacing w:before="240" w:after="60"/>
    </w:pPr>
    <w:rPr>
      <w:color w:val="918585"/>
      <w:sz w:val="22"/>
    </w:rPr>
  </w:style>
  <w:style w:type="paragraph" w:customStyle="1" w:styleId="SideHeading">
    <w:name w:val="Side Heading"/>
    <w:basedOn w:val="HeadingBase"/>
    <w:rsid w:val="001372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207"/>
    <w:pPr>
      <w:numPr>
        <w:numId w:val="10"/>
      </w:numPr>
    </w:pPr>
  </w:style>
  <w:style w:type="paragraph" w:styleId="PlainText">
    <w:name w:val="Plain Text"/>
    <w:basedOn w:val="Normal"/>
    <w:link w:val="PlainTextChar"/>
    <w:rsid w:val="00137207"/>
    <w:rPr>
      <w:sz w:val="20"/>
    </w:rPr>
  </w:style>
  <w:style w:type="character" w:customStyle="1" w:styleId="PlainTextChar">
    <w:name w:val="Plain Text Char"/>
    <w:basedOn w:val="DefaultParagraphFont"/>
    <w:link w:val="PlainText"/>
    <w:rsid w:val="001372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7207"/>
    <w:rPr>
      <w:b/>
      <w:smallCaps/>
    </w:rPr>
  </w:style>
  <w:style w:type="paragraph" w:customStyle="1" w:styleId="TableListNumber">
    <w:name w:val="Table List Number"/>
    <w:basedOn w:val="ListNumber"/>
    <w:rsid w:val="00137207"/>
    <w:pPr>
      <w:numPr>
        <w:numId w:val="0"/>
      </w:numPr>
    </w:pPr>
  </w:style>
  <w:style w:type="paragraph" w:styleId="TOC4">
    <w:name w:val="toc 4"/>
    <w:basedOn w:val="TOCBase"/>
    <w:next w:val="Normal"/>
    <w:semiHidden/>
    <w:rsid w:val="00137207"/>
    <w:pPr>
      <w:tabs>
        <w:tab w:val="right" w:leader="dot" w:pos="9071"/>
      </w:tabs>
      <w:ind w:left="1701"/>
    </w:pPr>
  </w:style>
  <w:style w:type="paragraph" w:customStyle="1" w:styleId="ListAlpha">
    <w:name w:val="List Alpha"/>
    <w:basedOn w:val="List"/>
    <w:rsid w:val="00137207"/>
    <w:pPr>
      <w:numPr>
        <w:numId w:val="7"/>
      </w:numPr>
    </w:pPr>
  </w:style>
  <w:style w:type="paragraph" w:customStyle="1" w:styleId="ListAlpha2">
    <w:name w:val="List Alpha 2"/>
    <w:basedOn w:val="List2"/>
    <w:rsid w:val="00137207"/>
    <w:pPr>
      <w:numPr>
        <w:numId w:val="6"/>
      </w:numPr>
    </w:pPr>
  </w:style>
  <w:style w:type="paragraph" w:styleId="List2">
    <w:name w:val="List 2"/>
    <w:basedOn w:val="BodyText"/>
    <w:rsid w:val="00137207"/>
    <w:pPr>
      <w:tabs>
        <w:tab w:val="left" w:pos="680"/>
      </w:tabs>
      <w:spacing w:before="60" w:after="60"/>
      <w:ind w:left="680" w:hanging="340"/>
    </w:pPr>
  </w:style>
  <w:style w:type="paragraph" w:styleId="List3">
    <w:name w:val="List 3"/>
    <w:basedOn w:val="BodyText"/>
    <w:rsid w:val="00137207"/>
    <w:pPr>
      <w:tabs>
        <w:tab w:val="left" w:pos="1021"/>
      </w:tabs>
      <w:spacing w:before="60" w:after="60"/>
      <w:ind w:left="1020" w:hanging="340"/>
    </w:pPr>
  </w:style>
  <w:style w:type="paragraph" w:styleId="List4">
    <w:name w:val="List 4"/>
    <w:basedOn w:val="BodyText"/>
    <w:rsid w:val="00137207"/>
    <w:pPr>
      <w:tabs>
        <w:tab w:val="left" w:pos="1361"/>
      </w:tabs>
      <w:spacing w:before="60" w:after="60"/>
      <w:ind w:left="1361" w:hanging="340"/>
    </w:pPr>
  </w:style>
  <w:style w:type="paragraph" w:styleId="List5">
    <w:name w:val="List 5"/>
    <w:basedOn w:val="BodyText"/>
    <w:rsid w:val="00137207"/>
    <w:pPr>
      <w:tabs>
        <w:tab w:val="left" w:pos="1701"/>
      </w:tabs>
      <w:spacing w:before="60" w:after="60"/>
      <w:ind w:left="1701" w:hanging="340"/>
    </w:pPr>
  </w:style>
  <w:style w:type="paragraph" w:styleId="ListBullet3">
    <w:name w:val="List Bullet 3"/>
    <w:basedOn w:val="List3"/>
    <w:rsid w:val="00137207"/>
    <w:pPr>
      <w:numPr>
        <w:numId w:val="13"/>
      </w:numPr>
      <w:tabs>
        <w:tab w:val="clear" w:pos="1021"/>
      </w:tabs>
      <w:ind w:left="1037" w:hanging="357"/>
    </w:pPr>
  </w:style>
  <w:style w:type="paragraph" w:styleId="ListBullet4">
    <w:name w:val="List Bullet 4"/>
    <w:basedOn w:val="List4"/>
    <w:rsid w:val="00137207"/>
    <w:pPr>
      <w:numPr>
        <w:numId w:val="1"/>
      </w:numPr>
    </w:pPr>
  </w:style>
  <w:style w:type="paragraph" w:styleId="ListBullet5">
    <w:name w:val="List Bullet 5"/>
    <w:basedOn w:val="List5"/>
    <w:rsid w:val="00137207"/>
    <w:pPr>
      <w:numPr>
        <w:numId w:val="2"/>
      </w:numPr>
    </w:pPr>
  </w:style>
  <w:style w:type="paragraph" w:styleId="ListContinue2">
    <w:name w:val="List Continue 2"/>
    <w:basedOn w:val="List2"/>
    <w:rsid w:val="00137207"/>
    <w:pPr>
      <w:ind w:firstLine="0"/>
    </w:pPr>
  </w:style>
  <w:style w:type="paragraph" w:styleId="ListContinue3">
    <w:name w:val="List Continue 3"/>
    <w:basedOn w:val="List3"/>
    <w:rsid w:val="00137207"/>
    <w:pPr>
      <w:ind w:left="1021" w:firstLine="0"/>
    </w:pPr>
  </w:style>
  <w:style w:type="paragraph" w:styleId="ListContinue4">
    <w:name w:val="List Continue 4"/>
    <w:basedOn w:val="List4"/>
    <w:rsid w:val="00137207"/>
    <w:pPr>
      <w:ind w:firstLine="0"/>
    </w:pPr>
  </w:style>
  <w:style w:type="paragraph" w:styleId="ListContinue5">
    <w:name w:val="List Continue 5"/>
    <w:basedOn w:val="List5"/>
    <w:rsid w:val="00137207"/>
    <w:pPr>
      <w:ind w:firstLine="0"/>
    </w:pPr>
  </w:style>
  <w:style w:type="paragraph" w:styleId="ListNumber3">
    <w:name w:val="List Number 3"/>
    <w:basedOn w:val="List3"/>
    <w:rsid w:val="00137207"/>
    <w:pPr>
      <w:numPr>
        <w:numId w:val="3"/>
      </w:numPr>
    </w:pPr>
  </w:style>
  <w:style w:type="paragraph" w:styleId="ListNumber4">
    <w:name w:val="List Number 4"/>
    <w:basedOn w:val="List4"/>
    <w:rsid w:val="00137207"/>
    <w:pPr>
      <w:numPr>
        <w:numId w:val="4"/>
      </w:numPr>
    </w:pPr>
  </w:style>
  <w:style w:type="paragraph" w:styleId="ListNumber5">
    <w:name w:val="List Number 5"/>
    <w:basedOn w:val="List5"/>
    <w:rsid w:val="00137207"/>
    <w:pPr>
      <w:numPr>
        <w:numId w:val="5"/>
      </w:numPr>
    </w:pPr>
  </w:style>
  <w:style w:type="paragraph" w:styleId="BlockText">
    <w:name w:val="Block Text"/>
    <w:basedOn w:val="Normal"/>
    <w:rsid w:val="00137207"/>
    <w:pPr>
      <w:spacing w:after="120"/>
      <w:ind w:left="1440" w:right="1440"/>
    </w:pPr>
  </w:style>
  <w:style w:type="character" w:customStyle="1" w:styleId="Subscript">
    <w:name w:val="Subscript"/>
    <w:basedOn w:val="DefaultParagraphFont"/>
    <w:rsid w:val="00137207"/>
    <w:rPr>
      <w:sz w:val="16"/>
      <w:vertAlign w:val="subscript"/>
    </w:rPr>
  </w:style>
  <w:style w:type="character" w:customStyle="1" w:styleId="Superscript">
    <w:name w:val="Superscript"/>
    <w:basedOn w:val="DefaultParagraphFont"/>
    <w:rsid w:val="00137207"/>
    <w:rPr>
      <w:sz w:val="16"/>
      <w:vertAlign w:val="superscript"/>
    </w:rPr>
  </w:style>
  <w:style w:type="character" w:customStyle="1" w:styleId="Symbols">
    <w:name w:val="Symbols"/>
    <w:basedOn w:val="DefaultParagraphFont"/>
    <w:rsid w:val="00137207"/>
    <w:rPr>
      <w:rFonts w:ascii="Symbol" w:hAnsi="Symbol"/>
    </w:rPr>
  </w:style>
  <w:style w:type="character" w:customStyle="1" w:styleId="MenuOptions">
    <w:name w:val="Menu Options"/>
    <w:basedOn w:val="DefaultParagraphFont"/>
    <w:rsid w:val="00137207"/>
    <w:rPr>
      <w:rFonts w:ascii="Arial Narrow" w:hAnsi="Arial Narrow"/>
      <w:smallCaps/>
    </w:rPr>
  </w:style>
  <w:style w:type="character" w:customStyle="1" w:styleId="Buttons">
    <w:name w:val="Buttons"/>
    <w:basedOn w:val="DefaultParagraphFont"/>
    <w:rsid w:val="00137207"/>
    <w:rPr>
      <w:b/>
    </w:rPr>
  </w:style>
  <w:style w:type="character" w:customStyle="1" w:styleId="Underlined">
    <w:name w:val="Underlined"/>
    <w:basedOn w:val="DefaultParagraphFont"/>
    <w:rsid w:val="00137207"/>
    <w:rPr>
      <w:u w:val="single"/>
    </w:rPr>
  </w:style>
  <w:style w:type="paragraph" w:customStyle="1" w:styleId="TableBodyTextRight">
    <w:name w:val="Table Body Text Right"/>
    <w:basedOn w:val="TableBodyText"/>
    <w:rsid w:val="00137207"/>
    <w:pPr>
      <w:widowControl w:val="0"/>
      <w:autoSpaceDE w:val="0"/>
      <w:autoSpaceDN w:val="0"/>
      <w:adjustRightInd w:val="0"/>
      <w:jc w:val="right"/>
    </w:pPr>
    <w:rPr>
      <w:rFonts w:cs="Arial"/>
      <w:szCs w:val="18"/>
    </w:rPr>
  </w:style>
  <w:style w:type="paragraph" w:customStyle="1" w:styleId="CopyrightText">
    <w:name w:val="Copyright Text"/>
    <w:basedOn w:val="BodyText"/>
    <w:rsid w:val="00137207"/>
    <w:rPr>
      <w:sz w:val="18"/>
    </w:rPr>
  </w:style>
  <w:style w:type="paragraph" w:customStyle="1" w:styleId="BodySmallRight">
    <w:name w:val="Body Small Right"/>
    <w:basedOn w:val="BodyTextRight"/>
    <w:rsid w:val="00137207"/>
    <w:rPr>
      <w:sz w:val="18"/>
      <w:szCs w:val="18"/>
    </w:rPr>
  </w:style>
  <w:style w:type="paragraph" w:customStyle="1" w:styleId="MarginEdition">
    <w:name w:val="Margin Edition"/>
    <w:basedOn w:val="MarginNote"/>
    <w:rsid w:val="00137207"/>
    <w:pPr>
      <w:spacing w:before="0" w:after="0"/>
    </w:pPr>
    <w:rPr>
      <w:rFonts w:ascii="Times New Roman" w:hAnsi="Times New Roman"/>
      <w:color w:val="999999"/>
    </w:rPr>
  </w:style>
  <w:style w:type="paragraph" w:customStyle="1" w:styleId="Spacer">
    <w:name w:val="Spacer"/>
    <w:basedOn w:val="Normal"/>
    <w:rsid w:val="00137207"/>
    <w:rPr>
      <w:sz w:val="2"/>
      <w:szCs w:val="2"/>
    </w:rPr>
  </w:style>
  <w:style w:type="character" w:customStyle="1" w:styleId="Small">
    <w:name w:val="Small"/>
    <w:basedOn w:val="DefaultParagraphFont"/>
    <w:rsid w:val="00137207"/>
    <w:rPr>
      <w:sz w:val="16"/>
    </w:rPr>
  </w:style>
  <w:style w:type="paragraph" w:customStyle="1" w:styleId="WideTable">
    <w:name w:val="Wide Table"/>
    <w:basedOn w:val="Normal"/>
    <w:rsid w:val="00137207"/>
    <w:pPr>
      <w:ind w:left="-1418"/>
    </w:pPr>
    <w:rPr>
      <w:sz w:val="2"/>
      <w:szCs w:val="2"/>
    </w:rPr>
  </w:style>
  <w:style w:type="character" w:styleId="PageNumber">
    <w:name w:val="page number"/>
    <w:basedOn w:val="DefaultParagraphFont"/>
    <w:rsid w:val="00137207"/>
  </w:style>
  <w:style w:type="paragraph" w:styleId="Quote">
    <w:name w:val="Quote"/>
    <w:basedOn w:val="Heading1"/>
    <w:link w:val="QuoteChar"/>
    <w:qFormat/>
    <w:rsid w:val="00137207"/>
    <w:rPr>
      <w:b w:val="0"/>
      <w:sz w:val="72"/>
      <w:szCs w:val="72"/>
      <w:lang w:val="en-NZ"/>
    </w:rPr>
  </w:style>
  <w:style w:type="character" w:customStyle="1" w:styleId="QuoteChar">
    <w:name w:val="Quote Char"/>
    <w:basedOn w:val="DefaultParagraphFont"/>
    <w:link w:val="Quote"/>
    <w:rsid w:val="001372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207"/>
    <w:pPr>
      <w:pageBreakBefore/>
    </w:pPr>
  </w:style>
  <w:style w:type="paragraph" w:customStyle="1" w:styleId="Border">
    <w:name w:val="Border"/>
    <w:basedOn w:val="Normal"/>
    <w:qFormat/>
    <w:rsid w:val="001372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207"/>
    <w:rPr>
      <w:b/>
      <w:bCs/>
      <w:i/>
      <w:iCs/>
      <w:color w:val="auto"/>
    </w:rPr>
  </w:style>
  <w:style w:type="paragraph" w:styleId="IntenseQuote">
    <w:name w:val="Intense Quote"/>
    <w:basedOn w:val="Normal"/>
    <w:next w:val="Normal"/>
    <w:link w:val="IntenseQuoteChar"/>
    <w:uiPriority w:val="30"/>
    <w:qFormat/>
    <w:rsid w:val="001372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2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7207"/>
    <w:rPr>
      <w:smallCaps/>
      <w:color w:val="auto"/>
      <w:u w:val="single"/>
    </w:rPr>
  </w:style>
  <w:style w:type="character" w:styleId="IntenseReference">
    <w:name w:val="Intense Reference"/>
    <w:basedOn w:val="DefaultParagraphFont"/>
    <w:uiPriority w:val="32"/>
    <w:qFormat/>
    <w:rsid w:val="00137207"/>
    <w:rPr>
      <w:b/>
      <w:bCs/>
      <w:smallCaps/>
      <w:color w:val="auto"/>
      <w:spacing w:val="5"/>
      <w:u w:val="single"/>
    </w:rPr>
  </w:style>
  <w:style w:type="paragraph" w:customStyle="1" w:styleId="2ColumnHeading">
    <w:name w:val="2Column Heading"/>
    <w:basedOn w:val="BodyText"/>
    <w:qFormat/>
    <w:rsid w:val="00137207"/>
    <w:pPr>
      <w:spacing w:after="60"/>
      <w:ind w:left="-2268"/>
    </w:pPr>
    <w:rPr>
      <w:b/>
    </w:rPr>
  </w:style>
  <w:style w:type="paragraph" w:customStyle="1" w:styleId="Heading1TOC">
    <w:name w:val="Heading1 TOC"/>
    <w:basedOn w:val="Normal"/>
    <w:qFormat/>
    <w:rsid w:val="00137207"/>
    <w:pPr>
      <w:spacing w:before="240" w:after="120"/>
    </w:pPr>
    <w:rPr>
      <w:rFonts w:ascii="Times New Roman" w:hAnsi="Times New Roman"/>
      <w:b/>
      <w:sz w:val="32"/>
    </w:rPr>
  </w:style>
  <w:style w:type="paragraph" w:customStyle="1" w:styleId="Heading2TOC">
    <w:name w:val="Heading2 TOC"/>
    <w:basedOn w:val="Normal"/>
    <w:qFormat/>
    <w:rsid w:val="00137207"/>
    <w:pPr>
      <w:spacing w:before="240" w:after="60"/>
    </w:pPr>
    <w:rPr>
      <w:rFonts w:ascii="Times New Roman" w:hAnsi="Times New Roman"/>
      <w:b/>
      <w:sz w:val="28"/>
    </w:rPr>
  </w:style>
  <w:style w:type="character" w:customStyle="1" w:styleId="Underline">
    <w:name w:val="Underline"/>
    <w:basedOn w:val="DefaultParagraphFont"/>
    <w:qFormat/>
    <w:rsid w:val="00137207"/>
    <w:rPr>
      <w:u w:val="single"/>
    </w:rPr>
  </w:style>
  <w:style w:type="character" w:customStyle="1" w:styleId="BoldandItalics">
    <w:name w:val="Bold and Italics"/>
    <w:qFormat/>
    <w:rsid w:val="00137207"/>
    <w:rPr>
      <w:b/>
      <w:i/>
      <w:u w:val="none"/>
    </w:rPr>
  </w:style>
  <w:style w:type="paragraph" w:styleId="BalloonText">
    <w:name w:val="Balloon Text"/>
    <w:basedOn w:val="Normal"/>
    <w:link w:val="BalloonTextChar"/>
    <w:rsid w:val="00137207"/>
    <w:rPr>
      <w:rFonts w:ascii="Tahoma" w:hAnsi="Tahoma" w:cs="Tahoma"/>
      <w:sz w:val="16"/>
      <w:szCs w:val="16"/>
    </w:rPr>
  </w:style>
  <w:style w:type="character" w:customStyle="1" w:styleId="BalloonTextChar">
    <w:name w:val="Balloon Text Char"/>
    <w:basedOn w:val="DefaultParagraphFont"/>
    <w:link w:val="BalloonText"/>
    <w:rsid w:val="001372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72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72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1637</Words>
  <Characters>10274</Characters>
  <Application>Microsoft Office Word</Application>
  <DocSecurity>0</DocSecurity>
  <Lines>336</Lines>
  <Paragraphs>203</Paragraphs>
  <ScaleCrop>false</ScaleCrop>
  <Company>Author-it Software Corporation Ltd.</Company>
  <LinksUpToDate>false</LinksUpToDate>
  <CharactersWithSpaces>11729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PMLTEST200A Conduct routine site measurements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2012-05-26T08:09:00Z</dcterms:created>
  <dcterms:modified xsi:type="dcterms:W3CDTF">2012-05-26T08:09:00Z</dcterms:modified>
</cp:coreProperties>
</file>