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83386" w:rsidP="00D83386">
      <w:pPr>
        <w:pStyle w:val="Title"/>
      </w:pPr>
      <w:r>
        <w:fldChar w:fldCharType="begin"/>
      </w:r>
      <w:r>
        <w:instrText xml:space="preserve"> TITLE   \* MERGEFORMAT </w:instrText>
      </w:r>
      <w:r>
        <w:fldChar w:fldCharType="separate"/>
      </w:r>
      <w:r>
        <w:t>PMLSAMP302A Receive and prepare samples for testing</w:t>
      </w:r>
      <w:r>
        <w:fldChar w:fldCharType="end"/>
      </w:r>
    </w:p>
    <w:p w:rsidR="00D83386" w:rsidP="00D83386">
      <w:pPr>
        <w:pStyle w:val="Version"/>
        <w:sectPr w:rsidSect="001012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01289" w:rsidP="00101289">
      <w:pPr>
        <w:pStyle w:val="SuperHeading"/>
      </w:pPr>
      <w:r w:rsidRPr="00101289">
        <w:t>PMLSAMP302A Receive and prepare samples for testing</w:t>
      </w:r>
    </w:p>
    <w:p w:rsidR="00000000" w:rsidRPr="00101289" w:rsidP="00101289">
      <w:pPr>
        <w:pStyle w:val="Heading1"/>
      </w:pPr>
      <w:bookmarkStart w:id="1" w:name="O_312149"/>
      <w:bookmarkEnd w:id="1"/>
      <w:r w:rsidRPr="00101289">
        <w:t>Modification History</w:t>
      </w:r>
    </w:p>
    <w:p w:rsidR="00000000" w:rsidRPr="00101289" w:rsidP="00101289">
      <w:pPr>
        <w:pStyle w:val="Heading1"/>
      </w:pPr>
      <w:bookmarkStart w:id="2" w:name="O_312148"/>
      <w:bookmarkEnd w:id="2"/>
      <w:r w:rsidRPr="00101289">
        <w:t>Unit Descriptor</w:t>
      </w:r>
    </w:p>
    <w:p w:rsidR="00000000" w:rsidRPr="00101289" w:rsidP="00101289">
      <w:pPr>
        <w:pStyle w:val="BodyText"/>
      </w:pPr>
      <w:r w:rsidRPr="00101289">
        <w:t xml:space="preserve">This unit of competency covers the ability to log samples, check sample documentation, schedule and prepare a range of samples for </w:t>
      </w:r>
      <w:r w:rsidRPr="00101289">
        <w:t>testing. All operations are performed in accordance with standard operating procedures (SOPs). This unit does not include testing, tissue processing or similar techniques.</w:t>
      </w:r>
    </w:p>
    <w:p w:rsidR="00000000" w:rsidRPr="00101289" w:rsidP="00101289">
      <w:pPr>
        <w:pStyle w:val="BodyText"/>
      </w:pPr>
      <w:r w:rsidRPr="00101289">
        <w:t xml:space="preserve">This unit of competency is based on, and equivalent to, the unit </w:t>
      </w:r>
      <w:r w:rsidRPr="00101289">
        <w:rPr>
          <w:rStyle w:val="SpecialBold"/>
        </w:rPr>
        <w:t>PMLSAMP301A Receive</w:t>
      </w:r>
      <w:r w:rsidRPr="00101289">
        <w:rPr>
          <w:rStyle w:val="SpecialBold"/>
        </w:rPr>
        <w:t xml:space="preserve"> and prepare a range of samples for pathology testing </w:t>
      </w:r>
      <w:r w:rsidRPr="00101289">
        <w:t>in PML99.</w:t>
      </w:r>
    </w:p>
    <w:p w:rsidR="00000000" w:rsidRPr="00101289" w:rsidP="00101289">
      <w:pPr>
        <w:pStyle w:val="BodyText"/>
      </w:pPr>
      <w:r w:rsidRPr="00101289">
        <w:t>This unit of competency has no prerequisites.</w:t>
      </w:r>
    </w:p>
    <w:p w:rsidR="00000000" w:rsidRPr="00101289" w:rsidP="00101289">
      <w:pPr>
        <w:pStyle w:val="BodyText"/>
      </w:pPr>
      <w:r w:rsidRPr="00101289">
        <w:t>This unit of competency is applicable to field and laboratory assistants in all industry sectors who receive and prepare samples as part/all of th</w:t>
      </w:r>
      <w:r w:rsidRPr="00101289">
        <w:t>eir jobs in a sample reception area.</w:t>
      </w:r>
    </w:p>
    <w:p w:rsidR="00000000" w:rsidRPr="00101289" w:rsidP="00101289">
      <w:pPr>
        <w:pStyle w:val="BodyText"/>
      </w:pPr>
      <w:r w:rsidRPr="00101289">
        <w:t>Industry representatives have provided case studies to illustrate the practical application of this unit of competency and to show its relevance in a workplace setting. These are found at the end of this unit of compete</w:t>
      </w:r>
      <w:r w:rsidRPr="00101289">
        <w:t>ncy under the section This competency in practice.</w:t>
      </w:r>
    </w:p>
    <w:p w:rsidR="00000000" w:rsidRPr="00101289" w:rsidP="00101289">
      <w:pPr>
        <w:pStyle w:val="AllowPageBreak"/>
      </w:pPr>
    </w:p>
    <w:p w:rsidR="00000000" w:rsidRPr="00101289" w:rsidP="00101289">
      <w:pPr>
        <w:pStyle w:val="Heading1"/>
      </w:pPr>
      <w:bookmarkStart w:id="3" w:name="O_312147"/>
      <w:bookmarkEnd w:id="3"/>
      <w:r w:rsidRPr="00101289">
        <w:t>Application of the Unit</w:t>
      </w:r>
    </w:p>
    <w:p w:rsidR="00000000" w:rsidRPr="00101289" w:rsidP="00101289">
      <w:pPr>
        <w:pStyle w:val="Heading1"/>
      </w:pPr>
      <w:bookmarkStart w:id="4" w:name="O_312146"/>
      <w:bookmarkEnd w:id="4"/>
      <w:r w:rsidRPr="00101289">
        <w:t>Licensing/Regulatory Information</w:t>
      </w:r>
    </w:p>
    <w:p w:rsidR="00000000" w:rsidRPr="00101289" w:rsidP="00101289">
      <w:pPr>
        <w:pStyle w:val="Heading1"/>
      </w:pPr>
      <w:bookmarkStart w:id="5" w:name="O_312151"/>
      <w:bookmarkEnd w:id="5"/>
      <w:r w:rsidRPr="00101289">
        <w:t>Pre-Requisites</w:t>
      </w:r>
    </w:p>
    <w:p w:rsidR="00000000" w:rsidRPr="00101289" w:rsidP="00101289">
      <w:pPr>
        <w:pStyle w:val="Heading1"/>
      </w:pPr>
      <w:bookmarkStart w:id="6" w:name="O_312140"/>
      <w:bookmarkEnd w:id="6"/>
      <w:r w:rsidRPr="00101289">
        <w:t>Employability Skills Information</w:t>
      </w:r>
    </w:p>
    <w:p w:rsidR="00000000" w:rsidRPr="00101289" w:rsidP="00101289">
      <w:pPr>
        <w:pStyle w:val="Heading1"/>
      </w:pPr>
      <w:bookmarkStart w:id="7" w:name="O_312145"/>
      <w:bookmarkEnd w:id="7"/>
      <w:r w:rsidRPr="00101289">
        <w:t>Elements and Performance Criteria Pre-Content</w:t>
      </w:r>
    </w:p>
    <w:p w:rsidR="00000000" w:rsidRPr="00101289" w:rsidP="00101289">
      <w:pPr>
        <w:pStyle w:val="BodyText"/>
      </w:pPr>
      <w:r w:rsidRPr="00101289">
        <w:t>Elements describe the essential outcomes of a unit of competency.</w:t>
      </w:r>
    </w:p>
    <w:p w:rsidR="00000000" w:rsidRPr="00101289" w:rsidP="00101289">
      <w:pPr>
        <w:pStyle w:val="BodyText"/>
      </w:pPr>
      <w:r w:rsidRPr="00101289">
        <w:t>Performance Criteria describe the level of performance required to demonstrate achievement of the element.</w:t>
      </w:r>
    </w:p>
    <w:p w:rsidR="00000000" w:rsidRPr="00101289" w:rsidP="00101289">
      <w:pPr>
        <w:pStyle w:val="AllowPageBreak"/>
      </w:pPr>
    </w:p>
    <w:p w:rsidR="00000000" w:rsidRPr="00101289" w:rsidP="00101289">
      <w:pPr>
        <w:pStyle w:val="Heading1"/>
      </w:pPr>
      <w:bookmarkStart w:id="8" w:name="O_312150"/>
      <w:bookmarkEnd w:id="8"/>
      <w:r w:rsidRPr="00101289">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D8338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rPr>
                <w:rStyle w:val="SpecialBold"/>
              </w:rPr>
              <w:t>Elements and Performance Criteria</w:t>
            </w:r>
          </w:p>
        </w:tc>
      </w:tr>
      <w:tr w:rsidTr="00D8338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101289" w:rsidP="00101289">
            <w:pPr>
              <w:pStyle w:val="BodyText"/>
            </w:pPr>
            <w:r w:rsidRPr="00101289">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rPr>
                <w:rStyle w:val="SpecialBold"/>
              </w:rPr>
              <w:t>Performance Criteria</w:t>
            </w:r>
          </w:p>
        </w:tc>
      </w:tr>
      <w:tr w:rsidTr="00D833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1</w:t>
            </w:r>
          </w:p>
        </w:tc>
        <w:tc>
          <w:tcPr>
            <w:tcW w:w="3000" w:type="dxa"/>
            <w:vMerge w:val="restart"/>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Log samples</w:t>
            </w: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1.1</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Record date (and time of arrival if required) of samples at enterprise</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1.2</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Check and match samples with request forms before they are accepted</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1.3</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Enter samples into the laboratory information management system (LIMS)</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1.4</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Apply required document tracking mechanisms</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1.5</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Process 'urgent' test requests according to enterprise requirements</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1.6</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Ensure security and traceability of all information, laboratory data and records</w:t>
            </w:r>
          </w:p>
        </w:tc>
      </w:tr>
      <w:tr w:rsidTr="00D833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2</w:t>
            </w:r>
          </w:p>
        </w:tc>
        <w:tc>
          <w:tcPr>
            <w:tcW w:w="3000" w:type="dxa"/>
            <w:vMerge w:val="restart"/>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Address customer service issues</w:t>
            </w: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2.1</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Report to referring client when samples and request forms do not comply with enterprise requirements</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2.2</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Refer to supervisor for instruction where 'return to source' is inappropriate or not possible</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2.3</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Maintain confidentiality of all client/enterpri</w:t>
            </w:r>
            <w:r w:rsidRPr="00101289">
              <w:t>se data and information</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2.4</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Ensure that information provided to customers is accurate, relevant and authorised for release</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2.5</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Deal with customers politely and efficiently and in accordance with enterprise procedures</w:t>
            </w:r>
          </w:p>
        </w:tc>
      </w:tr>
      <w:tr w:rsidTr="00D833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3</w:t>
            </w:r>
          </w:p>
        </w:tc>
        <w:tc>
          <w:tcPr>
            <w:tcW w:w="3000" w:type="dxa"/>
            <w:vMerge w:val="restart"/>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Prepare samples for testing</w:t>
            </w: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3.1</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Perform physical separation of the samples</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3.2</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Prepare the required number of sub-samples</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3.3</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Perform chemical separation of the samples as required</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3.4</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Place samples in appropriate transport media, if appropriate</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3.5</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Monitor and control sample conditions before, during and after processing</w:t>
            </w:r>
          </w:p>
        </w:tc>
      </w:tr>
      <w:tr w:rsidTr="00D833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4</w:t>
            </w:r>
          </w:p>
        </w:tc>
        <w:tc>
          <w:tcPr>
            <w:tcW w:w="3000" w:type="dxa"/>
            <w:vMerge w:val="restart"/>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Distribute samples</w:t>
            </w: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4.1</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Group samples requiring similar testing requirements</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4.2</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Distribute samples to work stations maintaining sample intergrity</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4.3</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Distribute request forms for data entry or filing in accordance with enterprise procedures</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4.4</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Check that samples and relevant request forms have been received by laboratory personnel</w:t>
            </w:r>
          </w:p>
        </w:tc>
      </w:tr>
      <w:tr w:rsidTr="00D8338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5</w:t>
            </w:r>
          </w:p>
        </w:tc>
        <w:tc>
          <w:tcPr>
            <w:tcW w:w="3000" w:type="dxa"/>
            <w:vMerge w:val="restart"/>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Maintain a safe work area and environment</w:t>
            </w: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5.1</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Apply safe work prac</w:t>
            </w:r>
            <w:r w:rsidRPr="00101289">
              <w:t>tices to ensure personal safety and that of other laboratory personnel</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5.2</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Use appropriate protective equipment to ensure personal safety when sampling, processing, transferring or disposing of samples</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5.3</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Report all accidents and spillages to supervisor</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5.4</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Clean up splashes and spillages immediately using appropriate techniques and precautions</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5.5</w:t>
            </w:r>
          </w:p>
        </w:tc>
        <w:tc>
          <w:tcPr>
            <w:tcW w:w="51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Minimise the generation of wastes and environmental impacts</w:t>
            </w:r>
          </w:p>
        </w:tc>
      </w:tr>
      <w:tr w:rsidTr="00D8338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5.6</w:t>
            </w:r>
          </w:p>
        </w:tc>
        <w:tc>
          <w:tcPr>
            <w:tcW w:w="5100" w:type="dxa"/>
            <w:tcBorders>
              <w:top w:val="nil"/>
              <w:left w:val="nil"/>
              <w:bottom w:val="nil"/>
              <w:right w:val="nil"/>
            </w:tcBorders>
            <w:tcMar>
              <w:top w:w="0" w:type="dxa"/>
              <w:left w:w="62" w:type="dxa"/>
              <w:bottom w:w="0" w:type="dxa"/>
              <w:right w:w="62" w:type="dxa"/>
            </w:tcMar>
          </w:tcPr>
          <w:p w:rsidR="00000000" w:rsidRPr="00101289" w:rsidP="00101289">
            <w:pPr>
              <w:pStyle w:val="BodyText"/>
            </w:pPr>
            <w:r w:rsidRPr="00101289">
              <w:t>Ensure the safe disposal of hazardous materials and other laboratory wastes.</w:t>
            </w:r>
          </w:p>
        </w:tc>
      </w:tr>
    </w:tbl>
    <w:p w:rsidR="00000000" w:rsidRPr="00101289" w:rsidP="00101289">
      <w:pPr>
        <w:pStyle w:val="BodyText"/>
      </w:pPr>
    </w:p>
    <w:p w:rsidR="00000000" w:rsidRPr="00101289" w:rsidP="00101289">
      <w:pPr>
        <w:pStyle w:val="AllowPageBreak"/>
      </w:pPr>
    </w:p>
    <w:p w:rsidR="00000000" w:rsidRPr="00101289" w:rsidP="00101289">
      <w:pPr>
        <w:pStyle w:val="Heading1"/>
      </w:pPr>
      <w:bookmarkStart w:id="9" w:name="O_312143"/>
      <w:bookmarkEnd w:id="9"/>
      <w:r w:rsidRPr="00101289">
        <w:t>Required Skills and Knowledge</w:t>
      </w:r>
    </w:p>
    <w:p w:rsidR="00000000" w:rsidRPr="00101289" w:rsidP="00101289">
      <w:pPr>
        <w:pStyle w:val="Heading1"/>
      </w:pPr>
      <w:bookmarkStart w:id="10" w:name="O_312142"/>
      <w:bookmarkEnd w:id="10"/>
      <w:r w:rsidRPr="00101289">
        <w:t>Evidence Guide</w:t>
      </w:r>
    </w:p>
    <w:p w:rsidR="00000000" w:rsidRPr="00101289" w:rsidP="00101289">
      <w:pPr>
        <w:pStyle w:val="BodyText"/>
      </w:pPr>
      <w:r w:rsidRPr="00101289">
        <w:t>The Evidence Guide describes the underpinning knowledge and skills that must be demonstrated to pro</w:t>
      </w:r>
      <w:r w:rsidRPr="00101289">
        <w:t>ve competence.</w:t>
      </w:r>
    </w:p>
    <w:p w:rsidR="00000000" w:rsidRPr="00101289" w:rsidP="00101289">
      <w:pPr>
        <w:pStyle w:val="BodyText"/>
      </w:pPr>
      <w:r w:rsidRPr="00101289">
        <w:rPr>
          <w:rStyle w:val="SpecialBold"/>
        </w:rPr>
        <w:t>Critical aspects of competency</w:t>
      </w:r>
    </w:p>
    <w:p w:rsidR="00000000" w:rsidRPr="00101289" w:rsidP="00101289">
      <w:pPr>
        <w:pStyle w:val="BodyText"/>
      </w:pPr>
      <w:r w:rsidRPr="00101289">
        <w:t>Competency must be demonstrated in the ability to perform consistently at the required standard. In particular, assessors should look to see that the candidate:</w:t>
      </w:r>
    </w:p>
    <w:p w:rsidR="00000000" w:rsidRPr="00101289" w:rsidP="00101289">
      <w:pPr>
        <w:pStyle w:val="BodyText"/>
      </w:pPr>
      <w:r w:rsidRPr="00101289">
        <w:t>receives and logs samples in accordance with ente</w:t>
      </w:r>
      <w:r w:rsidRPr="00101289">
        <w:t>rprise procedures</w:t>
      </w:r>
    </w:p>
    <w:p w:rsidR="00000000" w:rsidRPr="00101289" w:rsidP="00101289">
      <w:pPr>
        <w:pStyle w:val="BodyText"/>
      </w:pPr>
      <w:r w:rsidRPr="00101289">
        <w:t>checks samples for history and acceptable transport conditions</w:t>
      </w:r>
    </w:p>
    <w:p w:rsidR="00000000" w:rsidRPr="00101289" w:rsidP="00101289">
      <w:pPr>
        <w:pStyle w:val="BodyText"/>
      </w:pPr>
      <w:r w:rsidRPr="00101289">
        <w:t>applies standard precautions when dealing with hazardous materials</w:t>
      </w:r>
    </w:p>
    <w:p w:rsidR="00000000" w:rsidRPr="00101289" w:rsidP="00101289">
      <w:pPr>
        <w:pStyle w:val="BodyText"/>
      </w:pPr>
      <w:r w:rsidRPr="00101289">
        <w:t>applies knowledge of relationship(s) between specific sample preparation and associated tests</w:t>
      </w:r>
    </w:p>
    <w:p w:rsidR="00000000" w:rsidRPr="00101289" w:rsidP="00101289">
      <w:pPr>
        <w:pStyle w:val="BodyText"/>
      </w:pPr>
      <w:r w:rsidRPr="00101289">
        <w:t>promptly clarifies specific client requirements with appropriate personnel, as necessary</w:t>
      </w:r>
    </w:p>
    <w:p w:rsidR="00000000" w:rsidRPr="00101289" w:rsidP="00101289">
      <w:pPr>
        <w:pStyle w:val="BodyText"/>
      </w:pPr>
      <w:r w:rsidRPr="00101289">
        <w:t>performs sample preparation and sub-sampling in accordance with enterprise procedures</w:t>
      </w:r>
    </w:p>
    <w:p w:rsidR="00000000" w:rsidRPr="00101289" w:rsidP="00101289">
      <w:pPr>
        <w:pStyle w:val="BodyText"/>
      </w:pPr>
      <w:r w:rsidRPr="00101289">
        <w:t>labels and stores samples following enterprise procedures and maintains sample in</w:t>
      </w:r>
      <w:r w:rsidRPr="00101289">
        <w:t>tegrity, and traceability</w:t>
      </w:r>
    </w:p>
    <w:p w:rsidR="00000000" w:rsidRPr="00101289" w:rsidP="00101289">
      <w:pPr>
        <w:pStyle w:val="BodyText"/>
      </w:pPr>
      <w:r w:rsidRPr="00101289">
        <w:t>follows required sample disposal procedures</w:t>
      </w:r>
    </w:p>
    <w:p w:rsidR="00000000" w:rsidRPr="00101289" w:rsidP="00101289">
      <w:pPr>
        <w:pStyle w:val="BodyText"/>
      </w:pPr>
      <w:r w:rsidRPr="00101289">
        <w:t>maintains all equipment and workspace in accordance with enterprise procedures.</w:t>
      </w:r>
    </w:p>
    <w:p w:rsidR="00000000" w:rsidRPr="00101289" w:rsidP="00101289">
      <w:pPr>
        <w:pStyle w:val="BodyText"/>
      </w:pPr>
      <w:r w:rsidRPr="00101289">
        <w:rPr>
          <w:rStyle w:val="SpecialBold"/>
        </w:rPr>
        <w:t>Underpinning knowledge</w:t>
      </w:r>
    </w:p>
    <w:p w:rsidR="00000000" w:rsidRPr="00101289" w:rsidP="00101289">
      <w:pPr>
        <w:pStyle w:val="BodyText"/>
      </w:pPr>
      <w:r w:rsidRPr="00101289">
        <w:t>Competency includes the ability to apply and explain:</w:t>
      </w:r>
    </w:p>
    <w:p w:rsidR="00000000" w:rsidRPr="00101289" w:rsidP="00101289">
      <w:pPr>
        <w:pStyle w:val="BodyText"/>
      </w:pPr>
      <w:r w:rsidRPr="00101289">
        <w:t>enterprise procedures for the</w:t>
      </w:r>
      <w:r w:rsidRPr="00101289">
        <w:t xml:space="preserve"> receipt, documentation, distribution and storage of samples</w:t>
      </w:r>
    </w:p>
    <w:p w:rsidR="00000000" w:rsidRPr="00101289" w:rsidP="00101289">
      <w:pPr>
        <w:pStyle w:val="BodyText"/>
      </w:pPr>
      <w:r w:rsidRPr="00101289">
        <w:t>potentially hazardous and unstable nature of samples</w:t>
      </w:r>
    </w:p>
    <w:p w:rsidR="00000000" w:rsidRPr="00101289" w:rsidP="00101289">
      <w:pPr>
        <w:pStyle w:val="BodyText"/>
      </w:pPr>
      <w:r w:rsidRPr="00101289">
        <w:t>requirement of specified sample types for specific tests</w:t>
      </w:r>
    </w:p>
    <w:p w:rsidR="00000000" w:rsidRPr="00101289" w:rsidP="00101289">
      <w:pPr>
        <w:pStyle w:val="BodyText"/>
      </w:pPr>
      <w:r w:rsidRPr="00101289">
        <w:t>importance of accurate and complete labelling of samples</w:t>
      </w:r>
    </w:p>
    <w:p w:rsidR="00000000" w:rsidRPr="00101289" w:rsidP="00101289">
      <w:pPr>
        <w:pStyle w:val="BodyText"/>
      </w:pPr>
      <w:r w:rsidRPr="00101289">
        <w:t>importance of maintaining ef</w:t>
      </w:r>
      <w:r w:rsidRPr="00101289">
        <w:t>fective customer relations</w:t>
      </w:r>
    </w:p>
    <w:p w:rsidR="00000000" w:rsidRPr="00101289" w:rsidP="00101289">
      <w:pPr>
        <w:pStyle w:val="BodyText"/>
      </w:pPr>
      <w:r w:rsidRPr="00101289">
        <w:t>sample storage and transport requirements.</w:t>
      </w:r>
    </w:p>
    <w:p w:rsidR="00000000" w:rsidRPr="00101289" w:rsidP="00101289">
      <w:pPr>
        <w:pStyle w:val="BodyText"/>
      </w:pPr>
      <w:r w:rsidRPr="00101289">
        <w:t>relevant health, safety and environment requirements.</w:t>
      </w:r>
    </w:p>
    <w:p w:rsidR="00000000" w:rsidRPr="00101289" w:rsidP="00101289">
      <w:pPr>
        <w:pStyle w:val="BodyText"/>
      </w:pPr>
      <w:r w:rsidRPr="00101289">
        <w:rPr>
          <w:rStyle w:val="SpecialBold"/>
        </w:rPr>
        <w:t>Specific industry</w:t>
      </w:r>
    </w:p>
    <w:p w:rsidR="00000000" w:rsidRPr="00101289" w:rsidP="00101289">
      <w:pPr>
        <w:pStyle w:val="BodyText"/>
      </w:pPr>
      <w:r w:rsidRPr="00101289">
        <w:t>Additional knowledge requirements may apply for different industry sectors. For example, in biomedical laboratorie</w:t>
      </w:r>
      <w:r w:rsidRPr="00101289">
        <w:t>s:</w:t>
      </w:r>
    </w:p>
    <w:p w:rsidR="00000000" w:rsidRPr="00101289" w:rsidP="00101289">
      <w:pPr>
        <w:pStyle w:val="BodyText"/>
      </w:pPr>
      <w:r w:rsidRPr="00101289">
        <w:t>potentially infective nature of all biological materials</w:t>
      </w:r>
    </w:p>
    <w:p w:rsidR="00000000" w:rsidRPr="00101289" w:rsidP="00101289">
      <w:pPr>
        <w:pStyle w:val="BodyText"/>
      </w:pPr>
      <w:r w:rsidRPr="00101289">
        <w:t>nature of unstable solutions, such as anticoagulated whole blood</w:t>
      </w:r>
    </w:p>
    <w:p w:rsidR="00000000" w:rsidRPr="00101289" w:rsidP="00101289">
      <w:pPr>
        <w:pStyle w:val="BodyText"/>
      </w:pPr>
      <w:r w:rsidRPr="00101289">
        <w:t>non-conformance of clotted samples for procedures, such as routine haematological tests.</w:t>
      </w:r>
    </w:p>
    <w:p w:rsidR="00000000" w:rsidRPr="00101289" w:rsidP="00101289">
      <w:pPr>
        <w:pStyle w:val="BodyText"/>
      </w:pPr>
      <w:r w:rsidRPr="00101289">
        <w:rPr>
          <w:rStyle w:val="SpecialBold"/>
        </w:rPr>
        <w:t>Assessment context and methods</w:t>
      </w:r>
    </w:p>
    <w:p w:rsidR="00000000" w:rsidRPr="00101289" w:rsidP="00101289">
      <w:pPr>
        <w:pStyle w:val="BodyText"/>
      </w:pPr>
      <w:r w:rsidRPr="00101289">
        <w:t>This unit o</w:t>
      </w:r>
      <w:r w:rsidRPr="00101289">
        <w:t xml:space="preserve">f competency is to be assessed in the workplace or simulated workplace environment. </w:t>
      </w:r>
    </w:p>
    <w:p w:rsidR="00000000" w:rsidRPr="00101289" w:rsidP="00101289">
      <w:pPr>
        <w:pStyle w:val="BodyText"/>
      </w:pPr>
      <w:r w:rsidRPr="00101289">
        <w:t>The following assessment methods are suggested:</w:t>
      </w:r>
    </w:p>
    <w:p w:rsidR="00000000" w:rsidRPr="00101289" w:rsidP="00101289">
      <w:pPr>
        <w:pStyle w:val="BodyText"/>
      </w:pPr>
      <w:r w:rsidRPr="00101289">
        <w:t>review of sample receipt and preparation records prepared by the candidate</w:t>
      </w:r>
    </w:p>
    <w:p w:rsidR="00000000" w:rsidRPr="00101289" w:rsidP="00101289">
      <w:pPr>
        <w:pStyle w:val="BodyText"/>
      </w:pPr>
      <w:r w:rsidRPr="00101289">
        <w:t>feedback from supervisors and peers</w:t>
      </w:r>
    </w:p>
    <w:p w:rsidR="00000000" w:rsidRPr="00101289" w:rsidP="00101289">
      <w:pPr>
        <w:pStyle w:val="BodyText"/>
      </w:pPr>
      <w:r w:rsidRPr="00101289">
        <w:t>direct obser</w:t>
      </w:r>
      <w:r w:rsidRPr="00101289">
        <w:t>vation of sample receipt and preparation</w:t>
      </w:r>
    </w:p>
    <w:p w:rsidR="00000000" w:rsidRPr="00101289" w:rsidP="00101289">
      <w:pPr>
        <w:pStyle w:val="BodyText"/>
      </w:pPr>
      <w:r w:rsidRPr="00101289">
        <w:t>questioning to assess knowledge of procedures where direct observation is difficult (such as sample receipt and preparation in the field).</w:t>
      </w:r>
    </w:p>
    <w:p w:rsidR="00000000" w:rsidRPr="00101289" w:rsidP="00101289">
      <w:pPr>
        <w:pStyle w:val="BodyText"/>
      </w:pPr>
      <w:r w:rsidRPr="00101289">
        <w:t>In all cases, practical assessment should be supported by questions to asses</w:t>
      </w:r>
      <w:r w:rsidRPr="00101289">
        <w:t>s underpinning knowledge and those aspects of competency which are difficult to assess directly. Questioning techniques should suit the language and literacy levels of the candidate.</w:t>
      </w:r>
    </w:p>
    <w:p w:rsidR="00000000" w:rsidRPr="00101289" w:rsidP="00101289">
      <w:pPr>
        <w:pStyle w:val="BodyText"/>
      </w:pPr>
      <w:r w:rsidRPr="00101289">
        <w:rPr>
          <w:rStyle w:val="SpecialBold"/>
        </w:rPr>
        <w:t>Interdependent assessment of unit</w:t>
      </w:r>
    </w:p>
    <w:p w:rsidR="00000000" w:rsidRPr="00101289" w:rsidP="00101289">
      <w:pPr>
        <w:pStyle w:val="BodyText"/>
      </w:pPr>
      <w:r w:rsidRPr="00101289">
        <w:t>This unit of competency may be assessed with:</w:t>
      </w:r>
    </w:p>
    <w:p w:rsidR="00000000" w:rsidRPr="00101289" w:rsidP="00101289">
      <w:pPr>
        <w:pStyle w:val="BodyText"/>
      </w:pPr>
      <w:r w:rsidRPr="00101289">
        <w:rPr>
          <w:rStyle w:val="SpecialBold"/>
        </w:rPr>
        <w:t>PMLCOM300B Communicate with other people</w:t>
      </w:r>
    </w:p>
    <w:p w:rsidR="00000000" w:rsidRPr="00101289" w:rsidP="00101289">
      <w:pPr>
        <w:pStyle w:val="BodyText"/>
      </w:pPr>
      <w:r w:rsidRPr="00101289">
        <w:rPr>
          <w:rStyle w:val="SpecialBold"/>
        </w:rPr>
        <w:t>PMLOHS302B Participate in laboratory</w:t>
      </w:r>
      <w:r w:rsidRPr="00101289">
        <w:t>/</w:t>
      </w:r>
      <w:r w:rsidRPr="00101289">
        <w:rPr>
          <w:rStyle w:val="SpecialBold"/>
        </w:rPr>
        <w:t>field workplace safety</w:t>
      </w:r>
      <w:r w:rsidRPr="00101289">
        <w:t>.</w:t>
      </w:r>
    </w:p>
    <w:p w:rsidR="00000000" w:rsidRPr="00101289" w:rsidP="00101289">
      <w:pPr>
        <w:pStyle w:val="BodyText"/>
      </w:pPr>
      <w:r w:rsidRPr="00101289">
        <w:rPr>
          <w:rStyle w:val="SpecialBold"/>
        </w:rPr>
        <w:t>Resource implications</w:t>
      </w:r>
    </w:p>
    <w:p w:rsidR="00000000" w:rsidRPr="00101289" w:rsidP="00101289">
      <w:pPr>
        <w:pStyle w:val="BodyText"/>
      </w:pPr>
      <w:r w:rsidRPr="00101289">
        <w:t>Resources may include:</w:t>
      </w:r>
    </w:p>
    <w:p w:rsidR="00000000" w:rsidRPr="00101289" w:rsidP="00101289">
      <w:pPr>
        <w:pStyle w:val="BodyText"/>
      </w:pPr>
      <w:r w:rsidRPr="00101289">
        <w:t xml:space="preserve">a selection of sample containers, tubes, request forms, sample </w:t>
      </w:r>
      <w:r w:rsidRPr="00101289">
        <w:t>documentation</w:t>
      </w:r>
    </w:p>
    <w:p w:rsidR="00000000" w:rsidRPr="00101289" w:rsidP="00101289">
      <w:pPr>
        <w:pStyle w:val="BodyText"/>
      </w:pPr>
      <w:r w:rsidRPr="00101289">
        <w:t>simulated samples when an authentic sample is unavailable or inappropriate.</w:t>
      </w:r>
    </w:p>
    <w:p w:rsidR="00000000" w:rsidRPr="00101289" w:rsidP="00101289">
      <w:pPr>
        <w:pStyle w:val="BodyText"/>
      </w:pPr>
      <w:r w:rsidRPr="00101289">
        <w:rPr>
          <w:rStyle w:val="SpecialBold"/>
        </w:rPr>
        <w:t>This competency in practice</w:t>
      </w:r>
    </w:p>
    <w:p w:rsidR="00000000" w:rsidRPr="00101289" w:rsidP="00101289">
      <w:pPr>
        <w:pStyle w:val="BodyText"/>
      </w:pPr>
      <w:r w:rsidRPr="00101289">
        <w:rPr>
          <w:rStyle w:val="SpecialBold"/>
        </w:rPr>
        <w:t>Environmental</w:t>
      </w:r>
    </w:p>
    <w:p w:rsidR="00000000" w:rsidRPr="00101289" w:rsidP="00101289">
      <w:pPr>
        <w:pStyle w:val="BodyText"/>
      </w:pPr>
      <w:r w:rsidRPr="00101289">
        <w:t>A laboratory assistant at a hazardous liquid waste recycling plant is required to log in all samples, match all samples with</w:t>
      </w:r>
      <w:r w:rsidRPr="00101289">
        <w:t xml:space="preserve"> the in-house profile of the source of the waste, label them and activate the tracking procedure. He/she then prepares a sample for a series of standard tests which are determined by the profile of the waste material (acid or alkali, organic or heavy metal</w:t>
      </w:r>
      <w:r w:rsidRPr="00101289">
        <w:t xml:space="preserve">, etc). Given the hazardous nature of the waste, the laboratory assistant must use appropriate safety equipment at all times and ensure the safe disposal of all hazardous material. The assistant must work efficiently as these procedures are activated upon </w:t>
      </w:r>
      <w:r w:rsidRPr="00101289">
        <w:t xml:space="preserve">arrival of a road tanker and when the hazardous waste has been verified and judged acceptable for treatment at the plant by the laboratory supervisor. The laboratory assistant also liaises with the truck driver, or the referring client, should the samples </w:t>
      </w:r>
      <w:r w:rsidRPr="00101289">
        <w:t>(and/or subsequent tests) not comply with enterprise conditions for receiving the hazardous waste.</w:t>
      </w:r>
    </w:p>
    <w:p w:rsidR="00000000" w:rsidRPr="00101289" w:rsidP="00101289">
      <w:pPr>
        <w:pStyle w:val="BodyText"/>
      </w:pPr>
      <w:r w:rsidRPr="00101289">
        <w:rPr>
          <w:rStyle w:val="SpecialBold"/>
        </w:rPr>
        <w:t>Construction materials and mineral assay</w:t>
      </w:r>
    </w:p>
    <w:p w:rsidR="00000000" w:rsidRPr="00101289" w:rsidP="00101289">
      <w:pPr>
        <w:pStyle w:val="BodyText"/>
      </w:pPr>
      <w:r w:rsidRPr="00101289">
        <w:t>A laboratory assistant has received a consignment of disturbed soil samples from a client for classification testing</w:t>
      </w:r>
      <w:r w:rsidRPr="00101289">
        <w:t>. A test request and field logs have been sent by mail. Each sample is bagged and labelled, with the label showing the name of the client, project, date and sampling location, and a field description of the material. The laboratory policy is that samples w</w:t>
      </w:r>
      <w:r w:rsidRPr="00101289">
        <w:t>eighing more than 20 kg must be bagged so that the individual bags do not exceed this limit and labelled as bag 1 of ..., bag 2 of ..., etc. The assistant checks to ensure all component bags of such samples are present. He/she is careful to handle the samp</w:t>
      </w:r>
      <w:r w:rsidRPr="00101289">
        <w:t>les using safe manual handling techniques. The assistant arranges the samples in order of location and reconciles them with the test request and logs. Two samples have been shown on the request but have not been received. The assistant e-mails the technici</w:t>
      </w:r>
      <w:r w:rsidRPr="00101289">
        <w:t>an who despatched them and subsequently is advised that they were overlooked during despatch and will be forwarded as soon as possible.</w:t>
      </w:r>
    </w:p>
    <w:p w:rsidR="00000000" w:rsidRPr="00101289" w:rsidP="00101289">
      <w:pPr>
        <w:pStyle w:val="BodyText"/>
      </w:pPr>
      <w:r w:rsidRPr="00101289">
        <w:t>The assistant compares the samples with the field descriptions and finds that they match. Samples that are not designate</w:t>
      </w:r>
      <w:r w:rsidRPr="00101289">
        <w:t>d for testing immediately are set aside in the laboratory store. The remainder are placed in trays for drying in the 50°C oven. The tray numbers are carefully written on the respective worksheets. When the samples have dried and cooled they are split out s</w:t>
      </w:r>
      <w:r w:rsidRPr="00101289">
        <w:t>ufficiently for sieve analysis and plasticity testing, making allowance for the maximum particle size of each sample. The assistant is careful to avoid raising dust during the process.</w:t>
      </w:r>
    </w:p>
    <w:p w:rsidR="00000000" w:rsidRPr="00101289" w:rsidP="00101289">
      <w:pPr>
        <w:pStyle w:val="BodyText"/>
      </w:pPr>
      <w:r w:rsidRPr="00101289">
        <w:rPr>
          <w:rStyle w:val="SpecialBold"/>
        </w:rPr>
        <w:t>Biomedical</w:t>
      </w:r>
    </w:p>
    <w:p w:rsidR="00000000" w:rsidRPr="00101289" w:rsidP="00101289">
      <w:pPr>
        <w:pStyle w:val="BodyText"/>
      </w:pPr>
      <w:r w:rsidRPr="00101289">
        <w:t xml:space="preserve">A laboratory assistant has just started a shift in specimen </w:t>
      </w:r>
      <w:r w:rsidRPr="00101289">
        <w:t>reception and puts on a coat and gloves before touching any samples. There is a pile of samples and forms in the sample box. In some cases, the samples and forms are enclosed in a plastic bag. In other cases, they are seemingly unconnected. The assistant n</w:t>
      </w:r>
      <w:r w:rsidRPr="00101289">
        <w:t>otices that one of the samples has a bloodstained label. She/he quickly examines the samples, isolates the leaking sample in a lockable plastic bag and places the related request form in the bag's separate compartment. The assistant then disposes of her/hi</w:t>
      </w:r>
      <w:r w:rsidRPr="00101289">
        <w:t>s dirty gloves. The assistant now logs all samples into the computer, placing to one side a sample and request form that is inadequately labelled. She/he makes a note to call the referring doctor as soon as possible. The assistant places the haematology sa</w:t>
      </w:r>
      <w:r w:rsidRPr="00101289">
        <w:t>mples in the colour-coded tray and calls the laboratory for their pickup. She/he then calls the doctor of the patient whose sample is inadequately labelled. She/he records the missing date of birth on the request form, and then barcode/labels tubes for the</w:t>
      </w:r>
      <w:r w:rsidRPr="00101289">
        <w:t xml:space="preserve"> samples' testing. Within 30 minutes, she/he has cleared the first rush of samples. She/he takes the time to carefully empty the bin of wastes.</w:t>
      </w:r>
    </w:p>
    <w:p w:rsidR="00000000" w:rsidRPr="00101289" w:rsidP="00101289">
      <w:pPr>
        <w:pStyle w:val="BodyText"/>
      </w:pPr>
      <w:r w:rsidRPr="00101289">
        <w:rPr>
          <w:rStyle w:val="SpecialBold"/>
        </w:rPr>
        <w:t>Key Competencies</w:t>
      </w:r>
    </w:p>
    <w:p w:rsidR="00000000" w:rsidRPr="00101289" w:rsidP="00101289">
      <w:pPr>
        <w:pStyle w:val="BodyText"/>
      </w:pPr>
      <w:r w:rsidRPr="00101289">
        <w:t>The seven key competencies represent generic skills considered for effective work participation</w:t>
      </w:r>
      <w:r w:rsidRPr="00101289">
        <w:t>. The bracketed numbering against each of the key competencies indicates the performance level required in this unit. These are stand-alone levels and do not correspond to levels in the Australian Qualifications Framework (AQF).</w:t>
      </w:r>
    </w:p>
    <w:p w:rsidR="00000000" w:rsidRPr="00101289" w:rsidP="00101289">
      <w:pPr>
        <w:pStyle w:val="BodyText"/>
      </w:pPr>
      <w:r w:rsidRPr="00101289">
        <w:t>Level (1) represents the co</w:t>
      </w:r>
      <w:r w:rsidRPr="00101289">
        <w:t>mpetence to undertake tasks effectively</w:t>
      </w:r>
    </w:p>
    <w:p w:rsidR="00000000" w:rsidRPr="00101289" w:rsidP="00101289">
      <w:pPr>
        <w:pStyle w:val="BodyText"/>
      </w:pPr>
      <w:r w:rsidRPr="00101289">
        <w:t>Level (2) represents the competence to manage tasks</w:t>
      </w:r>
    </w:p>
    <w:p w:rsidR="00000000" w:rsidRPr="00101289" w:rsidP="00101289">
      <w:pPr>
        <w:pStyle w:val="BodyText"/>
      </w:pPr>
      <w:r w:rsidRPr="00101289">
        <w:t>Level (3) represents the competence to use concepts for evaluating and reshaping tasks.</w:t>
      </w:r>
    </w:p>
    <w:tbl>
      <w:tblPr>
        <w:tblW w:w="0" w:type="auto"/>
        <w:tblLayout w:type="fixed"/>
        <w:tblCellMar>
          <w:left w:w="62" w:type="dxa"/>
          <w:right w:w="62" w:type="dxa"/>
        </w:tblCellMar>
        <w:tblLook w:val="0000"/>
      </w:tblPr>
      <w:tblGrid>
        <w:gridCol w:w="1285"/>
        <w:gridCol w:w="1285"/>
        <w:gridCol w:w="1285"/>
        <w:gridCol w:w="1285"/>
        <w:gridCol w:w="1285"/>
        <w:gridCol w:w="1285"/>
        <w:gridCol w:w="1285"/>
      </w:tblGrid>
      <w:tr w:rsidTr="00D8338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 xml:space="preserve">Collecting, analysing and organising information </w:t>
            </w:r>
          </w:p>
        </w:tc>
        <w:tc>
          <w:tcPr>
            <w:tcW w:w="1285"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Communicating ideas and in</w:t>
            </w:r>
            <w:r w:rsidRPr="00101289">
              <w:t xml:space="preserve">formation </w:t>
            </w:r>
          </w:p>
        </w:tc>
        <w:tc>
          <w:tcPr>
            <w:tcW w:w="1285"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Planning and organising activities</w:t>
            </w:r>
          </w:p>
        </w:tc>
        <w:tc>
          <w:tcPr>
            <w:tcW w:w="1285"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Working with others and in teams</w:t>
            </w:r>
          </w:p>
        </w:tc>
        <w:tc>
          <w:tcPr>
            <w:tcW w:w="1285"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Using mathematical ideas and techniques</w:t>
            </w:r>
          </w:p>
        </w:tc>
        <w:tc>
          <w:tcPr>
            <w:tcW w:w="1285"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Solving problems</w:t>
            </w:r>
          </w:p>
        </w:tc>
        <w:tc>
          <w:tcPr>
            <w:tcW w:w="1285"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 xml:space="preserve">Using technology </w:t>
            </w:r>
          </w:p>
        </w:tc>
      </w:tr>
      <w:tr w:rsidTr="00D83386">
        <w:tblPrEx>
          <w:tblW w:w="0" w:type="auto"/>
          <w:tblLayout w:type="fixed"/>
          <w:tblCellMar>
            <w:left w:w="62" w:type="dxa"/>
            <w:right w:w="62" w:type="dxa"/>
          </w:tblCellMar>
          <w:tblLook w:val="0000"/>
        </w:tblPrEx>
        <w:tc>
          <w:tcPr>
            <w:tcW w:w="1285"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 xml:space="preserve">Level 1 </w:t>
            </w:r>
          </w:p>
        </w:tc>
        <w:tc>
          <w:tcPr>
            <w:tcW w:w="1285"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 xml:space="preserve">Level 1 </w:t>
            </w:r>
          </w:p>
        </w:tc>
        <w:tc>
          <w:tcPr>
            <w:tcW w:w="1285"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 xml:space="preserve">Level 1 </w:t>
            </w:r>
          </w:p>
        </w:tc>
        <w:tc>
          <w:tcPr>
            <w:tcW w:w="1285"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 xml:space="preserve">Level 1 </w:t>
            </w:r>
          </w:p>
        </w:tc>
        <w:tc>
          <w:tcPr>
            <w:tcW w:w="1285"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 xml:space="preserve">Level 1 </w:t>
            </w:r>
          </w:p>
        </w:tc>
        <w:tc>
          <w:tcPr>
            <w:tcW w:w="1285" w:type="dxa"/>
            <w:tcBorders>
              <w:top w:val="nil"/>
              <w:left w:val="nil"/>
              <w:bottom w:val="nil"/>
              <w:right w:val="nil"/>
            </w:tcBorders>
            <w:tcMar>
              <w:top w:w="0" w:type="dxa"/>
              <w:left w:w="62" w:type="dxa"/>
              <w:bottom w:w="0" w:type="dxa"/>
              <w:right w:w="62" w:type="dxa"/>
            </w:tcMar>
          </w:tcPr>
          <w:p w:rsidR="00000000" w:rsidP="00101289">
            <w:pPr>
              <w:pStyle w:val="BodyText"/>
              <w:rPr>
                <w:lang w:val="en-NZ"/>
              </w:rPr>
            </w:pPr>
            <w:r w:rsidRPr="00101289">
              <w:t xml:space="preserve">Level 1 </w:t>
            </w:r>
          </w:p>
        </w:tc>
        <w:tc>
          <w:tcPr>
            <w:tcW w:w="1285" w:type="dxa"/>
            <w:tcBorders>
              <w:top w:val="nil"/>
              <w:left w:val="nil"/>
              <w:bottom w:val="nil"/>
              <w:right w:val="nil"/>
            </w:tcBorders>
            <w:tcMar>
              <w:top w:w="0" w:type="dxa"/>
              <w:left w:w="62" w:type="dxa"/>
              <w:bottom w:w="0" w:type="dxa"/>
              <w:right w:w="62" w:type="dxa"/>
            </w:tcMar>
          </w:tcPr>
          <w:p w:rsidR="00000000" w:rsidRPr="00101289" w:rsidP="00101289">
            <w:pPr>
              <w:pStyle w:val="BodyText"/>
            </w:pPr>
            <w:r w:rsidRPr="00101289">
              <w:t xml:space="preserve">Level 1 </w:t>
            </w:r>
          </w:p>
        </w:tc>
      </w:tr>
    </w:tbl>
    <w:p w:rsidR="00000000" w:rsidRPr="00101289" w:rsidP="00101289">
      <w:pPr>
        <w:pStyle w:val="BodyText"/>
      </w:pPr>
    </w:p>
    <w:p w:rsidR="00000000" w:rsidRPr="00101289" w:rsidP="00101289">
      <w:pPr>
        <w:pStyle w:val="AllowPageBreak"/>
      </w:pPr>
    </w:p>
    <w:p w:rsidR="00000000" w:rsidRPr="00101289" w:rsidP="00101289">
      <w:pPr>
        <w:pStyle w:val="Heading1"/>
      </w:pPr>
      <w:bookmarkStart w:id="11" w:name="O_312141"/>
      <w:bookmarkEnd w:id="11"/>
      <w:r w:rsidRPr="00101289">
        <w:t>Range Statement</w:t>
      </w:r>
    </w:p>
    <w:p w:rsidR="00000000" w:rsidRPr="00101289" w:rsidP="00101289">
      <w:pPr>
        <w:pStyle w:val="BodyText"/>
      </w:pPr>
      <w:r w:rsidRPr="00101289">
        <w:t xml:space="preserve">The range of variables relates to the unit of competency as a whole. It allows for different work environments and situations that will affect performance. </w:t>
      </w:r>
    </w:p>
    <w:p w:rsidR="00000000" w:rsidRPr="00101289" w:rsidP="00101289">
      <w:pPr>
        <w:pStyle w:val="BodyText"/>
      </w:pPr>
      <w:r w:rsidRPr="00101289">
        <w:t>Where reference is made to industry Codes of Practice, and/or Australian/international standards, i</w:t>
      </w:r>
      <w:r w:rsidRPr="00101289">
        <w:t xml:space="preserve">t is expected the latest version will be used. </w:t>
      </w:r>
    </w:p>
    <w:p w:rsidR="00000000" w:rsidRPr="00101289" w:rsidP="00101289">
      <w:pPr>
        <w:pStyle w:val="BodyText"/>
      </w:pPr>
      <w:r w:rsidRPr="00101289">
        <w:t>Information sources could include:</w:t>
      </w:r>
    </w:p>
    <w:p w:rsidR="00000000" w:rsidRPr="00101289" w:rsidP="00101289">
      <w:pPr>
        <w:pStyle w:val="BodyText"/>
      </w:pPr>
      <w:r w:rsidRPr="00101289">
        <w:t>Australian and international standards, such as:</w:t>
      </w:r>
    </w:p>
    <w:p w:rsidR="00000000" w:rsidRPr="00101289" w:rsidP="00101289">
      <w:pPr>
        <w:pStyle w:val="BodyText"/>
      </w:pPr>
      <w:r w:rsidRPr="00101289">
        <w:t>AS ISO/IEC 17025 General requirements for the competence of testing and calibration laboratories</w:t>
      </w:r>
    </w:p>
    <w:p w:rsidR="00000000" w:rsidRPr="00101289" w:rsidP="00101289">
      <w:pPr>
        <w:pStyle w:val="BodyText"/>
      </w:pPr>
      <w:r w:rsidRPr="00101289">
        <w:t>Office of the Gene Technolo</w:t>
      </w:r>
      <w:r w:rsidRPr="00101289">
        <w:t>gy Regulator (OGTR) guidelines for working with genetically altered organisms</w:t>
      </w:r>
    </w:p>
    <w:p w:rsidR="00000000" w:rsidRPr="00101289" w:rsidP="00101289">
      <w:pPr>
        <w:pStyle w:val="BodyText"/>
      </w:pPr>
      <w:r w:rsidRPr="00101289">
        <w:t>enterprise operating procedures for preparing samples</w:t>
      </w:r>
    </w:p>
    <w:p w:rsidR="00000000" w:rsidRPr="00101289" w:rsidP="00101289">
      <w:pPr>
        <w:pStyle w:val="BodyText"/>
      </w:pPr>
      <w:r w:rsidRPr="00101289">
        <w:t>safety manuals describing personal protective equipment requirements; control of hazardous wastes; containment and cleanup o</w:t>
      </w:r>
      <w:r w:rsidRPr="00101289">
        <w:t xml:space="preserve">f spillages; disposal and recycling of wastes </w:t>
      </w:r>
    </w:p>
    <w:p w:rsidR="00000000" w:rsidRPr="00101289" w:rsidP="00101289">
      <w:pPr>
        <w:pStyle w:val="BodyText"/>
      </w:pPr>
      <w:r w:rsidRPr="00101289">
        <w:t>procedure sheets indicating how samples and sub-samples are to be labelled, processed, distributed, flagged for urgent testing or for other non-routine requirements, including referral to external laboratories</w:t>
      </w:r>
    </w:p>
    <w:p w:rsidR="00000000" w:rsidRPr="00101289" w:rsidP="00101289">
      <w:pPr>
        <w:pStyle w:val="BodyText"/>
      </w:pPr>
      <w:r w:rsidRPr="00101289">
        <w:t>procedure sheets indicating transport and storage requirements</w:t>
      </w:r>
    </w:p>
    <w:p w:rsidR="00000000" w:rsidRPr="00101289" w:rsidP="00101289">
      <w:pPr>
        <w:pStyle w:val="BodyText"/>
      </w:pPr>
      <w:r w:rsidRPr="00101289">
        <w:t>procedure sheets for physical and chemical separation</w:t>
      </w:r>
    </w:p>
    <w:p w:rsidR="00000000" w:rsidRPr="00101289" w:rsidP="00101289">
      <w:pPr>
        <w:pStyle w:val="BodyText"/>
      </w:pPr>
      <w:r w:rsidRPr="00101289">
        <w:t>enterprise quality manuals</w:t>
      </w:r>
    </w:p>
    <w:p w:rsidR="00000000" w:rsidRPr="00101289" w:rsidP="00101289">
      <w:pPr>
        <w:pStyle w:val="BodyText"/>
      </w:pPr>
      <w:r w:rsidRPr="00101289">
        <w:t>material safety data sheets (MSDSs).</w:t>
      </w:r>
    </w:p>
    <w:p w:rsidR="00000000" w:rsidRPr="00101289" w:rsidP="00101289">
      <w:pPr>
        <w:pStyle w:val="BodyText"/>
      </w:pPr>
      <w:r w:rsidRPr="00101289">
        <w:t>Where a laboratory routinely posts or couriers samples for testing, the In</w:t>
      </w:r>
      <w:r w:rsidRPr="00101289">
        <w:t>ternational Air Transport Association (IATA) Dangerous Goods Regulations and Australia Post Regulations must be met.</w:t>
      </w:r>
    </w:p>
    <w:p w:rsidR="00000000" w:rsidRPr="00101289" w:rsidP="00101289">
      <w:pPr>
        <w:pStyle w:val="BodyText"/>
      </w:pPr>
      <w:r w:rsidRPr="00101289">
        <w:t>Samples received may include:</w:t>
      </w:r>
    </w:p>
    <w:p w:rsidR="00000000" w:rsidRPr="00101289" w:rsidP="00101289">
      <w:pPr>
        <w:pStyle w:val="BodyText"/>
      </w:pPr>
      <w:r w:rsidRPr="00101289">
        <w:t>gas or air samples</w:t>
      </w:r>
    </w:p>
    <w:p w:rsidR="00000000" w:rsidRPr="00101289" w:rsidP="00101289">
      <w:pPr>
        <w:pStyle w:val="BodyText"/>
      </w:pPr>
      <w:r w:rsidRPr="00101289">
        <w:t>liquid samples, such as water, wastewater, stormwater, sludges and complex mixtures, sewag</w:t>
      </w:r>
      <w:r w:rsidRPr="00101289">
        <w:t>e</w:t>
      </w:r>
    </w:p>
    <w:p w:rsidR="00000000" w:rsidRPr="00101289" w:rsidP="00101289">
      <w:pPr>
        <w:pStyle w:val="BodyText"/>
      </w:pPr>
      <w:r w:rsidRPr="00101289">
        <w:t>solid samples, such as soils, sediments, rocks/minerals, concrete, quarry or mining products</w:t>
      </w:r>
    </w:p>
    <w:p w:rsidR="00000000" w:rsidRPr="00101289" w:rsidP="00101289">
      <w:pPr>
        <w:pStyle w:val="BodyText"/>
      </w:pPr>
      <w:r w:rsidRPr="00101289">
        <w:t>solid wastes, such as hazardous, non-hazardous, domestic, commercial, industrial, mining, agricultural</w:t>
      </w:r>
    </w:p>
    <w:p w:rsidR="00000000" w:rsidRPr="00101289" w:rsidP="00101289">
      <w:pPr>
        <w:pStyle w:val="BodyText"/>
      </w:pPr>
      <w:r w:rsidRPr="00101289">
        <w:t>raw materials, start-, middle-, end- of production run sam</w:t>
      </w:r>
      <w:r w:rsidRPr="00101289">
        <w:t>ples, final products.</w:t>
      </w:r>
    </w:p>
    <w:p w:rsidR="00000000" w:rsidRPr="00101289" w:rsidP="00101289">
      <w:pPr>
        <w:pStyle w:val="BodyText"/>
      </w:pPr>
      <w:r w:rsidRPr="00101289">
        <w:t>Hazards may include:</w:t>
      </w:r>
    </w:p>
    <w:p w:rsidR="00000000" w:rsidRPr="00101289" w:rsidP="00101289">
      <w:pPr>
        <w:pStyle w:val="BodyText"/>
      </w:pPr>
      <w:r w:rsidRPr="00101289">
        <w:t>biohazards, such as micro-organisms and agents associated with soil, air, water, blood and blood products, human or animal tissue and fluids</w:t>
      </w:r>
    </w:p>
    <w:p w:rsidR="00000000" w:rsidRPr="00101289" w:rsidP="00101289">
      <w:pPr>
        <w:pStyle w:val="BodyText"/>
      </w:pPr>
      <w:r w:rsidRPr="00101289">
        <w:t>dust and noise</w:t>
      </w:r>
    </w:p>
    <w:p w:rsidR="00000000" w:rsidRPr="00101289" w:rsidP="00101289">
      <w:pPr>
        <w:pStyle w:val="BodyText"/>
      </w:pPr>
      <w:r w:rsidRPr="00101289">
        <w:t>chemicals, such as acids and hydrocarbons</w:t>
      </w:r>
    </w:p>
    <w:p w:rsidR="00000000" w:rsidRPr="00101289" w:rsidP="00101289">
      <w:pPr>
        <w:pStyle w:val="BodyText"/>
      </w:pPr>
      <w:r w:rsidRPr="00101289">
        <w:t>aerosols</w:t>
      </w:r>
    </w:p>
    <w:p w:rsidR="00000000" w:rsidRPr="00101289" w:rsidP="00101289">
      <w:pPr>
        <w:pStyle w:val="BodyText"/>
      </w:pPr>
      <w:r w:rsidRPr="00101289">
        <w:t>sharps</w:t>
      </w:r>
      <w:r w:rsidRPr="00101289">
        <w:t>, broken glassware</w:t>
      </w:r>
    </w:p>
    <w:p w:rsidR="00000000" w:rsidRPr="00101289" w:rsidP="00101289">
      <w:pPr>
        <w:pStyle w:val="BodyText"/>
      </w:pPr>
      <w:r w:rsidRPr="00101289">
        <w:t>manual handling of heavy sample bags and containers</w:t>
      </w:r>
    </w:p>
    <w:p w:rsidR="00000000" w:rsidRPr="00101289" w:rsidP="00101289">
      <w:pPr>
        <w:pStyle w:val="BodyText"/>
      </w:pPr>
      <w:r w:rsidRPr="00101289">
        <w:t>crushing, entanglement, cuts associated with moving machinery.</w:t>
      </w:r>
    </w:p>
    <w:p w:rsidR="00000000" w:rsidRPr="00101289" w:rsidP="00101289">
      <w:pPr>
        <w:pStyle w:val="BodyText"/>
      </w:pPr>
      <w:r w:rsidRPr="00101289">
        <w:t>Safe work practices may include:</w:t>
      </w:r>
    </w:p>
    <w:p w:rsidR="00000000" w:rsidRPr="00101289" w:rsidP="00101289">
      <w:pPr>
        <w:pStyle w:val="BodyText"/>
      </w:pPr>
      <w:r w:rsidRPr="00101289">
        <w:t>use of material safety data sheets (MSDSs)</w:t>
      </w:r>
    </w:p>
    <w:p w:rsidR="00000000" w:rsidRPr="00101289" w:rsidP="00101289">
      <w:pPr>
        <w:pStyle w:val="BodyText"/>
      </w:pPr>
      <w:r w:rsidRPr="00101289">
        <w:t xml:space="preserve">use of personal protective equipment, such as </w:t>
      </w:r>
      <w:r w:rsidRPr="00101289">
        <w:t>hard hats, hearing protection, gloves, safety glasses, goggles, face guards, coveralls, gown, body suits, respirators, safety boots</w:t>
      </w:r>
    </w:p>
    <w:p w:rsidR="00000000" w:rsidRPr="00101289" w:rsidP="00101289">
      <w:pPr>
        <w:pStyle w:val="BodyText"/>
      </w:pPr>
      <w:r w:rsidRPr="00101289">
        <w:t>use of biohazard containers and laminar flow cabinets</w:t>
      </w:r>
    </w:p>
    <w:p w:rsidR="00000000" w:rsidRPr="00101289" w:rsidP="00101289">
      <w:pPr>
        <w:pStyle w:val="BodyText"/>
      </w:pPr>
      <w:r w:rsidRPr="00101289">
        <w:t>correct labelling of reagents and hazardous materials</w:t>
      </w:r>
    </w:p>
    <w:p w:rsidR="00000000" w:rsidRPr="00101289" w:rsidP="00101289">
      <w:pPr>
        <w:pStyle w:val="BodyText"/>
      </w:pPr>
      <w:r w:rsidRPr="00101289">
        <w:t>handling, and st</w:t>
      </w:r>
      <w:r w:rsidRPr="00101289">
        <w:t>oring hazardous materials and equipment in accordance with labels, MSDS, manufacturer's instructions, enterprise procedures and regulations</w:t>
      </w:r>
    </w:p>
    <w:p w:rsidR="00000000" w:rsidRPr="00101289" w:rsidP="00101289">
      <w:pPr>
        <w:pStyle w:val="BodyText"/>
      </w:pPr>
      <w:r w:rsidRPr="00101289">
        <w:t>regular cleaning and/or decontamination of equipment and work areas.</w:t>
      </w:r>
    </w:p>
    <w:p w:rsidR="00000000" w:rsidRPr="00101289" w:rsidP="00101289">
      <w:pPr>
        <w:pStyle w:val="BodyText"/>
      </w:pPr>
      <w:r w:rsidRPr="00101289">
        <w:rPr>
          <w:rStyle w:val="SpecialBold"/>
        </w:rPr>
        <w:t>Health</w:t>
      </w:r>
      <w:r w:rsidRPr="00101289">
        <w:t xml:space="preserve">, </w:t>
      </w:r>
      <w:r w:rsidRPr="00101289">
        <w:rPr>
          <w:rStyle w:val="SpecialBold"/>
        </w:rPr>
        <w:t>safety and environment</w:t>
      </w:r>
    </w:p>
    <w:p w:rsidR="00000000" w:rsidRPr="00101289" w:rsidP="00101289">
      <w:pPr>
        <w:pStyle w:val="BodyText"/>
      </w:pPr>
      <w:r w:rsidRPr="00101289">
        <w:t>All operations t</w:t>
      </w:r>
      <w:r w:rsidRPr="00101289">
        <w:t>o which this unit applies are subject to stringent health, safety and environmental (HSE) requirements, which may be imposed through State or Federal legislation, and these must not be compromised at any time. Where there is an apparent conflict between pe</w:t>
      </w:r>
      <w:r w:rsidRPr="00101289">
        <w:t>rformance criteria and HSE requirements, the HSE requirements take precedence.</w:t>
      </w:r>
    </w:p>
    <w:p w:rsidR="00000000" w:rsidRPr="00101289" w:rsidP="00101289">
      <w:pPr>
        <w:pStyle w:val="BodyText"/>
      </w:pPr>
      <w:r w:rsidRPr="00101289">
        <w:t>All operations assume the potentially hazardous nature of samples and require standard precautions to be applied.</w:t>
      </w:r>
      <w:r w:rsidRPr="00101289">
        <w:t xml:space="preserve"> Users should access and apply current industry understanding of infection control issued by the National Health and Medical Research Council and State and Territory Departments of Health. All operations are performed in accordance with standard operating </w:t>
      </w:r>
      <w:r w:rsidRPr="00101289">
        <w:t>procedures.</w:t>
      </w:r>
    </w:p>
    <w:p w:rsidR="00000000" w:rsidRPr="00101289" w:rsidP="00101289">
      <w:pPr>
        <w:pStyle w:val="AllowPageBreak"/>
      </w:pPr>
    </w:p>
    <w:p w:rsidR="00000000" w:rsidRPr="00101289" w:rsidP="00101289">
      <w:pPr>
        <w:pStyle w:val="Heading1"/>
      </w:pPr>
      <w:bookmarkStart w:id="12" w:name="O_312144"/>
      <w:bookmarkEnd w:id="12"/>
      <w:r w:rsidRPr="00101289">
        <w:t>Unit Sector(s)</w:t>
      </w:r>
    </w:p>
    <w:p w:rsidR="00000000" w:rsidRPr="00101289" w:rsidP="00101289"/>
    <w:sectPr w:rsidSect="001012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386" w:rsidP="00D833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386" w:rsidP="001012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83386" w:rsidP="001012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83386" w:rsidP="001012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83386" w:rsidP="00D8338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12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386" w:rsidP="00101289">
    <w:pPr>
      <w:pStyle w:val="Header"/>
      <w:framePr w:wrap="around"/>
    </w:pPr>
    <w:r>
      <w:fldChar w:fldCharType="begin"/>
    </w:r>
    <w:r>
      <w:instrText xml:space="preserve"> TITLE   \* MERGEFORMAT </w:instrText>
    </w:r>
    <w:r>
      <w:fldChar w:fldCharType="separate"/>
    </w:r>
    <w:r>
      <w:t>PMLSAMP302A Receive and prepare samples for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83386" w:rsidP="001012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12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1289"/>
    <w:pPr>
      <w:spacing w:before="360" w:after="60"/>
      <w:outlineLvl w:val="0"/>
    </w:pPr>
    <w:rPr>
      <w:sz w:val="32"/>
    </w:rPr>
  </w:style>
  <w:style w:type="paragraph" w:styleId="Heading2">
    <w:name w:val="heading 2"/>
    <w:basedOn w:val="HeadingBase"/>
    <w:next w:val="BodyText"/>
    <w:link w:val="Heading2Char"/>
    <w:qFormat/>
    <w:rsid w:val="00101289"/>
    <w:pPr>
      <w:keepLines/>
      <w:spacing w:before="240" w:after="120"/>
      <w:outlineLvl w:val="1"/>
    </w:pPr>
    <w:rPr>
      <w:sz w:val="28"/>
      <w:szCs w:val="40"/>
    </w:rPr>
  </w:style>
  <w:style w:type="paragraph" w:styleId="Heading3">
    <w:name w:val="heading 3"/>
    <w:basedOn w:val="HeadingBase"/>
    <w:next w:val="BodyText"/>
    <w:link w:val="Heading3Char"/>
    <w:qFormat/>
    <w:rsid w:val="00101289"/>
    <w:pPr>
      <w:spacing w:before="180" w:after="120"/>
      <w:outlineLvl w:val="2"/>
    </w:pPr>
    <w:rPr>
      <w:spacing w:val="-10"/>
      <w:kern w:val="32"/>
    </w:rPr>
  </w:style>
  <w:style w:type="paragraph" w:styleId="Heading4">
    <w:name w:val="heading 4"/>
    <w:basedOn w:val="HeadingBase"/>
    <w:next w:val="BodyText"/>
    <w:link w:val="Heading4Char"/>
    <w:qFormat/>
    <w:rsid w:val="00101289"/>
    <w:pPr>
      <w:spacing w:before="160" w:after="120"/>
      <w:outlineLvl w:val="3"/>
    </w:pPr>
    <w:rPr>
      <w:sz w:val="22"/>
    </w:rPr>
  </w:style>
  <w:style w:type="paragraph" w:styleId="Heading5">
    <w:name w:val="heading 5"/>
    <w:basedOn w:val="HeadingBase"/>
    <w:next w:val="Normal"/>
    <w:link w:val="Heading5Char"/>
    <w:qFormat/>
    <w:rsid w:val="00101289"/>
    <w:pPr>
      <w:spacing w:before="80"/>
      <w:outlineLvl w:val="4"/>
    </w:pPr>
    <w:rPr>
      <w:color w:val="918585"/>
      <w:sz w:val="20"/>
    </w:rPr>
  </w:style>
  <w:style w:type="paragraph" w:styleId="Heading6">
    <w:name w:val="heading 6"/>
    <w:basedOn w:val="HeadingBase"/>
    <w:next w:val="Normal"/>
    <w:link w:val="Heading6Char"/>
    <w:qFormat/>
    <w:rsid w:val="00101289"/>
    <w:pPr>
      <w:spacing w:before="60"/>
      <w:outlineLvl w:val="5"/>
    </w:pPr>
    <w:rPr>
      <w:color w:val="918585"/>
      <w:sz w:val="20"/>
    </w:rPr>
  </w:style>
  <w:style w:type="paragraph" w:styleId="Heading7">
    <w:name w:val="heading 7"/>
    <w:basedOn w:val="Normal"/>
    <w:next w:val="Normal"/>
    <w:link w:val="Heading7Char"/>
    <w:qFormat/>
    <w:rsid w:val="00101289"/>
    <w:pPr>
      <w:ind w:left="720"/>
      <w:outlineLvl w:val="6"/>
    </w:pPr>
    <w:rPr>
      <w:i/>
    </w:rPr>
  </w:style>
  <w:style w:type="paragraph" w:styleId="Heading8">
    <w:name w:val="heading 8"/>
    <w:basedOn w:val="Normal"/>
    <w:next w:val="Normal"/>
    <w:link w:val="Heading8Char"/>
    <w:qFormat/>
    <w:rsid w:val="00101289"/>
    <w:pPr>
      <w:ind w:left="720"/>
      <w:outlineLvl w:val="7"/>
    </w:pPr>
    <w:rPr>
      <w:i/>
    </w:rPr>
  </w:style>
  <w:style w:type="paragraph" w:styleId="Heading9">
    <w:name w:val="heading 9"/>
    <w:basedOn w:val="Normal"/>
    <w:next w:val="Normal"/>
    <w:link w:val="Heading9Char"/>
    <w:qFormat/>
    <w:rsid w:val="00101289"/>
    <w:pPr>
      <w:ind w:left="720"/>
      <w:outlineLvl w:val="8"/>
    </w:pPr>
    <w:rPr>
      <w:i/>
    </w:rPr>
  </w:style>
  <w:style w:type="character" w:default="1" w:styleId="DefaultParagraphFont">
    <w:name w:val="Default Paragraph Font"/>
    <w:uiPriority w:val="1"/>
    <w:unhideWhenUsed/>
    <w:rsid w:val="001012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1289"/>
  </w:style>
  <w:style w:type="character" w:customStyle="1" w:styleId="Heading1Char">
    <w:name w:val="Heading 1 Char"/>
    <w:basedOn w:val="DefaultParagraphFont"/>
    <w:link w:val="Heading1"/>
    <w:rsid w:val="00101289"/>
    <w:rPr>
      <w:rFonts w:ascii="Times New Roman" w:eastAsia="Times New Roman" w:hAnsi="Times New Roman" w:cs="Times New Roman"/>
      <w:b/>
      <w:sz w:val="32"/>
      <w:szCs w:val="20"/>
      <w:lang w:eastAsia="en-US"/>
    </w:rPr>
  </w:style>
  <w:style w:type="paragraph" w:styleId="BodyText">
    <w:name w:val="Body Text"/>
    <w:basedOn w:val="Normal"/>
    <w:link w:val="BodyTextChar"/>
    <w:rsid w:val="001012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01289"/>
    <w:rPr>
      <w:rFonts w:ascii="Times New Roman" w:eastAsia="Times New Roman" w:hAnsi="Times New Roman" w:cs="Times New Roman"/>
      <w:sz w:val="24"/>
      <w:lang w:val="en-US" w:eastAsia="en-US"/>
    </w:rPr>
  </w:style>
  <w:style w:type="paragraph" w:styleId="Footer">
    <w:name w:val="footer"/>
    <w:basedOn w:val="Normal"/>
    <w:link w:val="FooterChar"/>
    <w:rsid w:val="001012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01289"/>
    <w:rPr>
      <w:rFonts w:ascii="Times New Roman" w:eastAsia="Times New Roman" w:hAnsi="Times New Roman" w:cs="Times New Roman"/>
      <w:sz w:val="16"/>
      <w:lang w:val="en-US" w:eastAsia="en-US"/>
    </w:rPr>
  </w:style>
  <w:style w:type="character" w:customStyle="1" w:styleId="SpecialBold">
    <w:name w:val="Special Bold"/>
    <w:basedOn w:val="DefaultParagraphFont"/>
    <w:rsid w:val="00101289"/>
    <w:rPr>
      <w:b/>
      <w:spacing w:val="0"/>
    </w:rPr>
  </w:style>
  <w:style w:type="paragraph" w:styleId="Header">
    <w:name w:val="header"/>
    <w:basedOn w:val="Normal"/>
    <w:link w:val="HeaderChar"/>
    <w:rsid w:val="001012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012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101289"/>
    <w:pPr>
      <w:spacing w:before="240" w:after="120"/>
      <w:outlineLvl w:val="0"/>
    </w:pPr>
    <w:rPr>
      <w:rFonts w:ascii="Times New Roman" w:hAnsi="Times New Roman"/>
      <w:b/>
      <w:sz w:val="28"/>
    </w:rPr>
  </w:style>
  <w:style w:type="paragraph" w:customStyle="1" w:styleId="AllowPageBreak">
    <w:name w:val="AllowPageBreak"/>
    <w:rsid w:val="0010128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012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012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012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012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012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12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12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1289"/>
    <w:rPr>
      <w:rFonts w:ascii="Courier New" w:eastAsia="Times New Roman" w:hAnsi="Courier New" w:cs="Times New Roman"/>
      <w:i/>
      <w:szCs w:val="20"/>
      <w:lang w:val="en-US" w:eastAsia="en-US"/>
    </w:rPr>
  </w:style>
  <w:style w:type="paragraph" w:customStyle="1" w:styleId="HeadingBase">
    <w:name w:val="Heading Base"/>
    <w:rsid w:val="001012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1289"/>
    <w:pPr>
      <w:tabs>
        <w:tab w:val="right" w:leader="dot" w:pos="9072"/>
      </w:tabs>
      <w:ind w:left="567"/>
    </w:pPr>
    <w:rPr>
      <w:szCs w:val="22"/>
    </w:rPr>
  </w:style>
  <w:style w:type="paragraph" w:customStyle="1" w:styleId="TOCBase">
    <w:name w:val="TOC Base"/>
    <w:rsid w:val="001012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1289"/>
    <w:pPr>
      <w:tabs>
        <w:tab w:val="right" w:leader="dot" w:pos="9072"/>
      </w:tabs>
      <w:spacing w:before="40" w:after="40"/>
      <w:ind w:left="284"/>
    </w:pPr>
    <w:rPr>
      <w:rFonts w:ascii="Times New Roman" w:hAnsi="Times New Roman"/>
    </w:rPr>
  </w:style>
  <w:style w:type="paragraph" w:styleId="TOC1">
    <w:name w:val="toc 1"/>
    <w:basedOn w:val="TOCBase"/>
    <w:next w:val="Normal"/>
    <w:rsid w:val="001012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1289"/>
    <w:pPr>
      <w:spacing w:before="5040"/>
      <w:jc w:val="center"/>
    </w:pPr>
    <w:rPr>
      <w:sz w:val="48"/>
      <w:szCs w:val="72"/>
      <w:lang w:val="en-US"/>
    </w:rPr>
  </w:style>
  <w:style w:type="character" w:customStyle="1" w:styleId="TitleChar">
    <w:name w:val="Title Char"/>
    <w:basedOn w:val="DefaultParagraphFont"/>
    <w:link w:val="Title"/>
    <w:rsid w:val="001012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1289"/>
    <w:pPr>
      <w:tabs>
        <w:tab w:val="left" w:pos="3600"/>
        <w:tab w:val="left" w:pos="3958"/>
      </w:tabs>
    </w:pPr>
  </w:style>
  <w:style w:type="paragraph" w:styleId="List">
    <w:name w:val="List"/>
    <w:basedOn w:val="BodyText"/>
    <w:next w:val="BodyText"/>
    <w:rsid w:val="00101289"/>
    <w:pPr>
      <w:tabs>
        <w:tab w:val="left" w:pos="340"/>
      </w:tabs>
      <w:spacing w:before="60" w:after="60"/>
      <w:ind w:left="340" w:hanging="340"/>
    </w:pPr>
  </w:style>
  <w:style w:type="paragraph" w:styleId="ListBullet">
    <w:name w:val="List Bullet"/>
    <w:basedOn w:val="List"/>
    <w:rsid w:val="00101289"/>
    <w:pPr>
      <w:numPr>
        <w:numId w:val="11"/>
      </w:numPr>
      <w:tabs>
        <w:tab w:val="clear" w:pos="340"/>
      </w:tabs>
      <w:spacing w:before="40" w:after="40"/>
    </w:pPr>
  </w:style>
  <w:style w:type="paragraph" w:customStyle="1" w:styleId="Note">
    <w:name w:val="Note"/>
    <w:basedOn w:val="BodyText"/>
    <w:rsid w:val="001012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1289"/>
    <w:pPr>
      <w:framePr w:wrap="auto" w:hAnchor="text" w:y="6049"/>
    </w:pPr>
    <w:rPr>
      <w:color w:val="000000"/>
      <w:sz w:val="40"/>
    </w:rPr>
  </w:style>
  <w:style w:type="paragraph" w:customStyle="1" w:styleId="TOCTitle">
    <w:name w:val="TOCTitle"/>
    <w:basedOn w:val="Heading1"/>
    <w:rsid w:val="00101289"/>
    <w:pPr>
      <w:spacing w:after="240"/>
      <w:jc w:val="center"/>
      <w:outlineLvl w:val="9"/>
    </w:pPr>
    <w:rPr>
      <w:caps/>
    </w:rPr>
  </w:style>
  <w:style w:type="paragraph" w:customStyle="1" w:styleId="Version">
    <w:name w:val="Version"/>
    <w:rsid w:val="0010128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01289"/>
    <w:pPr>
      <w:numPr>
        <w:numId w:val="12"/>
      </w:numPr>
      <w:tabs>
        <w:tab w:val="clear" w:pos="680"/>
      </w:tabs>
    </w:pPr>
  </w:style>
  <w:style w:type="paragraph" w:styleId="Index1">
    <w:name w:val="index 1"/>
    <w:basedOn w:val="Normal"/>
    <w:next w:val="Normal"/>
    <w:semiHidden/>
    <w:rsid w:val="00101289"/>
    <w:pPr>
      <w:keepNext w:val="0"/>
      <w:tabs>
        <w:tab w:val="right" w:pos="4176"/>
      </w:tabs>
      <w:ind w:left="198" w:hanging="198"/>
    </w:pPr>
    <w:rPr>
      <w:rFonts w:ascii="Garamond" w:hAnsi="Garamond"/>
    </w:rPr>
  </w:style>
  <w:style w:type="paragraph" w:styleId="IndexHeading">
    <w:name w:val="index heading"/>
    <w:basedOn w:val="Normal"/>
    <w:next w:val="Index1"/>
    <w:semiHidden/>
    <w:rsid w:val="00101289"/>
    <w:pPr>
      <w:spacing w:before="120" w:after="120"/>
    </w:pPr>
    <w:rPr>
      <w:rFonts w:ascii="Arial" w:hAnsi="Arial"/>
      <w:b/>
      <w:color w:val="918585"/>
      <w:sz w:val="24"/>
    </w:rPr>
  </w:style>
  <w:style w:type="paragraph" w:customStyle="1" w:styleId="Chapter">
    <w:name w:val="Chapter"/>
    <w:basedOn w:val="Normal"/>
    <w:rsid w:val="00101289"/>
    <w:pPr>
      <w:spacing w:before="240"/>
    </w:pPr>
    <w:rPr>
      <w:rFonts w:ascii="Times New Roman" w:hAnsi="Times New Roman"/>
      <w:smallCaps/>
      <w:spacing w:val="80"/>
      <w:sz w:val="28"/>
    </w:rPr>
  </w:style>
  <w:style w:type="paragraph" w:customStyle="1" w:styleId="InChapter">
    <w:name w:val="InChapter"/>
    <w:basedOn w:val="Heading3"/>
    <w:rsid w:val="00101289"/>
    <w:pPr>
      <w:spacing w:after="240"/>
      <w:outlineLvl w:val="9"/>
    </w:pPr>
    <w:rPr>
      <w:noProof/>
    </w:rPr>
  </w:style>
  <w:style w:type="paragraph" w:styleId="Index2">
    <w:name w:val="index 2"/>
    <w:basedOn w:val="Normal"/>
    <w:next w:val="Normal"/>
    <w:semiHidden/>
    <w:rsid w:val="00101289"/>
    <w:pPr>
      <w:tabs>
        <w:tab w:val="right" w:pos="4176"/>
      </w:tabs>
      <w:ind w:left="568" w:hanging="284"/>
    </w:pPr>
    <w:rPr>
      <w:rFonts w:ascii="Garamond" w:hAnsi="Garamond"/>
    </w:rPr>
  </w:style>
  <w:style w:type="paragraph" w:customStyle="1" w:styleId="Byline">
    <w:name w:val="Byline"/>
    <w:rsid w:val="001012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1289"/>
    <w:pPr>
      <w:tabs>
        <w:tab w:val="clear" w:pos="3600"/>
        <w:tab w:val="clear" w:pos="3958"/>
      </w:tabs>
      <w:jc w:val="right"/>
    </w:pPr>
  </w:style>
  <w:style w:type="character" w:styleId="Emphasis">
    <w:name w:val="Emphasis"/>
    <w:basedOn w:val="DefaultParagraphFont"/>
    <w:qFormat/>
    <w:rsid w:val="00101289"/>
    <w:rPr>
      <w:i/>
    </w:rPr>
  </w:style>
  <w:style w:type="paragraph" w:styleId="Caption">
    <w:name w:val="caption"/>
    <w:basedOn w:val="BodyText"/>
    <w:next w:val="Normal"/>
    <w:qFormat/>
    <w:rsid w:val="00101289"/>
    <w:pPr>
      <w:framePr w:w="2268" w:hSpace="181" w:vSpace="181" w:wrap="around" w:vAnchor="text" w:hAnchor="page" w:x="1135" w:y="285" w:anchorLock="1"/>
    </w:pPr>
    <w:rPr>
      <w:i/>
    </w:rPr>
  </w:style>
  <w:style w:type="paragraph" w:customStyle="1" w:styleId="MiniTOCTitle">
    <w:name w:val="MiniTOCTitle"/>
    <w:basedOn w:val="Heading4"/>
    <w:rsid w:val="00101289"/>
    <w:pPr>
      <w:spacing w:before="240"/>
      <w:outlineLvl w:val="9"/>
    </w:pPr>
    <w:rPr>
      <w:noProof/>
      <w:sz w:val="24"/>
    </w:rPr>
  </w:style>
  <w:style w:type="paragraph" w:customStyle="1" w:styleId="MiniTOCItem">
    <w:name w:val="MiniTOCItem"/>
    <w:basedOn w:val="ListBullet"/>
    <w:rsid w:val="00101289"/>
    <w:pPr>
      <w:numPr>
        <w:numId w:val="0"/>
      </w:numPr>
      <w:tabs>
        <w:tab w:val="right" w:leader="dot" w:pos="6521"/>
      </w:tabs>
      <w:spacing w:before="0" w:after="0"/>
    </w:pPr>
  </w:style>
  <w:style w:type="paragraph" w:customStyle="1" w:styleId="TOFTitle">
    <w:name w:val="TOFTitle"/>
    <w:basedOn w:val="TOCTitle"/>
    <w:rsid w:val="00101289"/>
  </w:style>
  <w:style w:type="paragraph" w:styleId="TableofFigures">
    <w:name w:val="table of figures"/>
    <w:basedOn w:val="Normal"/>
    <w:next w:val="Normal"/>
    <w:semiHidden/>
    <w:rsid w:val="00101289"/>
    <w:pPr>
      <w:tabs>
        <w:tab w:val="right" w:leader="dot" w:pos="9072"/>
      </w:tabs>
      <w:ind w:left="970" w:hanging="403"/>
    </w:pPr>
    <w:rPr>
      <w:rFonts w:ascii="Times New Roman" w:hAnsi="Times New Roman"/>
      <w:b/>
    </w:rPr>
  </w:style>
  <w:style w:type="paragraph" w:styleId="ListNumber">
    <w:name w:val="List Number"/>
    <w:basedOn w:val="List"/>
    <w:rsid w:val="00101289"/>
    <w:pPr>
      <w:numPr>
        <w:numId w:val="9"/>
      </w:numPr>
    </w:pPr>
  </w:style>
  <w:style w:type="character" w:customStyle="1" w:styleId="WingdingSymbols">
    <w:name w:val="Wingding Symbols"/>
    <w:rsid w:val="00101289"/>
    <w:rPr>
      <w:rFonts w:ascii="Wingdings" w:hAnsi="Wingdings"/>
    </w:rPr>
  </w:style>
  <w:style w:type="paragraph" w:customStyle="1" w:styleId="TableHeading">
    <w:name w:val="Table Heading"/>
    <w:basedOn w:val="HeadingBase"/>
    <w:rsid w:val="00101289"/>
    <w:pPr>
      <w:keepLines/>
      <w:pBdr>
        <w:bottom w:val="single" w:sz="6" w:space="1" w:color="918585"/>
      </w:pBdr>
      <w:spacing w:before="240"/>
    </w:pPr>
  </w:style>
  <w:style w:type="character" w:customStyle="1" w:styleId="HotSpot">
    <w:name w:val="HotSpot"/>
    <w:rsid w:val="00101289"/>
    <w:rPr>
      <w:color w:val="0033CC"/>
      <w:u w:val="none"/>
    </w:rPr>
  </w:style>
  <w:style w:type="paragraph" w:customStyle="1" w:styleId="BodyTextRight">
    <w:name w:val="Body Text Right"/>
    <w:basedOn w:val="BodyText"/>
    <w:rsid w:val="00101289"/>
    <w:pPr>
      <w:spacing w:before="0" w:after="0"/>
      <w:jc w:val="right"/>
    </w:pPr>
  </w:style>
  <w:style w:type="paragraph" w:styleId="Index3">
    <w:name w:val="index 3"/>
    <w:basedOn w:val="ListNumber2"/>
    <w:next w:val="Normal"/>
    <w:semiHidden/>
    <w:rsid w:val="00101289"/>
    <w:pPr>
      <w:numPr>
        <w:numId w:val="0"/>
      </w:numPr>
      <w:tabs>
        <w:tab w:val="right" w:leader="dot" w:pos="4176"/>
      </w:tabs>
    </w:pPr>
  </w:style>
  <w:style w:type="paragraph" w:styleId="ListNumber2">
    <w:name w:val="List Number 2"/>
    <w:basedOn w:val="List2"/>
    <w:rsid w:val="00101289"/>
    <w:pPr>
      <w:numPr>
        <w:numId w:val="8"/>
      </w:numPr>
      <w:tabs>
        <w:tab w:val="clear" w:pos="1060"/>
      </w:tabs>
    </w:pPr>
  </w:style>
  <w:style w:type="paragraph" w:customStyle="1" w:styleId="MarginNote">
    <w:name w:val="Margin Note"/>
    <w:basedOn w:val="BodyText"/>
    <w:rsid w:val="001012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12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012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1289"/>
    <w:rPr>
      <w:sz w:val="32"/>
    </w:rPr>
  </w:style>
  <w:style w:type="paragraph" w:customStyle="1" w:styleId="HeadingProcedure">
    <w:name w:val="Heading Procedure"/>
    <w:basedOn w:val="HeadingBase"/>
    <w:next w:val="Normal"/>
    <w:rsid w:val="00101289"/>
    <w:pPr>
      <w:tabs>
        <w:tab w:val="left" w:pos="0"/>
      </w:tabs>
      <w:spacing w:before="120" w:after="60"/>
    </w:pPr>
    <w:rPr>
      <w:i/>
      <w:color w:val="918585"/>
      <w:sz w:val="22"/>
    </w:rPr>
  </w:style>
  <w:style w:type="paragraph" w:customStyle="1" w:styleId="TableBodyText">
    <w:name w:val="Table Body Text"/>
    <w:basedOn w:val="BodyText"/>
    <w:rsid w:val="00101289"/>
    <w:pPr>
      <w:spacing w:before="60" w:after="60"/>
    </w:pPr>
  </w:style>
  <w:style w:type="paragraph" w:styleId="ListContinue">
    <w:name w:val="List Continue"/>
    <w:basedOn w:val="List"/>
    <w:rsid w:val="00101289"/>
    <w:pPr>
      <w:ind w:firstLine="0"/>
    </w:pPr>
  </w:style>
  <w:style w:type="paragraph" w:customStyle="1" w:styleId="ListNote">
    <w:name w:val="List Note"/>
    <w:basedOn w:val="List"/>
    <w:rsid w:val="00101289"/>
    <w:pPr>
      <w:pBdr>
        <w:top w:val="single" w:sz="6" w:space="2" w:color="918585"/>
        <w:bottom w:val="single" w:sz="6" w:space="2" w:color="918585"/>
      </w:pBdr>
      <w:tabs>
        <w:tab w:val="left" w:pos="1021"/>
      </w:tabs>
      <w:ind w:firstLine="0"/>
    </w:pPr>
  </w:style>
  <w:style w:type="paragraph" w:customStyle="1" w:styleId="Warning">
    <w:name w:val="Warning"/>
    <w:basedOn w:val="BodyText"/>
    <w:rsid w:val="00101289"/>
    <w:pPr>
      <w:shd w:val="clear" w:color="auto" w:fill="D9D9D9"/>
      <w:tabs>
        <w:tab w:val="left" w:pos="992"/>
      </w:tabs>
      <w:ind w:left="119" w:right="119"/>
    </w:pPr>
    <w:rPr>
      <w:sz w:val="20"/>
    </w:rPr>
  </w:style>
  <w:style w:type="paragraph" w:customStyle="1" w:styleId="MarginIcons">
    <w:name w:val="Margin Icons"/>
    <w:basedOn w:val="BodyText"/>
    <w:rsid w:val="001012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01289"/>
    <w:rPr>
      <w:rFonts w:ascii="Courier New" w:hAnsi="Courier New"/>
    </w:rPr>
  </w:style>
  <w:style w:type="paragraph" w:customStyle="1" w:styleId="NoteBullet">
    <w:name w:val="Note Bullet"/>
    <w:basedOn w:val="Note"/>
    <w:rsid w:val="00101289"/>
    <w:pPr>
      <w:tabs>
        <w:tab w:val="clear" w:pos="680"/>
      </w:tabs>
      <w:spacing w:before="60" w:after="60"/>
    </w:pPr>
  </w:style>
  <w:style w:type="paragraph" w:customStyle="1" w:styleId="SubHeading2">
    <w:name w:val="SubHeading2"/>
    <w:basedOn w:val="HeadingBase"/>
    <w:rsid w:val="00101289"/>
    <w:pPr>
      <w:spacing w:before="240" w:after="60"/>
    </w:pPr>
    <w:rPr>
      <w:sz w:val="20"/>
    </w:rPr>
  </w:style>
  <w:style w:type="paragraph" w:customStyle="1" w:styleId="SubHeading1">
    <w:name w:val="SubHeading1"/>
    <w:basedOn w:val="HeadingBase"/>
    <w:rsid w:val="00101289"/>
    <w:pPr>
      <w:spacing w:before="240" w:after="60"/>
    </w:pPr>
    <w:rPr>
      <w:color w:val="918585"/>
      <w:sz w:val="22"/>
    </w:rPr>
  </w:style>
  <w:style w:type="paragraph" w:customStyle="1" w:styleId="SideHeading">
    <w:name w:val="Side Heading"/>
    <w:basedOn w:val="HeadingBase"/>
    <w:rsid w:val="001012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1289"/>
    <w:pPr>
      <w:numPr>
        <w:numId w:val="10"/>
      </w:numPr>
    </w:pPr>
  </w:style>
  <w:style w:type="paragraph" w:styleId="PlainText">
    <w:name w:val="Plain Text"/>
    <w:basedOn w:val="Normal"/>
    <w:link w:val="PlainTextChar"/>
    <w:rsid w:val="00101289"/>
    <w:rPr>
      <w:sz w:val="20"/>
    </w:rPr>
  </w:style>
  <w:style w:type="character" w:customStyle="1" w:styleId="PlainTextChar">
    <w:name w:val="Plain Text Char"/>
    <w:basedOn w:val="DefaultParagraphFont"/>
    <w:link w:val="PlainText"/>
    <w:rsid w:val="001012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101289"/>
    <w:rPr>
      <w:b/>
      <w:smallCaps/>
    </w:rPr>
  </w:style>
  <w:style w:type="paragraph" w:customStyle="1" w:styleId="TableListNumber">
    <w:name w:val="Table List Number"/>
    <w:basedOn w:val="ListNumber"/>
    <w:rsid w:val="00101289"/>
    <w:pPr>
      <w:numPr>
        <w:numId w:val="0"/>
      </w:numPr>
    </w:pPr>
  </w:style>
  <w:style w:type="paragraph" w:styleId="TOC4">
    <w:name w:val="toc 4"/>
    <w:basedOn w:val="TOCBase"/>
    <w:next w:val="Normal"/>
    <w:semiHidden/>
    <w:rsid w:val="00101289"/>
    <w:pPr>
      <w:tabs>
        <w:tab w:val="right" w:leader="dot" w:pos="9071"/>
      </w:tabs>
      <w:ind w:left="1701"/>
    </w:pPr>
  </w:style>
  <w:style w:type="paragraph" w:customStyle="1" w:styleId="ListAlpha">
    <w:name w:val="List Alpha"/>
    <w:basedOn w:val="List"/>
    <w:rsid w:val="00101289"/>
    <w:pPr>
      <w:numPr>
        <w:numId w:val="7"/>
      </w:numPr>
    </w:pPr>
  </w:style>
  <w:style w:type="paragraph" w:customStyle="1" w:styleId="ListAlpha2">
    <w:name w:val="List Alpha 2"/>
    <w:basedOn w:val="List2"/>
    <w:rsid w:val="00101289"/>
    <w:pPr>
      <w:numPr>
        <w:numId w:val="6"/>
      </w:numPr>
    </w:pPr>
  </w:style>
  <w:style w:type="paragraph" w:styleId="List2">
    <w:name w:val="List 2"/>
    <w:basedOn w:val="BodyText"/>
    <w:rsid w:val="00101289"/>
    <w:pPr>
      <w:tabs>
        <w:tab w:val="left" w:pos="680"/>
      </w:tabs>
      <w:spacing w:before="60" w:after="60"/>
      <w:ind w:left="680" w:hanging="340"/>
    </w:pPr>
  </w:style>
  <w:style w:type="paragraph" w:styleId="List3">
    <w:name w:val="List 3"/>
    <w:basedOn w:val="BodyText"/>
    <w:rsid w:val="00101289"/>
    <w:pPr>
      <w:tabs>
        <w:tab w:val="left" w:pos="1021"/>
      </w:tabs>
      <w:spacing w:before="60" w:after="60"/>
      <w:ind w:left="1020" w:hanging="340"/>
    </w:pPr>
  </w:style>
  <w:style w:type="paragraph" w:styleId="List4">
    <w:name w:val="List 4"/>
    <w:basedOn w:val="BodyText"/>
    <w:rsid w:val="00101289"/>
    <w:pPr>
      <w:tabs>
        <w:tab w:val="left" w:pos="1361"/>
      </w:tabs>
      <w:spacing w:before="60" w:after="60"/>
      <w:ind w:left="1361" w:hanging="340"/>
    </w:pPr>
  </w:style>
  <w:style w:type="paragraph" w:styleId="List5">
    <w:name w:val="List 5"/>
    <w:basedOn w:val="BodyText"/>
    <w:rsid w:val="00101289"/>
    <w:pPr>
      <w:tabs>
        <w:tab w:val="left" w:pos="1701"/>
      </w:tabs>
      <w:spacing w:before="60" w:after="60"/>
      <w:ind w:left="1701" w:hanging="340"/>
    </w:pPr>
  </w:style>
  <w:style w:type="paragraph" w:styleId="ListBullet3">
    <w:name w:val="List Bullet 3"/>
    <w:basedOn w:val="List3"/>
    <w:rsid w:val="00101289"/>
    <w:pPr>
      <w:numPr>
        <w:numId w:val="13"/>
      </w:numPr>
      <w:tabs>
        <w:tab w:val="clear" w:pos="1021"/>
      </w:tabs>
      <w:ind w:left="1037" w:hanging="357"/>
    </w:pPr>
  </w:style>
  <w:style w:type="paragraph" w:styleId="ListBullet4">
    <w:name w:val="List Bullet 4"/>
    <w:basedOn w:val="List4"/>
    <w:rsid w:val="00101289"/>
    <w:pPr>
      <w:numPr>
        <w:numId w:val="1"/>
      </w:numPr>
    </w:pPr>
  </w:style>
  <w:style w:type="paragraph" w:styleId="ListBullet5">
    <w:name w:val="List Bullet 5"/>
    <w:basedOn w:val="List5"/>
    <w:rsid w:val="00101289"/>
    <w:pPr>
      <w:numPr>
        <w:numId w:val="2"/>
      </w:numPr>
    </w:pPr>
  </w:style>
  <w:style w:type="paragraph" w:styleId="ListContinue2">
    <w:name w:val="List Continue 2"/>
    <w:basedOn w:val="List2"/>
    <w:rsid w:val="00101289"/>
    <w:pPr>
      <w:ind w:firstLine="0"/>
    </w:pPr>
  </w:style>
  <w:style w:type="paragraph" w:styleId="ListContinue3">
    <w:name w:val="List Continue 3"/>
    <w:basedOn w:val="List3"/>
    <w:rsid w:val="00101289"/>
    <w:pPr>
      <w:ind w:left="1021" w:firstLine="0"/>
    </w:pPr>
  </w:style>
  <w:style w:type="paragraph" w:styleId="ListContinue4">
    <w:name w:val="List Continue 4"/>
    <w:basedOn w:val="List4"/>
    <w:rsid w:val="00101289"/>
    <w:pPr>
      <w:ind w:firstLine="0"/>
    </w:pPr>
  </w:style>
  <w:style w:type="paragraph" w:styleId="ListContinue5">
    <w:name w:val="List Continue 5"/>
    <w:basedOn w:val="List5"/>
    <w:rsid w:val="00101289"/>
    <w:pPr>
      <w:ind w:firstLine="0"/>
    </w:pPr>
  </w:style>
  <w:style w:type="paragraph" w:styleId="ListNumber3">
    <w:name w:val="List Number 3"/>
    <w:basedOn w:val="List3"/>
    <w:rsid w:val="00101289"/>
    <w:pPr>
      <w:numPr>
        <w:numId w:val="3"/>
      </w:numPr>
    </w:pPr>
  </w:style>
  <w:style w:type="paragraph" w:styleId="ListNumber4">
    <w:name w:val="List Number 4"/>
    <w:basedOn w:val="List4"/>
    <w:rsid w:val="00101289"/>
    <w:pPr>
      <w:numPr>
        <w:numId w:val="4"/>
      </w:numPr>
    </w:pPr>
  </w:style>
  <w:style w:type="paragraph" w:styleId="ListNumber5">
    <w:name w:val="List Number 5"/>
    <w:basedOn w:val="List5"/>
    <w:rsid w:val="00101289"/>
    <w:pPr>
      <w:numPr>
        <w:numId w:val="5"/>
      </w:numPr>
    </w:pPr>
  </w:style>
  <w:style w:type="paragraph" w:styleId="BlockText">
    <w:name w:val="Block Text"/>
    <w:basedOn w:val="Normal"/>
    <w:rsid w:val="00101289"/>
    <w:pPr>
      <w:spacing w:after="120"/>
      <w:ind w:left="1440" w:right="1440"/>
    </w:pPr>
  </w:style>
  <w:style w:type="character" w:customStyle="1" w:styleId="Subscript">
    <w:name w:val="Subscript"/>
    <w:basedOn w:val="DefaultParagraphFont"/>
    <w:rsid w:val="00101289"/>
    <w:rPr>
      <w:sz w:val="16"/>
      <w:vertAlign w:val="subscript"/>
    </w:rPr>
  </w:style>
  <w:style w:type="character" w:customStyle="1" w:styleId="Superscript">
    <w:name w:val="Superscript"/>
    <w:basedOn w:val="DefaultParagraphFont"/>
    <w:rsid w:val="00101289"/>
    <w:rPr>
      <w:sz w:val="16"/>
      <w:vertAlign w:val="superscript"/>
    </w:rPr>
  </w:style>
  <w:style w:type="character" w:customStyle="1" w:styleId="Symbols">
    <w:name w:val="Symbols"/>
    <w:basedOn w:val="DefaultParagraphFont"/>
    <w:rsid w:val="00101289"/>
    <w:rPr>
      <w:rFonts w:ascii="Symbol" w:hAnsi="Symbol"/>
    </w:rPr>
  </w:style>
  <w:style w:type="character" w:customStyle="1" w:styleId="MenuOptions">
    <w:name w:val="Menu Options"/>
    <w:basedOn w:val="DefaultParagraphFont"/>
    <w:rsid w:val="00101289"/>
    <w:rPr>
      <w:rFonts w:ascii="Arial Narrow" w:hAnsi="Arial Narrow"/>
      <w:smallCaps/>
    </w:rPr>
  </w:style>
  <w:style w:type="character" w:customStyle="1" w:styleId="Buttons">
    <w:name w:val="Buttons"/>
    <w:basedOn w:val="DefaultParagraphFont"/>
    <w:rsid w:val="00101289"/>
    <w:rPr>
      <w:b/>
    </w:rPr>
  </w:style>
  <w:style w:type="character" w:customStyle="1" w:styleId="Underlined">
    <w:name w:val="Underlined"/>
    <w:basedOn w:val="DefaultParagraphFont"/>
    <w:rsid w:val="00101289"/>
    <w:rPr>
      <w:u w:val="single"/>
    </w:rPr>
  </w:style>
  <w:style w:type="paragraph" w:customStyle="1" w:styleId="TableBodyTextRight">
    <w:name w:val="Table Body Text Right"/>
    <w:basedOn w:val="TableBodyText"/>
    <w:rsid w:val="00101289"/>
    <w:pPr>
      <w:widowControl w:val="0"/>
      <w:autoSpaceDE w:val="0"/>
      <w:autoSpaceDN w:val="0"/>
      <w:adjustRightInd w:val="0"/>
      <w:jc w:val="right"/>
    </w:pPr>
    <w:rPr>
      <w:rFonts w:cs="Arial"/>
      <w:szCs w:val="18"/>
    </w:rPr>
  </w:style>
  <w:style w:type="paragraph" w:customStyle="1" w:styleId="CopyrightText">
    <w:name w:val="Copyright Text"/>
    <w:basedOn w:val="BodyText"/>
    <w:rsid w:val="00101289"/>
    <w:rPr>
      <w:sz w:val="18"/>
    </w:rPr>
  </w:style>
  <w:style w:type="paragraph" w:customStyle="1" w:styleId="BodySmallRight">
    <w:name w:val="Body Small Right"/>
    <w:basedOn w:val="BodyTextRight"/>
    <w:rsid w:val="00101289"/>
    <w:rPr>
      <w:sz w:val="18"/>
      <w:szCs w:val="18"/>
    </w:rPr>
  </w:style>
  <w:style w:type="paragraph" w:customStyle="1" w:styleId="MarginEdition">
    <w:name w:val="Margin Edition"/>
    <w:basedOn w:val="MarginNote"/>
    <w:rsid w:val="00101289"/>
    <w:pPr>
      <w:spacing w:before="0" w:after="0"/>
    </w:pPr>
    <w:rPr>
      <w:rFonts w:ascii="Times New Roman" w:hAnsi="Times New Roman"/>
      <w:color w:val="999999"/>
    </w:rPr>
  </w:style>
  <w:style w:type="paragraph" w:customStyle="1" w:styleId="Spacer">
    <w:name w:val="Spacer"/>
    <w:basedOn w:val="Normal"/>
    <w:rsid w:val="00101289"/>
    <w:rPr>
      <w:sz w:val="2"/>
      <w:szCs w:val="2"/>
    </w:rPr>
  </w:style>
  <w:style w:type="character" w:customStyle="1" w:styleId="Small">
    <w:name w:val="Small"/>
    <w:basedOn w:val="DefaultParagraphFont"/>
    <w:rsid w:val="00101289"/>
    <w:rPr>
      <w:sz w:val="16"/>
    </w:rPr>
  </w:style>
  <w:style w:type="paragraph" w:customStyle="1" w:styleId="WideTable">
    <w:name w:val="Wide Table"/>
    <w:basedOn w:val="Normal"/>
    <w:rsid w:val="00101289"/>
    <w:pPr>
      <w:ind w:left="-1418"/>
    </w:pPr>
    <w:rPr>
      <w:sz w:val="2"/>
      <w:szCs w:val="2"/>
    </w:rPr>
  </w:style>
  <w:style w:type="character" w:styleId="PageNumber">
    <w:name w:val="page number"/>
    <w:basedOn w:val="DefaultParagraphFont"/>
    <w:rsid w:val="00101289"/>
  </w:style>
  <w:style w:type="paragraph" w:styleId="Quote">
    <w:name w:val="Quote"/>
    <w:basedOn w:val="Heading1"/>
    <w:link w:val="QuoteChar"/>
    <w:qFormat/>
    <w:rsid w:val="00101289"/>
    <w:rPr>
      <w:b w:val="0"/>
      <w:sz w:val="72"/>
      <w:szCs w:val="72"/>
      <w:lang w:val="en-NZ"/>
    </w:rPr>
  </w:style>
  <w:style w:type="character" w:customStyle="1" w:styleId="QuoteChar">
    <w:name w:val="Quote Char"/>
    <w:basedOn w:val="DefaultParagraphFont"/>
    <w:link w:val="Quote"/>
    <w:rsid w:val="001012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1289"/>
    <w:pPr>
      <w:pageBreakBefore/>
    </w:pPr>
  </w:style>
  <w:style w:type="paragraph" w:customStyle="1" w:styleId="Border">
    <w:name w:val="Border"/>
    <w:basedOn w:val="Normal"/>
    <w:qFormat/>
    <w:rsid w:val="001012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01289"/>
    <w:rPr>
      <w:b/>
      <w:bCs/>
      <w:i/>
      <w:iCs/>
      <w:color w:val="auto"/>
    </w:rPr>
  </w:style>
  <w:style w:type="paragraph" w:styleId="IntenseQuote">
    <w:name w:val="Intense Quote"/>
    <w:basedOn w:val="Normal"/>
    <w:next w:val="Normal"/>
    <w:link w:val="IntenseQuoteChar"/>
    <w:uiPriority w:val="30"/>
    <w:qFormat/>
    <w:rsid w:val="001012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012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101289"/>
    <w:rPr>
      <w:smallCaps/>
      <w:color w:val="auto"/>
      <w:u w:val="single"/>
    </w:rPr>
  </w:style>
  <w:style w:type="character" w:styleId="IntenseReference">
    <w:name w:val="Intense Reference"/>
    <w:basedOn w:val="DefaultParagraphFont"/>
    <w:uiPriority w:val="32"/>
    <w:qFormat/>
    <w:rsid w:val="00101289"/>
    <w:rPr>
      <w:b/>
      <w:bCs/>
      <w:smallCaps/>
      <w:color w:val="auto"/>
      <w:spacing w:val="5"/>
      <w:u w:val="single"/>
    </w:rPr>
  </w:style>
  <w:style w:type="paragraph" w:customStyle="1" w:styleId="2ColumnHeading">
    <w:name w:val="2Column Heading"/>
    <w:basedOn w:val="BodyText"/>
    <w:qFormat/>
    <w:rsid w:val="00101289"/>
    <w:pPr>
      <w:spacing w:after="60"/>
      <w:ind w:left="-2268"/>
    </w:pPr>
    <w:rPr>
      <w:b/>
    </w:rPr>
  </w:style>
  <w:style w:type="paragraph" w:customStyle="1" w:styleId="Heading1TOC">
    <w:name w:val="Heading1 TOC"/>
    <w:basedOn w:val="Normal"/>
    <w:qFormat/>
    <w:rsid w:val="00101289"/>
    <w:pPr>
      <w:spacing w:before="240" w:after="120"/>
    </w:pPr>
    <w:rPr>
      <w:rFonts w:ascii="Times New Roman" w:hAnsi="Times New Roman"/>
      <w:b/>
      <w:sz w:val="32"/>
    </w:rPr>
  </w:style>
  <w:style w:type="paragraph" w:customStyle="1" w:styleId="Heading2TOC">
    <w:name w:val="Heading2 TOC"/>
    <w:basedOn w:val="Normal"/>
    <w:qFormat/>
    <w:rsid w:val="00101289"/>
    <w:pPr>
      <w:spacing w:before="240" w:after="60"/>
    </w:pPr>
    <w:rPr>
      <w:rFonts w:ascii="Times New Roman" w:hAnsi="Times New Roman"/>
      <w:b/>
      <w:sz w:val="28"/>
    </w:rPr>
  </w:style>
  <w:style w:type="character" w:customStyle="1" w:styleId="Underline">
    <w:name w:val="Underline"/>
    <w:basedOn w:val="DefaultParagraphFont"/>
    <w:qFormat/>
    <w:rsid w:val="00101289"/>
    <w:rPr>
      <w:u w:val="single"/>
    </w:rPr>
  </w:style>
  <w:style w:type="character" w:customStyle="1" w:styleId="BoldandItalics">
    <w:name w:val="Bold and Italics"/>
    <w:qFormat/>
    <w:rsid w:val="00101289"/>
    <w:rPr>
      <w:b/>
      <w:i/>
      <w:u w:val="none"/>
    </w:rPr>
  </w:style>
  <w:style w:type="paragraph" w:styleId="BalloonText">
    <w:name w:val="Balloon Text"/>
    <w:basedOn w:val="Normal"/>
    <w:link w:val="BalloonTextChar"/>
    <w:rsid w:val="00101289"/>
    <w:rPr>
      <w:rFonts w:ascii="Tahoma" w:hAnsi="Tahoma" w:cs="Tahoma"/>
      <w:sz w:val="16"/>
      <w:szCs w:val="16"/>
    </w:rPr>
  </w:style>
  <w:style w:type="character" w:customStyle="1" w:styleId="BalloonTextChar">
    <w:name w:val="Balloon Text Char"/>
    <w:basedOn w:val="DefaultParagraphFont"/>
    <w:link w:val="BalloonText"/>
    <w:rsid w:val="001012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12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012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2161</Words>
  <Characters>12812</Characters>
  <Application>Microsoft Office Word</Application>
  <DocSecurity>0</DocSecurity>
  <Lines>367</Lines>
  <Paragraphs>194</Paragraphs>
  <ScaleCrop>false</ScaleCrop>
  <Company>Author-it Software Corporation Ltd.</Company>
  <LinksUpToDate>false</LinksUpToDate>
  <CharactersWithSpaces>14792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PMLSAMP302A Receive and prepare samples for testing</dc:title>
  <dc:subject>Approved</dc:subject>
  <dc:creator>Manufacturing Skills Australia</dc:creator>
  <cp:keywords>Release: 1</cp:keywords>
  <dc:description>Copyright © 1996-2007 Author-it Software Corporation Ltd., all rights reserved.</dc:description>
  <cp:lastModifiedBy>Windows User</cp:lastModifiedBy>
  <cp:revision>3</cp:revision>
  <dcterms:created xsi:type="dcterms:W3CDTF">2012-05-26T08:09:00Z</dcterms:created>
  <dcterms:modified xsi:type="dcterms:W3CDTF">2012-05-26T08:09:00Z</dcterms:modified>
</cp:coreProperties>
</file>