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B8B" w:rsidP="00B72B8B">
      <w:pPr>
        <w:pStyle w:val="Title"/>
      </w:pPr>
      <w:r>
        <w:fldChar w:fldCharType="begin"/>
      </w:r>
      <w:r>
        <w:instrText xml:space="preserve"> TITLE   \* MERGEFORMAT </w:instrText>
      </w:r>
      <w:r>
        <w:fldChar w:fldCharType="separate"/>
      </w:r>
      <w:r>
        <w:t>PMLOHS302A Participate in laboratory/field workplace safety</w:t>
      </w:r>
      <w:r>
        <w:fldChar w:fldCharType="end"/>
      </w:r>
    </w:p>
    <w:p w:rsidR="00B72B8B" w:rsidP="00B72B8B">
      <w:pPr>
        <w:pStyle w:val="Version"/>
        <w:sectPr w:rsidSect="00FD4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C66" w:rsidP="00FD4C66">
      <w:pPr>
        <w:pStyle w:val="SuperHeading"/>
      </w:pPr>
      <w:r w:rsidRPr="00FD4C66">
        <w:t>PMLOHS302A Participate in laboratory/field workplace safety</w:t>
      </w:r>
    </w:p>
    <w:p w:rsidR="00000000" w:rsidRPr="00FD4C66" w:rsidP="00FD4C66">
      <w:pPr>
        <w:pStyle w:val="Heading1"/>
      </w:pPr>
      <w:bookmarkStart w:id="1" w:name="O_312125"/>
      <w:bookmarkEnd w:id="1"/>
      <w:r w:rsidRPr="00FD4C66">
        <w:t>Modification History</w:t>
      </w:r>
    </w:p>
    <w:p w:rsidR="00000000" w:rsidRPr="00FD4C66" w:rsidP="00FD4C66">
      <w:pPr>
        <w:pStyle w:val="Heading1"/>
      </w:pPr>
      <w:bookmarkStart w:id="2" w:name="O_312127"/>
      <w:bookmarkEnd w:id="2"/>
      <w:r w:rsidRPr="00FD4C66">
        <w:t>Unit Descriptor</w:t>
      </w:r>
    </w:p>
    <w:p w:rsidR="00000000" w:rsidRPr="00FD4C66" w:rsidP="00FD4C66">
      <w:pPr>
        <w:pStyle w:val="BodyText"/>
      </w:pPr>
      <w:r w:rsidRPr="00FD4C66">
        <w:t>This unit of competency covers the ability to apply enterprise OHS policies and procedures dealing with the ide</w:t>
      </w:r>
      <w:r w:rsidRPr="00FD4C66">
        <w:t>ntification and control of hazards, working safely at all times, emergency response and contributing to the maintenance of workplace safety. It is expected that personnel will be provided with clear directions, information, training and appropriate supervi</w:t>
      </w:r>
      <w:r w:rsidRPr="00FD4C66">
        <w:t xml:space="preserve">sion. Responses are restricted to a first response approach, including the notification of appropriate enterprise personnel. </w:t>
      </w:r>
    </w:p>
    <w:p w:rsidR="00000000" w:rsidRPr="00FD4C66" w:rsidP="00FD4C66">
      <w:pPr>
        <w:pStyle w:val="BodyText"/>
      </w:pPr>
      <w:r w:rsidRPr="00FD4C66">
        <w:t>This unit of competency is based on the Generic Competency A in the National Guidelines for Integrating Occupational Health and Sa</w:t>
      </w:r>
      <w:r w:rsidRPr="00FD4C66">
        <w:t xml:space="preserve">fety into National Industry Competency Standards [NOHSC: 7025 (1998) 2nd Edition]. It is equivalent to </w:t>
      </w:r>
      <w:r w:rsidRPr="00FD4C66">
        <w:rPr>
          <w:rStyle w:val="SpecialBold"/>
        </w:rPr>
        <w:t xml:space="preserve">PMLOHS300A Work safely in accordance with defined policies and procedures </w:t>
      </w:r>
      <w:r w:rsidRPr="00FD4C66">
        <w:t>in PML99.</w:t>
      </w:r>
    </w:p>
    <w:p w:rsidR="00000000" w:rsidRPr="00FD4C66" w:rsidP="00FD4C66">
      <w:pPr>
        <w:pStyle w:val="BodyText"/>
      </w:pPr>
      <w:r w:rsidRPr="00FD4C66">
        <w:t>This unit of competency has no prerequisites.</w:t>
      </w:r>
    </w:p>
    <w:p w:rsidR="00000000" w:rsidRPr="00FD4C66" w:rsidP="00FD4C66">
      <w:pPr>
        <w:pStyle w:val="BodyText"/>
      </w:pPr>
      <w:r w:rsidRPr="00FD4C66">
        <w:t>This unit of competency</w:t>
      </w:r>
      <w:r w:rsidRPr="00FD4C66">
        <w:t xml:space="preserve"> is applicable to all workers in all industry sectors with laboratory/field operations, including induction/entry level, school-based and trainee technicians. Workers with supervisory responsibilities should be assessed against the units </w:t>
      </w:r>
      <w:r w:rsidRPr="00FD4C66">
        <w:rPr>
          <w:rStyle w:val="SpecialBold"/>
        </w:rPr>
        <w:t>PMLOHS400A Maintai</w:t>
      </w:r>
      <w:r w:rsidRPr="00FD4C66">
        <w:rPr>
          <w:rStyle w:val="SpecialBold"/>
        </w:rPr>
        <w:t xml:space="preserve">n laboratory/field enterprise safety </w:t>
      </w:r>
      <w:r w:rsidRPr="00FD4C66">
        <w:t xml:space="preserve">and/or </w:t>
      </w:r>
      <w:r w:rsidRPr="00FD4C66">
        <w:rPr>
          <w:rStyle w:val="SpecialBold"/>
        </w:rPr>
        <w:t>PMLOHS601A Implement and monitor OHS and environmental management systems</w:t>
      </w:r>
      <w:r w:rsidRPr="00FD4C66">
        <w:t>.</w:t>
      </w:r>
    </w:p>
    <w:p w:rsidR="00000000" w:rsidRPr="00FD4C66" w:rsidP="00FD4C66">
      <w:pPr>
        <w:pStyle w:val="BodyText"/>
      </w:pPr>
      <w:r w:rsidRPr="00FD4C66">
        <w:t>Industry representatives have provided case studies to illustrate the practical application of this unit of competency and to show its re</w:t>
      </w:r>
      <w:r w:rsidRPr="00FD4C66">
        <w:t>levance in a workplace setting. These are found at the end of this unit of competency under the section This competency in practice.</w:t>
      </w:r>
    </w:p>
    <w:p w:rsidR="00000000" w:rsidRPr="00FD4C66" w:rsidP="00FD4C66">
      <w:pPr>
        <w:pStyle w:val="AllowPageBreak"/>
      </w:pPr>
    </w:p>
    <w:p w:rsidR="00000000" w:rsidRPr="00FD4C66" w:rsidP="00FD4C66">
      <w:pPr>
        <w:pStyle w:val="Heading1"/>
      </w:pPr>
      <w:bookmarkStart w:id="3" w:name="O_312124"/>
      <w:bookmarkEnd w:id="3"/>
      <w:r w:rsidRPr="00FD4C66">
        <w:t>Application of the Unit</w:t>
      </w:r>
    </w:p>
    <w:p w:rsidR="00000000" w:rsidRPr="00FD4C66" w:rsidP="00FD4C66">
      <w:pPr>
        <w:pStyle w:val="Heading1"/>
      </w:pPr>
      <w:bookmarkStart w:id="4" w:name="O_312123"/>
      <w:bookmarkEnd w:id="4"/>
      <w:r w:rsidRPr="00FD4C66">
        <w:t>Licensing/Regulatory Information</w:t>
      </w:r>
    </w:p>
    <w:p w:rsidR="00000000" w:rsidRPr="00FD4C66" w:rsidP="00FD4C66">
      <w:pPr>
        <w:pStyle w:val="Heading1"/>
      </w:pPr>
      <w:bookmarkStart w:id="5" w:name="O_312122"/>
      <w:bookmarkEnd w:id="5"/>
      <w:r w:rsidRPr="00FD4C66">
        <w:t>Pre-Requisites</w:t>
      </w:r>
    </w:p>
    <w:p w:rsidR="00000000" w:rsidRPr="00FD4C66" w:rsidP="00FD4C66">
      <w:pPr>
        <w:pStyle w:val="Heading1"/>
      </w:pPr>
      <w:bookmarkStart w:id="6" w:name="O_312121"/>
      <w:bookmarkEnd w:id="6"/>
      <w:r w:rsidRPr="00FD4C66">
        <w:t>Employability Skills Information</w:t>
      </w:r>
    </w:p>
    <w:p w:rsidR="00000000" w:rsidRPr="00FD4C66" w:rsidP="00FD4C66">
      <w:pPr>
        <w:pStyle w:val="Heading1"/>
      </w:pPr>
      <w:bookmarkStart w:id="7" w:name="O_312116"/>
      <w:bookmarkEnd w:id="7"/>
      <w:r w:rsidRPr="00FD4C66">
        <w:t>Elements and Performance Criteria Pre-Content</w:t>
      </w:r>
    </w:p>
    <w:p w:rsidR="00000000" w:rsidRPr="00FD4C66" w:rsidP="00FD4C66">
      <w:pPr>
        <w:pStyle w:val="BodyText"/>
      </w:pPr>
      <w:r w:rsidRPr="00FD4C66">
        <w:t>Elements describe the essential outcomes of a unit of competency.</w:t>
      </w:r>
    </w:p>
    <w:p w:rsidR="00000000" w:rsidRPr="00FD4C66" w:rsidP="00FD4C66">
      <w:pPr>
        <w:pStyle w:val="BodyText"/>
      </w:pPr>
      <w:r w:rsidRPr="00FD4C66">
        <w:t>Performance Criteria describe the level of performance required to demonstrate achievement of the element.</w:t>
      </w:r>
    </w:p>
    <w:p w:rsidR="00000000" w:rsidRPr="00FD4C66" w:rsidP="00FD4C66">
      <w:pPr>
        <w:pStyle w:val="AllowPageBreak"/>
      </w:pPr>
    </w:p>
    <w:p w:rsidR="00000000" w:rsidRPr="00FD4C66" w:rsidP="00FD4C66">
      <w:pPr>
        <w:pStyle w:val="Heading1"/>
      </w:pPr>
      <w:bookmarkStart w:id="8" w:name="O_312120"/>
      <w:bookmarkEnd w:id="8"/>
      <w:r w:rsidRPr="00FD4C6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72B8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rPr>
                <w:rStyle w:val="SpecialBold"/>
              </w:rPr>
              <w:t>Elements and Performance Criteria</w:t>
            </w:r>
          </w:p>
        </w:tc>
      </w:tr>
      <w:tr w:rsidTr="00B72B8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D4C66" w:rsidP="00FD4C66">
            <w:pPr>
              <w:pStyle w:val="BodyText"/>
            </w:pPr>
            <w:r w:rsidRPr="00FD4C6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rPr>
                <w:rStyle w:val="SpecialBold"/>
              </w:rPr>
              <w:t>Performance Criteria</w:t>
            </w:r>
          </w:p>
        </w:tc>
      </w:tr>
      <w:tr w:rsidTr="00B72B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1</w:t>
            </w:r>
          </w:p>
        </w:tc>
        <w:tc>
          <w:tcPr>
            <w:tcW w:w="30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Identify, control and report OHS and environmental hazards</w:t>
            </w: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1.1</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Routinely check immediate work area for hazards prior to commencing and during work</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1.2</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Address hazards within area of responsibility</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1.3</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Report hazards and incidents to designated p</w:t>
            </w:r>
            <w:r w:rsidRPr="00FD4C66">
              <w:t>ersonnel according to enterprise policies and procedures</w:t>
            </w:r>
          </w:p>
        </w:tc>
      </w:tr>
      <w:tr w:rsidTr="00B72B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2</w:t>
            </w:r>
          </w:p>
        </w:tc>
        <w:tc>
          <w:tcPr>
            <w:tcW w:w="30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Conduct work safely</w:t>
            </w: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2.1</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Select, fit and use appropriate personal protective clothing and equipment</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2.2</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Follow enterprise procedures when carrying out work tasks</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2.3</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Keep all work areas clean and free from obstacles</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2.4</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Maintain enterprise standards of personal hygiene</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2.5</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Safely store, transport and dispose of hazardous materials and dangerous goods</w:t>
            </w:r>
          </w:p>
        </w:tc>
      </w:tr>
      <w:tr w:rsidTr="00B72B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3</w:t>
            </w:r>
          </w:p>
        </w:tc>
        <w:tc>
          <w:tcPr>
            <w:tcW w:w="30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Follow incident and emergency response procedures</w:t>
            </w: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3.1</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Identi</w:t>
            </w:r>
            <w:r w:rsidRPr="00FD4C66">
              <w:t>fy incident and emergency situations</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3.2</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Report and record incident and emergency situations according to enterprise procedures</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3.3</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Follow incident and emergency procedures as appropriate to the nature of emergency, using emergency equipment according to enterprise procedures</w:t>
            </w:r>
          </w:p>
        </w:tc>
      </w:tr>
      <w:tr w:rsidTr="00B72B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4</w:t>
            </w:r>
          </w:p>
        </w:tc>
        <w:tc>
          <w:tcPr>
            <w:tcW w:w="3000" w:type="dxa"/>
            <w:vMerge w:val="restart"/>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Contribute to OHS in the workplace</w:t>
            </w: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4.1</w:t>
            </w:r>
          </w:p>
        </w:tc>
        <w:tc>
          <w:tcPr>
            <w:tcW w:w="51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Raise OHS and environmental issues with designated personnel in accor</w:t>
            </w:r>
            <w:r w:rsidRPr="00FD4C66">
              <w:t>dance with enterprise procedures and legislated rights and obligations of employees</w:t>
            </w:r>
          </w:p>
        </w:tc>
      </w:tr>
      <w:tr w:rsidTr="00B72B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4.2</w:t>
            </w:r>
          </w:p>
        </w:tc>
        <w:tc>
          <w:tcPr>
            <w:tcW w:w="5100" w:type="dxa"/>
            <w:tcBorders>
              <w:top w:val="nil"/>
              <w:left w:val="nil"/>
              <w:bottom w:val="nil"/>
              <w:right w:val="nil"/>
            </w:tcBorders>
            <w:tcMar>
              <w:top w:w="0" w:type="dxa"/>
              <w:left w:w="62" w:type="dxa"/>
              <w:bottom w:w="0" w:type="dxa"/>
              <w:right w:w="62" w:type="dxa"/>
            </w:tcMar>
          </w:tcPr>
          <w:p w:rsidR="00000000" w:rsidRPr="00FD4C66" w:rsidP="00FD4C66">
            <w:pPr>
              <w:pStyle w:val="BodyText"/>
            </w:pPr>
            <w:r w:rsidRPr="00FD4C66">
              <w:t>Participate in OHS activities within scope of responsibilities.</w:t>
            </w:r>
          </w:p>
        </w:tc>
      </w:tr>
    </w:tbl>
    <w:p w:rsidR="00000000" w:rsidRPr="00FD4C66" w:rsidP="00FD4C66">
      <w:pPr>
        <w:pStyle w:val="BodyText"/>
      </w:pPr>
    </w:p>
    <w:p w:rsidR="00000000" w:rsidRPr="00FD4C66" w:rsidP="00FD4C66">
      <w:pPr>
        <w:pStyle w:val="AllowPageBreak"/>
      </w:pPr>
    </w:p>
    <w:p w:rsidR="00000000" w:rsidRPr="00FD4C66" w:rsidP="00FD4C66">
      <w:pPr>
        <w:pStyle w:val="Heading1"/>
      </w:pPr>
      <w:bookmarkStart w:id="9" w:name="O_312119"/>
      <w:bookmarkEnd w:id="9"/>
      <w:r w:rsidRPr="00FD4C66">
        <w:t>Required Skills and Knowledge</w:t>
      </w:r>
    </w:p>
    <w:p w:rsidR="00000000" w:rsidRPr="00FD4C66" w:rsidP="00FD4C66">
      <w:pPr>
        <w:pStyle w:val="Heading1"/>
      </w:pPr>
      <w:bookmarkStart w:id="10" w:name="O_312118"/>
      <w:bookmarkEnd w:id="10"/>
      <w:r w:rsidRPr="00FD4C66">
        <w:t>Evidence Guide</w:t>
      </w:r>
    </w:p>
    <w:p w:rsidR="00000000" w:rsidRPr="00FD4C66" w:rsidP="00FD4C66">
      <w:pPr>
        <w:pStyle w:val="BodyText"/>
      </w:pPr>
      <w:r w:rsidRPr="00FD4C66">
        <w:t>The Evidence Guide describes the underpinning knowledge and skills that must be demonstrated to prove competence.</w:t>
      </w:r>
    </w:p>
    <w:p w:rsidR="00000000" w:rsidRPr="00FD4C66" w:rsidP="00FD4C66">
      <w:pPr>
        <w:pStyle w:val="BodyText"/>
      </w:pPr>
      <w:r w:rsidRPr="00FD4C66">
        <w:rPr>
          <w:rStyle w:val="SpecialBold"/>
        </w:rPr>
        <w:t>Critical aspects of competency</w:t>
      </w:r>
    </w:p>
    <w:p w:rsidR="00000000" w:rsidRPr="00FD4C66" w:rsidP="00FD4C66">
      <w:pPr>
        <w:pStyle w:val="BodyText"/>
      </w:pPr>
      <w:r w:rsidRPr="00FD4C66">
        <w:t>Competency must be demonstrated in the ability to perform consistently at the required standard. In particular,</w:t>
      </w:r>
      <w:r w:rsidRPr="00FD4C66">
        <w:t xml:space="preserve"> assessors should look to see that the candidate:</w:t>
      </w:r>
    </w:p>
    <w:p w:rsidR="00000000" w:rsidRPr="00FD4C66" w:rsidP="00FD4C66">
      <w:pPr>
        <w:pStyle w:val="BodyText"/>
      </w:pPr>
      <w:r w:rsidRPr="00FD4C66">
        <w:t>demonstrates the ability to recognise potential incidents and take appropriate corrective action</w:t>
      </w:r>
    </w:p>
    <w:p w:rsidR="00000000" w:rsidRPr="00FD4C66" w:rsidP="00FD4C66">
      <w:pPr>
        <w:pStyle w:val="BodyText"/>
      </w:pPr>
      <w:r w:rsidRPr="00FD4C66">
        <w:t>can demonstrate workplace fire drill, incident, first aid and emergency evacuation procedures</w:t>
      </w:r>
    </w:p>
    <w:p w:rsidR="00000000" w:rsidRPr="00FD4C66" w:rsidP="00FD4C66">
      <w:pPr>
        <w:pStyle w:val="BodyText"/>
      </w:pPr>
      <w:r w:rsidRPr="00FD4C66">
        <w:t>follows OHS and environmental policies and procedures for hazard identification and risk control, including the use, storage and maintenance of personal protective equipment</w:t>
      </w:r>
    </w:p>
    <w:p w:rsidR="00000000" w:rsidRPr="00FD4C66" w:rsidP="00FD4C66">
      <w:pPr>
        <w:pStyle w:val="BodyText"/>
      </w:pPr>
      <w:r w:rsidRPr="00FD4C66">
        <w:t xml:space="preserve">follows enterprise instructions and procedures relating to storage, transport and </w:t>
      </w:r>
      <w:r w:rsidRPr="00FD4C66">
        <w:t>disposal of dangerous goods</w:t>
      </w:r>
    </w:p>
    <w:p w:rsidR="00000000" w:rsidRPr="00FD4C66" w:rsidP="00FD4C66">
      <w:pPr>
        <w:pStyle w:val="BodyText"/>
      </w:pPr>
      <w:r w:rsidRPr="00FD4C66">
        <w:t xml:space="preserve">follows instructions designed to ensure the correct labelling of samples and reagents </w:t>
      </w:r>
    </w:p>
    <w:p w:rsidR="00000000" w:rsidRPr="00FD4C66" w:rsidP="00FD4C66">
      <w:pPr>
        <w:pStyle w:val="BodyText"/>
      </w:pPr>
      <w:r w:rsidRPr="00FD4C66">
        <w:t>uses equipment to protect health and safety</w:t>
      </w:r>
    </w:p>
    <w:p w:rsidR="00000000" w:rsidRPr="00FD4C66" w:rsidP="00FD4C66">
      <w:pPr>
        <w:pStyle w:val="BodyText"/>
      </w:pPr>
      <w:r w:rsidRPr="00FD4C66">
        <w:t>communicates health and safety and environmental issues promptly with designated personnel.</w:t>
      </w:r>
    </w:p>
    <w:p w:rsidR="00000000" w:rsidRPr="00FD4C66" w:rsidP="00FD4C66">
      <w:pPr>
        <w:pStyle w:val="BodyText"/>
      </w:pPr>
      <w:r w:rsidRPr="00FD4C66">
        <w:rPr>
          <w:rStyle w:val="SpecialBold"/>
        </w:rPr>
        <w:t>Under</w:t>
      </w:r>
      <w:r w:rsidRPr="00FD4C66">
        <w:rPr>
          <w:rStyle w:val="SpecialBold"/>
        </w:rPr>
        <w:t>pinning knowledge</w:t>
      </w:r>
    </w:p>
    <w:p w:rsidR="00000000" w:rsidRPr="00FD4C66" w:rsidP="00FD4C66">
      <w:pPr>
        <w:pStyle w:val="BodyText"/>
      </w:pPr>
      <w:r w:rsidRPr="00FD4C66">
        <w:t>Competency includes the ability to apply and explain:</w:t>
      </w:r>
    </w:p>
    <w:p w:rsidR="00000000" w:rsidRPr="00FD4C66" w:rsidP="00FD4C66">
      <w:pPr>
        <w:pStyle w:val="BodyText"/>
      </w:pPr>
      <w:r w:rsidRPr="00FD4C66">
        <w:t xml:space="preserve">roles, rights and responsibilities of self and employer </w:t>
      </w:r>
    </w:p>
    <w:p w:rsidR="00000000" w:rsidRPr="00FD4C66" w:rsidP="00FD4C66">
      <w:pPr>
        <w:pStyle w:val="BodyText"/>
      </w:pPr>
      <w:r w:rsidRPr="00FD4C66">
        <w:t>signage, symbols and signals relating to OHS</w:t>
      </w:r>
    </w:p>
    <w:p w:rsidR="00000000" w:rsidRPr="00FD4C66" w:rsidP="00FD4C66">
      <w:pPr>
        <w:pStyle w:val="BodyText"/>
      </w:pPr>
      <w:r w:rsidRPr="00FD4C66">
        <w:t xml:space="preserve">hazards commonly found in own job and work area and standard risk controls </w:t>
      </w:r>
    </w:p>
    <w:p w:rsidR="00000000" w:rsidRPr="00FD4C66" w:rsidP="00FD4C66">
      <w:pPr>
        <w:pStyle w:val="BodyText"/>
      </w:pPr>
      <w:r w:rsidRPr="00FD4C66">
        <w:t>locati</w:t>
      </w:r>
      <w:r w:rsidRPr="00FD4C66">
        <w:t>on and purpose of personal protective equipment and emergency/hazard control equipment in the work area, including first aid facilities and personnel</w:t>
      </w:r>
    </w:p>
    <w:p w:rsidR="00000000" w:rsidRPr="00FD4C66" w:rsidP="00FD4C66">
      <w:pPr>
        <w:pStyle w:val="BodyText"/>
      </w:pPr>
      <w:r w:rsidRPr="00FD4C66">
        <w:t>use, care and storage requirements for personal protective clothing and equipment used</w:t>
      </w:r>
    </w:p>
    <w:p w:rsidR="00000000" w:rsidRPr="00FD4C66" w:rsidP="00FD4C66">
      <w:pPr>
        <w:pStyle w:val="BodyText"/>
      </w:pPr>
      <w:r w:rsidRPr="00FD4C66">
        <w:t xml:space="preserve">location of advice </w:t>
      </w:r>
      <w:r w:rsidRPr="00FD4C66">
        <w:t>and information on OHS issues, including Material Safety Data Sheets (MSDSs)</w:t>
      </w:r>
    </w:p>
    <w:p w:rsidR="00000000" w:rsidRPr="00FD4C66" w:rsidP="00FD4C66">
      <w:pPr>
        <w:pStyle w:val="BodyText"/>
      </w:pPr>
      <w:r w:rsidRPr="00FD4C66">
        <w:t>requirements and procedures for reporting OHS hazards and incidents, including injuries, illness and near misses</w:t>
      </w:r>
    </w:p>
    <w:p w:rsidR="00000000" w:rsidRPr="00FD4C66" w:rsidP="00FD4C66">
      <w:pPr>
        <w:pStyle w:val="BodyText"/>
      </w:pPr>
      <w:r w:rsidRPr="00FD4C66">
        <w:t xml:space="preserve">the processes for raising a health and safety issue or concern </w:t>
      </w:r>
    </w:p>
    <w:p w:rsidR="00000000" w:rsidRPr="00FD4C66" w:rsidP="00FD4C66">
      <w:pPr>
        <w:pStyle w:val="BodyText"/>
      </w:pPr>
      <w:r w:rsidRPr="00FD4C66">
        <w:t>sa</w:t>
      </w:r>
      <w:r w:rsidRPr="00FD4C66">
        <w:t xml:space="preserve">fe work practices, including handling, storage and disposal of hazardous substances and requirements for labelling of hazardous substances </w:t>
      </w:r>
    </w:p>
    <w:p w:rsidR="00000000" w:rsidRPr="00FD4C66" w:rsidP="00FD4C66">
      <w:pPr>
        <w:pStyle w:val="BodyText"/>
      </w:pPr>
      <w:r w:rsidRPr="00FD4C66">
        <w:t>work practices for use of handling equipment and any task-specific manual handling techniques as required by work ro</w:t>
      </w:r>
      <w:r w:rsidRPr="00FD4C66">
        <w:t xml:space="preserve">le, according to enterprise procedures </w:t>
      </w:r>
    </w:p>
    <w:p w:rsidR="00000000" w:rsidRPr="00FD4C66" w:rsidP="00FD4C66">
      <w:pPr>
        <w:pStyle w:val="BodyText"/>
      </w:pPr>
      <w:r w:rsidRPr="00FD4C66">
        <w:t xml:space="preserve">standard operating procedures for equipment used and key safety elements of the procedures. </w:t>
      </w:r>
    </w:p>
    <w:p w:rsidR="00000000" w:rsidRPr="00FD4C66" w:rsidP="00FD4C66">
      <w:pPr>
        <w:pStyle w:val="BodyText"/>
      </w:pPr>
      <w:r w:rsidRPr="00FD4C66">
        <w:t>environmental impacts and effects of interaction with hazards in the work area</w:t>
      </w:r>
    </w:p>
    <w:p w:rsidR="00000000" w:rsidRPr="00FD4C66" w:rsidP="00FD4C66">
      <w:pPr>
        <w:pStyle w:val="BodyText"/>
      </w:pPr>
      <w:r w:rsidRPr="00FD4C66">
        <w:t xml:space="preserve">enterprise procedures and instructions that </w:t>
      </w:r>
      <w:r w:rsidRPr="00FD4C66">
        <w:t>govern personal work, incidents and emergencies</w:t>
      </w:r>
    </w:p>
    <w:p w:rsidR="00000000" w:rsidRPr="00FD4C66" w:rsidP="00FD4C66">
      <w:pPr>
        <w:pStyle w:val="BodyText"/>
      </w:pPr>
      <w:r w:rsidRPr="00FD4C66">
        <w:t>reporting requirements for OHS issues and potentially hazardous situations.</w:t>
      </w:r>
    </w:p>
    <w:p w:rsidR="00000000" w:rsidRPr="00FD4C66" w:rsidP="00FD4C66">
      <w:pPr>
        <w:pStyle w:val="BodyText"/>
      </w:pPr>
      <w:r w:rsidRPr="00FD4C66">
        <w:t>Knowledge is also required of the:</w:t>
      </w:r>
    </w:p>
    <w:p w:rsidR="00000000" w:rsidRPr="00FD4C66" w:rsidP="00FD4C66">
      <w:pPr>
        <w:pStyle w:val="BodyText"/>
      </w:pPr>
      <w:r w:rsidRPr="00FD4C66">
        <w:t>site layout, including emergency exits, location and use of safety alarms, emergency response sys</w:t>
      </w:r>
      <w:r w:rsidRPr="00FD4C66">
        <w:t>tem, procedures and personnel</w:t>
      </w:r>
    </w:p>
    <w:p w:rsidR="00000000" w:rsidRPr="00FD4C66" w:rsidP="00FD4C66">
      <w:pPr>
        <w:pStyle w:val="BodyText"/>
      </w:pPr>
      <w:r w:rsidRPr="00FD4C66">
        <w:t>enterprise OHS and environmental policies and procedures.</w:t>
      </w:r>
    </w:p>
    <w:p w:rsidR="00000000" w:rsidRPr="00FD4C66" w:rsidP="00FD4C66">
      <w:pPr>
        <w:pStyle w:val="BodyText"/>
      </w:pPr>
      <w:r w:rsidRPr="00FD4C66">
        <w:rPr>
          <w:rStyle w:val="SpecialBold"/>
        </w:rPr>
        <w:t>Assessment context and methods</w:t>
      </w:r>
    </w:p>
    <w:p w:rsidR="00000000" w:rsidRPr="00FD4C66" w:rsidP="00FD4C66">
      <w:pPr>
        <w:pStyle w:val="BodyText"/>
      </w:pPr>
      <w:r w:rsidRPr="00FD4C66">
        <w:t>This unit of competency is to be assessed in the workplace or simulated workplace environment. The following assessment methods are sugge</w:t>
      </w:r>
      <w:r w:rsidRPr="00FD4C66">
        <w:t>sted:</w:t>
      </w:r>
    </w:p>
    <w:p w:rsidR="00000000" w:rsidRPr="00FD4C66" w:rsidP="00FD4C66">
      <w:pPr>
        <w:pStyle w:val="BodyText"/>
      </w:pPr>
      <w:r w:rsidRPr="00FD4C66">
        <w:t>observation of the candidate preparing for and undertaking a range of work tasks</w:t>
      </w:r>
    </w:p>
    <w:p w:rsidR="00000000" w:rsidRPr="00FD4C66" w:rsidP="00FD4C66">
      <w:pPr>
        <w:pStyle w:val="BodyText"/>
      </w:pPr>
      <w:r w:rsidRPr="00FD4C66">
        <w:t>written and/or oral questioning to assess underpinning knowledge and likely reactions in hazardous/emergency situations</w:t>
      </w:r>
    </w:p>
    <w:p w:rsidR="00000000" w:rsidRPr="00FD4C66" w:rsidP="00FD4C66">
      <w:pPr>
        <w:pStyle w:val="BodyText"/>
      </w:pPr>
      <w:r w:rsidRPr="00FD4C66">
        <w:t>feedback from peers and supervisors</w:t>
      </w:r>
    </w:p>
    <w:p w:rsidR="00000000" w:rsidRPr="00FD4C66" w:rsidP="00FD4C66">
      <w:pPr>
        <w:pStyle w:val="BodyText"/>
      </w:pPr>
      <w:r w:rsidRPr="00FD4C66">
        <w:t>review of candidate's responses to case studies, scenarios and/or 'what ifs'.</w:t>
      </w:r>
    </w:p>
    <w:p w:rsidR="00000000" w:rsidRPr="00FD4C66" w:rsidP="00FD4C66">
      <w:pPr>
        <w:pStyle w:val="BodyText"/>
      </w:pPr>
      <w:r w:rsidRPr="00FD4C66">
        <w:t>In all cases, practical assessment should be supported by questions to assess underpinning knowledge and those aspects of competency which are difficult to assess directly. Quest</w:t>
      </w:r>
      <w:r w:rsidRPr="00FD4C66">
        <w:t>ioning techniques should suit the language and literacy levels of the candidate.</w:t>
      </w:r>
    </w:p>
    <w:p w:rsidR="00000000" w:rsidRPr="00FD4C66" w:rsidP="00FD4C66">
      <w:pPr>
        <w:pStyle w:val="BodyText"/>
      </w:pPr>
      <w:r w:rsidRPr="00FD4C66">
        <w:rPr>
          <w:rStyle w:val="SpecialBold"/>
        </w:rPr>
        <w:t>Interdependent assessment of unit</w:t>
      </w:r>
    </w:p>
    <w:p w:rsidR="00000000" w:rsidRPr="00FD4C66" w:rsidP="00FD4C66">
      <w:pPr>
        <w:pStyle w:val="BodyText"/>
      </w:pPr>
      <w:r w:rsidRPr="00FD4C66">
        <w:t>This unit of competency may be assessed with any other technical units in the context of the need to perform all work safely.</w:t>
      </w:r>
    </w:p>
    <w:p w:rsidR="00000000" w:rsidRPr="00FD4C66" w:rsidP="00FD4C66">
      <w:pPr>
        <w:pStyle w:val="BodyText"/>
      </w:pPr>
      <w:r w:rsidRPr="00FD4C66">
        <w:rPr>
          <w:rStyle w:val="SpecialBold"/>
        </w:rPr>
        <w:t>Resource implic</w:t>
      </w:r>
      <w:r w:rsidRPr="00FD4C66">
        <w:rPr>
          <w:rStyle w:val="SpecialBold"/>
        </w:rPr>
        <w:t>ations</w:t>
      </w:r>
    </w:p>
    <w:p w:rsidR="00000000" w:rsidRPr="00FD4C66" w:rsidP="00FD4C66">
      <w:pPr>
        <w:pStyle w:val="BodyText"/>
      </w:pPr>
      <w:r w:rsidRPr="00FD4C66">
        <w:t>Resources may include:</w:t>
      </w:r>
    </w:p>
    <w:p w:rsidR="00000000" w:rsidRPr="00FD4C66" w:rsidP="00FD4C66">
      <w:pPr>
        <w:pStyle w:val="BodyText"/>
      </w:pPr>
      <w:r w:rsidRPr="00FD4C66">
        <w:t>laboratory/field work environment, equipment and materials</w:t>
      </w:r>
    </w:p>
    <w:p w:rsidR="00000000" w:rsidRPr="00FD4C66" w:rsidP="00FD4C66">
      <w:pPr>
        <w:pStyle w:val="BodyText"/>
      </w:pPr>
      <w:r w:rsidRPr="00FD4C66">
        <w:t>personal protective equipment</w:t>
      </w:r>
    </w:p>
    <w:p w:rsidR="00000000" w:rsidRPr="00FD4C66" w:rsidP="00FD4C66">
      <w:pPr>
        <w:pStyle w:val="BodyText"/>
      </w:pPr>
      <w:r w:rsidRPr="00FD4C66">
        <w:t>enterprise procedures.</w:t>
      </w:r>
    </w:p>
    <w:p w:rsidR="00000000" w:rsidRPr="00FD4C66" w:rsidP="00FD4C66">
      <w:pPr>
        <w:pStyle w:val="BodyText"/>
      </w:pPr>
      <w:r w:rsidRPr="00FD4C66">
        <w:rPr>
          <w:rStyle w:val="SpecialBold"/>
        </w:rPr>
        <w:t>This competency in practice</w:t>
      </w:r>
    </w:p>
    <w:p w:rsidR="00000000" w:rsidRPr="00FD4C66" w:rsidP="00FD4C66">
      <w:pPr>
        <w:pStyle w:val="BodyText"/>
      </w:pPr>
      <w:r w:rsidRPr="00FD4C66">
        <w:rPr>
          <w:rStyle w:val="SpecialBold"/>
        </w:rPr>
        <w:t>Manufacturing</w:t>
      </w:r>
    </w:p>
    <w:p w:rsidR="00000000" w:rsidRPr="00FD4C66" w:rsidP="00FD4C66">
      <w:pPr>
        <w:pStyle w:val="BodyText"/>
      </w:pPr>
      <w:r w:rsidRPr="00FD4C66">
        <w:t>A laboratory assistant working in a laboratory was asked to produce a pa</w:t>
      </w:r>
      <w:r w:rsidRPr="00FD4C66">
        <w:t>rticular solvent-borne paint. Because of the hazardous nature of the task, the assistant referred to the material safety data sheets (MSDSs) which specified that a particular respirator and gloves be used. The assistant followed the requirements and safely</w:t>
      </w:r>
      <w:r w:rsidRPr="00FD4C66">
        <w:t xml:space="preserve"> prepared the batch of paint.</w:t>
      </w:r>
    </w:p>
    <w:p w:rsidR="00000000" w:rsidRPr="00FD4C66" w:rsidP="00FD4C66">
      <w:pPr>
        <w:pStyle w:val="BodyText"/>
      </w:pPr>
      <w:r w:rsidRPr="00FD4C66">
        <w:rPr>
          <w:rStyle w:val="SpecialBold"/>
        </w:rPr>
        <w:t>Food and beverage processing</w:t>
      </w:r>
    </w:p>
    <w:p w:rsidR="00000000" w:rsidRPr="00FD4C66" w:rsidP="00FD4C66">
      <w:pPr>
        <w:pStyle w:val="BodyText"/>
      </w:pPr>
      <w:r w:rsidRPr="00FD4C66">
        <w:t>One task of a laboratory assistant in a food processing company is the determination of total nitrogen in food samples by the Kjeldahl method. The assay involves digestion of the food with an aliqu</w:t>
      </w:r>
      <w:r w:rsidRPr="00FD4C66">
        <w:t>ot of 30% hydrogen peroxide and several other reagents at more than 400°C. The assistant is familiar with the materials safety data sheets (MSDSs) for hydrogen peroxide and uses this chemical with appropriate caution and personal protective equipment. Smal</w:t>
      </w:r>
      <w:r w:rsidRPr="00FD4C66">
        <w:t>l spills of hydrogen peroxide sometimes occur. The assistant knows to clean these up immediately by liberally diluting the spill with water, mopping it up with a cloth and washing the hydrogen peroxide from the cloth into a sink with copious amounts of wat</w:t>
      </w:r>
      <w:r w:rsidRPr="00FD4C66">
        <w:t>er. This attention to cleanliness is essential to minimise the risk of injury because 30% hydrogen peroxide has the appearance of water. Unlike water, it is corrosive to skin and presents a serious fire or explosion hazard if it should come into contact wi</w:t>
      </w:r>
      <w:r w:rsidRPr="00FD4C66">
        <w:t>th many of the chemicals used in the laboratory.</w:t>
      </w:r>
    </w:p>
    <w:p w:rsidR="00000000" w:rsidRPr="00FD4C66" w:rsidP="00FD4C66">
      <w:pPr>
        <w:pStyle w:val="BodyText"/>
      </w:pPr>
      <w:r w:rsidRPr="00FD4C66">
        <w:rPr>
          <w:rStyle w:val="SpecialBold"/>
        </w:rPr>
        <w:t>Biomedical</w:t>
      </w:r>
    </w:p>
    <w:p w:rsidR="00000000" w:rsidRPr="00FD4C66" w:rsidP="00FD4C66">
      <w:pPr>
        <w:pStyle w:val="BodyText"/>
      </w:pPr>
      <w:r w:rsidRPr="00FD4C66">
        <w:t>After performing and verifying cell counts of plated samples, a technical assistant proceeded to dispose of the waste. The wastes were placed in a biohazard bag. The bag was sealed with a sterilis</w:t>
      </w:r>
      <w:r w:rsidRPr="00FD4C66">
        <w:t>ation indicator sticker that was clearly visible, and placed in the autoclave. The assistant checked the colour of the indicator sticker to ensure that the waste was correctly processed before disposing of the bag in accordance with standard operating proc</w:t>
      </w:r>
      <w:r w:rsidRPr="00FD4C66">
        <w:t>edures.</w:t>
      </w:r>
    </w:p>
    <w:p w:rsidR="00000000" w:rsidRPr="00FD4C66" w:rsidP="00FD4C66">
      <w:pPr>
        <w:pStyle w:val="BodyText"/>
      </w:pPr>
      <w:r w:rsidRPr="00FD4C66">
        <w:rPr>
          <w:rStyle w:val="SpecialBold"/>
        </w:rPr>
        <w:t>Key Competencies</w:t>
      </w:r>
    </w:p>
    <w:p w:rsidR="00000000" w:rsidRPr="00FD4C66" w:rsidP="00FD4C66">
      <w:pPr>
        <w:pStyle w:val="BodyText"/>
      </w:pPr>
      <w:r w:rsidRPr="00FD4C66">
        <w:t>The seven key competencies represent generic skills considered for effective work participation. The bracketed numbering against each of the key competencies indicates the performance level required in this unit. These are stand-al</w:t>
      </w:r>
      <w:r w:rsidRPr="00FD4C66">
        <w:t>one levels and do not correspond to levels in the Australian Qualifications Framework (AQF).</w:t>
      </w:r>
    </w:p>
    <w:p w:rsidR="00000000" w:rsidRPr="00FD4C66" w:rsidP="00FD4C66">
      <w:pPr>
        <w:pStyle w:val="BodyText"/>
      </w:pPr>
      <w:r w:rsidRPr="00FD4C66">
        <w:t>Level (1) represents the competence to undertake tasks effectively</w:t>
      </w:r>
    </w:p>
    <w:p w:rsidR="00000000" w:rsidRPr="00FD4C66" w:rsidP="00FD4C66">
      <w:pPr>
        <w:pStyle w:val="BodyText"/>
      </w:pPr>
      <w:r w:rsidRPr="00FD4C66">
        <w:t>Level (2) represents the competence to manage tasks</w:t>
      </w:r>
    </w:p>
    <w:p w:rsidR="00000000" w:rsidRPr="00FD4C66" w:rsidP="00FD4C66">
      <w:pPr>
        <w:pStyle w:val="BodyText"/>
      </w:pPr>
      <w:r w:rsidRPr="00FD4C66">
        <w:t>Level (3) represents the competence to use c</w:t>
      </w:r>
      <w:r w:rsidRPr="00FD4C66">
        <w:t>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72B8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Solving problems</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Using technology </w:t>
            </w:r>
          </w:p>
        </w:tc>
      </w:tr>
      <w:tr w:rsidTr="00B72B8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Level 1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Level 1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Level 1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Level 1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Level 1 </w:t>
            </w:r>
          </w:p>
        </w:tc>
        <w:tc>
          <w:tcPr>
            <w:tcW w:w="1285" w:type="dxa"/>
            <w:tcBorders>
              <w:top w:val="nil"/>
              <w:left w:val="nil"/>
              <w:bottom w:val="nil"/>
              <w:right w:val="nil"/>
            </w:tcBorders>
            <w:tcMar>
              <w:top w:w="0" w:type="dxa"/>
              <w:left w:w="62" w:type="dxa"/>
              <w:bottom w:w="0" w:type="dxa"/>
              <w:right w:w="62" w:type="dxa"/>
            </w:tcMar>
          </w:tcPr>
          <w:p w:rsidR="00000000" w:rsidP="00FD4C66">
            <w:pPr>
              <w:pStyle w:val="BodyText"/>
              <w:rPr>
                <w:lang w:val="en-NZ"/>
              </w:rPr>
            </w:pPr>
            <w:r w:rsidRPr="00FD4C66">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FD4C66" w:rsidP="00FD4C66">
            <w:pPr>
              <w:pStyle w:val="BodyText"/>
            </w:pPr>
            <w:r w:rsidRPr="00FD4C66">
              <w:t xml:space="preserve">Level 1 </w:t>
            </w:r>
          </w:p>
        </w:tc>
      </w:tr>
    </w:tbl>
    <w:p w:rsidR="00000000" w:rsidRPr="00FD4C66" w:rsidP="00FD4C66">
      <w:pPr>
        <w:pStyle w:val="BodyText"/>
      </w:pPr>
    </w:p>
    <w:p w:rsidR="00000000" w:rsidRPr="00FD4C66" w:rsidP="00FD4C66">
      <w:pPr>
        <w:pStyle w:val="AllowPageBreak"/>
      </w:pPr>
    </w:p>
    <w:p w:rsidR="00000000" w:rsidRPr="00FD4C66" w:rsidP="00FD4C66">
      <w:pPr>
        <w:pStyle w:val="Heading1"/>
      </w:pPr>
      <w:bookmarkStart w:id="11" w:name="O_312117"/>
      <w:bookmarkEnd w:id="11"/>
      <w:r w:rsidRPr="00FD4C66">
        <w:t>Range Statement</w:t>
      </w:r>
    </w:p>
    <w:p w:rsidR="00000000" w:rsidRPr="00FD4C66" w:rsidP="00FD4C66">
      <w:pPr>
        <w:pStyle w:val="BodyText"/>
      </w:pPr>
      <w:r w:rsidRPr="00FD4C66">
        <w:t>The range of variables relates to the unit of competency as a whole. It allows for different work environments and situations that will aff</w:t>
      </w:r>
      <w:r w:rsidRPr="00FD4C66">
        <w:t>ect performance.</w:t>
      </w:r>
    </w:p>
    <w:p w:rsidR="00000000" w:rsidRPr="00FD4C66" w:rsidP="00FD4C66">
      <w:pPr>
        <w:pStyle w:val="BodyText"/>
      </w:pPr>
      <w:r w:rsidRPr="00FD4C66">
        <w:t>Where reference is made to industry Codes of Practice, and/or Australian/international standards, it is expected the latest version will be used.</w:t>
      </w:r>
    </w:p>
    <w:p w:rsidR="00000000" w:rsidRPr="00FD4C66" w:rsidP="00FD4C66">
      <w:pPr>
        <w:pStyle w:val="BodyText"/>
      </w:pPr>
      <w:r w:rsidRPr="00FD4C66">
        <w:t>Personnel work in accordance with work instructions and standard operating procedures which i</w:t>
      </w:r>
      <w:r w:rsidRPr="00FD4C66">
        <w:t>ncorporate all relevant aspects of OHS legislation and the codes, guidelines, regulations and Australian standards applying to environmental hazards and dangerous goods.</w:t>
      </w:r>
    </w:p>
    <w:p w:rsidR="00000000" w:rsidRPr="00FD4C66" w:rsidP="00FD4C66">
      <w:pPr>
        <w:pStyle w:val="BodyText"/>
      </w:pPr>
      <w:r w:rsidRPr="00FD4C66">
        <w:t>OHS legislation is state and territory based and includes general OHS Act and hazard s</w:t>
      </w:r>
      <w:r w:rsidRPr="00FD4C66">
        <w:t>pecific regulations and Codes of Practice especially those relating to environmental hazards and dangerous goods.</w:t>
      </w:r>
    </w:p>
    <w:p w:rsidR="00000000" w:rsidRPr="00FD4C66" w:rsidP="00FD4C66">
      <w:pPr>
        <w:pStyle w:val="BodyText"/>
      </w:pPr>
      <w:r w:rsidRPr="00FD4C66">
        <w:t>Industry standards, codes and guidelines include:</w:t>
      </w:r>
    </w:p>
    <w:p w:rsidR="00000000" w:rsidRPr="00FD4C66" w:rsidP="00FD4C66">
      <w:pPr>
        <w:pStyle w:val="BodyText"/>
      </w:pPr>
      <w:r w:rsidRPr="00FD4C66">
        <w:t>AS 2243 Safety in laboratories</w:t>
      </w:r>
    </w:p>
    <w:p w:rsidR="00000000" w:rsidRPr="00FD4C66" w:rsidP="00FD4C66">
      <w:pPr>
        <w:pStyle w:val="BodyText"/>
      </w:pPr>
      <w:r w:rsidRPr="00FD4C66">
        <w:t xml:space="preserve">AS 2982 Hand washing facilities </w:t>
      </w:r>
    </w:p>
    <w:p w:rsidR="00000000" w:rsidRPr="00FD4C66" w:rsidP="00FD4C66">
      <w:pPr>
        <w:pStyle w:val="BodyText"/>
      </w:pPr>
      <w:r w:rsidRPr="00FD4C66">
        <w:t xml:space="preserve">AS 2243.8 Fume hoods </w:t>
      </w:r>
    </w:p>
    <w:p w:rsidR="00000000" w:rsidRPr="00FD4C66" w:rsidP="00FD4C66">
      <w:pPr>
        <w:pStyle w:val="BodyText"/>
      </w:pPr>
      <w:r w:rsidRPr="00FD4C66">
        <w:t xml:space="preserve">AS 2252 Biological safety cabinets </w:t>
      </w:r>
    </w:p>
    <w:p w:rsidR="00000000" w:rsidRPr="00FD4C66" w:rsidP="00FD4C66">
      <w:pPr>
        <w:pStyle w:val="BodyText"/>
      </w:pPr>
      <w:r w:rsidRPr="00FD4C66">
        <w:t>SAA HB9 Occupational personal protection, and other relevant standards for protective, clothing (for example, AS 2161, AS 2210, AS 1337 and AS 1338)</w:t>
      </w:r>
    </w:p>
    <w:p w:rsidR="00000000" w:rsidRPr="00FD4C66" w:rsidP="00FD4C66">
      <w:pPr>
        <w:pStyle w:val="BodyText"/>
      </w:pPr>
      <w:r w:rsidRPr="00FD4C66">
        <w:t>AS 1678 Emergency procedures guide for hazardous materials</w:t>
      </w:r>
    </w:p>
    <w:p w:rsidR="00000000" w:rsidRPr="00FD4C66" w:rsidP="00FD4C66">
      <w:pPr>
        <w:pStyle w:val="BodyText"/>
      </w:pPr>
      <w:r w:rsidRPr="00FD4C66">
        <w:t>AS 2500 Stor</w:t>
      </w:r>
      <w:r w:rsidRPr="00FD4C66">
        <w:t>age of goods</w:t>
      </w:r>
    </w:p>
    <w:p w:rsidR="00000000" w:rsidRPr="00FD4C66" w:rsidP="00FD4C66">
      <w:pPr>
        <w:pStyle w:val="BodyText"/>
      </w:pPr>
      <w:r w:rsidRPr="00FD4C66">
        <w:t xml:space="preserve">AS 2503 Safety storage and handling of information cards </w:t>
      </w:r>
    </w:p>
    <w:p w:rsidR="00000000" w:rsidRPr="00FD4C66" w:rsidP="00FD4C66">
      <w:pPr>
        <w:pStyle w:val="BodyText"/>
      </w:pPr>
      <w:r w:rsidRPr="00FD4C66">
        <w:t>AS 1940 Storage and handling of flammable and combustible liquids</w:t>
      </w:r>
    </w:p>
    <w:p w:rsidR="00000000" w:rsidRPr="00FD4C66" w:rsidP="00FD4C66">
      <w:pPr>
        <w:pStyle w:val="BodyText"/>
      </w:pPr>
      <w:r w:rsidRPr="00FD4C66">
        <w:t>AS 3780 Storage and handling or corrosive liquids</w:t>
      </w:r>
    </w:p>
    <w:p w:rsidR="00000000" w:rsidRPr="00FD4C66" w:rsidP="00FD4C66">
      <w:pPr>
        <w:pStyle w:val="BodyText"/>
      </w:pPr>
      <w:r w:rsidRPr="00FD4C66">
        <w:t>AS 4452 Storage and handling of toxic substances</w:t>
      </w:r>
    </w:p>
    <w:p w:rsidR="00000000" w:rsidRPr="00FD4C66" w:rsidP="00FD4C66">
      <w:pPr>
        <w:pStyle w:val="BodyText"/>
      </w:pPr>
      <w:r w:rsidRPr="00FD4C66">
        <w:t>standards for the se</w:t>
      </w:r>
      <w:r w:rsidRPr="00FD4C66">
        <w:t>gregation of wastes, such as AS 2243.3 and AS 2243.4</w:t>
      </w:r>
    </w:p>
    <w:p w:rsidR="00000000" w:rsidRPr="00FD4C66" w:rsidP="00FD4C66">
      <w:pPr>
        <w:pStyle w:val="BodyText"/>
      </w:pPr>
      <w:r w:rsidRPr="00FD4C66">
        <w:t>AS/NEC/ISO 14000</w:t>
      </w:r>
    </w:p>
    <w:p w:rsidR="00000000" w:rsidRPr="00FD4C66" w:rsidP="00FD4C66">
      <w:pPr>
        <w:pStyle w:val="BodyText"/>
      </w:pPr>
      <w:r w:rsidRPr="00FD4C66">
        <w:t>Australian Dangerous Goods Code</w:t>
      </w:r>
    </w:p>
    <w:p w:rsidR="00000000" w:rsidRPr="00FD4C66" w:rsidP="00FD4C66">
      <w:pPr>
        <w:pStyle w:val="BodyText"/>
      </w:pPr>
      <w:r w:rsidRPr="00FD4C66">
        <w:t>Australian Code for Transport of Dangerous Goods</w:t>
      </w:r>
    </w:p>
    <w:p w:rsidR="00000000" w:rsidRPr="00FD4C66" w:rsidP="00FD4C66">
      <w:pPr>
        <w:pStyle w:val="BodyText"/>
      </w:pPr>
      <w:r w:rsidRPr="00FD4C66">
        <w:t>guidelines for the operation of classes of laboratories</w:t>
      </w:r>
    </w:p>
    <w:p w:rsidR="00000000" w:rsidRPr="00FD4C66" w:rsidP="00FD4C66">
      <w:pPr>
        <w:pStyle w:val="BodyText"/>
      </w:pPr>
      <w:r w:rsidRPr="00FD4C66">
        <w:t>Australian Quarantine Inspection Service guidelin</w:t>
      </w:r>
      <w:r w:rsidRPr="00FD4C66">
        <w:t>es for the importation of biological products</w:t>
      </w:r>
    </w:p>
    <w:p w:rsidR="00000000" w:rsidRPr="00FD4C66" w:rsidP="00FD4C66">
      <w:pPr>
        <w:pStyle w:val="BodyText"/>
      </w:pPr>
      <w:r w:rsidRPr="00FD4C66">
        <w:t>National Code of Practice for the labelling of workplace substances (NOHSC:2012)</w:t>
      </w:r>
    </w:p>
    <w:p w:rsidR="00000000" w:rsidRPr="00FD4C66" w:rsidP="00FD4C66">
      <w:pPr>
        <w:pStyle w:val="BodyText"/>
      </w:pPr>
      <w:r w:rsidRPr="00FD4C66">
        <w:t>Office of the Gene Technology Regulator (OGTR) guidelines for working with genetically altered organisms.</w:t>
      </w:r>
    </w:p>
    <w:p w:rsidR="00000000" w:rsidRPr="00FD4C66" w:rsidP="00FD4C66">
      <w:pPr>
        <w:pStyle w:val="BodyText"/>
      </w:pPr>
      <w:r w:rsidRPr="00FD4C66">
        <w:t>Routine checks may incl</w:t>
      </w:r>
      <w:r w:rsidRPr="00FD4C66">
        <w:t xml:space="preserve">ude: </w:t>
      </w:r>
    </w:p>
    <w:p w:rsidR="00000000" w:rsidRPr="00FD4C66" w:rsidP="00FD4C66">
      <w:pPr>
        <w:pStyle w:val="BodyText"/>
      </w:pPr>
      <w:r w:rsidRPr="00FD4C66">
        <w:t>general housekeeping checks, such as obstructions which may cause trip hazards</w:t>
      </w:r>
    </w:p>
    <w:p w:rsidR="00000000" w:rsidRPr="00FD4C66" w:rsidP="00FD4C66">
      <w:pPr>
        <w:pStyle w:val="BodyText"/>
      </w:pPr>
      <w:r w:rsidRPr="00FD4C66">
        <w:t>checking of safety equipment, such as eye wash stations</w:t>
      </w:r>
    </w:p>
    <w:p w:rsidR="00000000" w:rsidRPr="00FD4C66" w:rsidP="00FD4C66">
      <w:pPr>
        <w:pStyle w:val="BodyText"/>
      </w:pPr>
      <w:r w:rsidRPr="00FD4C66">
        <w:t>checking reagents and equipment are safe to use</w:t>
      </w:r>
    </w:p>
    <w:p w:rsidR="00000000" w:rsidRPr="00FD4C66" w:rsidP="00FD4C66">
      <w:pPr>
        <w:pStyle w:val="BodyText"/>
      </w:pPr>
      <w:r w:rsidRPr="00FD4C66">
        <w:t>checking availability of emergency equipment</w:t>
      </w:r>
    </w:p>
    <w:p w:rsidR="00000000" w:rsidRPr="00FD4C66" w:rsidP="00FD4C66">
      <w:pPr>
        <w:pStyle w:val="BodyText"/>
      </w:pPr>
      <w:r w:rsidRPr="00FD4C66">
        <w:t>checking functionality</w:t>
      </w:r>
      <w:r w:rsidRPr="00FD4C66">
        <w:t xml:space="preserve"> of personal protective equipment.</w:t>
      </w:r>
    </w:p>
    <w:p w:rsidR="00000000" w:rsidRPr="00FD4C66" w:rsidP="00FD4C66">
      <w:pPr>
        <w:pStyle w:val="BodyText"/>
      </w:pPr>
      <w:r w:rsidRPr="00FD4C66">
        <w:t>A hazard is a source or situation with a potential for harm in terms of human injury or ill health, damage to property, the environment or a combination of these. Physical hazards may be considered to be sources of energy</w:t>
      </w:r>
      <w:r w:rsidRPr="00FD4C66">
        <w:t xml:space="preserve"> that, if not controlled may cause injury or damage. </w:t>
      </w:r>
    </w:p>
    <w:p w:rsidR="00000000" w:rsidRPr="00FD4C66" w:rsidP="00FD4C66">
      <w:pPr>
        <w:pStyle w:val="BodyText"/>
      </w:pPr>
      <w:r w:rsidRPr="00FD4C66">
        <w:t>Hazards may include:</w:t>
      </w:r>
    </w:p>
    <w:p w:rsidR="00000000" w:rsidRPr="00FD4C66" w:rsidP="00FD4C66">
      <w:pPr>
        <w:pStyle w:val="BodyText"/>
      </w:pPr>
      <w:r w:rsidRPr="00FD4C66">
        <w:t>electric shock</w:t>
      </w:r>
    </w:p>
    <w:p w:rsidR="00000000" w:rsidRPr="00FD4C66" w:rsidP="00FD4C66">
      <w:pPr>
        <w:pStyle w:val="BodyText"/>
      </w:pPr>
      <w:r w:rsidRPr="00FD4C66">
        <w:t>microbiological organisms and agents associated with soil, air, water, blood and blood products, human or animal tissue and fluids</w:t>
      </w:r>
    </w:p>
    <w:p w:rsidR="00000000" w:rsidRPr="00FD4C66" w:rsidP="00FD4C66">
      <w:pPr>
        <w:pStyle w:val="BodyText"/>
      </w:pPr>
      <w:r w:rsidRPr="00FD4C66">
        <w:t>solar radiation, dust, noise</w:t>
      </w:r>
    </w:p>
    <w:p w:rsidR="00000000" w:rsidRPr="00FD4C66" w:rsidP="00FD4C66">
      <w:pPr>
        <w:pStyle w:val="BodyText"/>
      </w:pPr>
      <w:r w:rsidRPr="00FD4C66">
        <w:t>chemicals, such as acids, heavy metals, pesticides, hydrocarbons</w:t>
      </w:r>
    </w:p>
    <w:p w:rsidR="00000000" w:rsidRPr="00FD4C66" w:rsidP="00FD4C66">
      <w:pPr>
        <w:pStyle w:val="BodyText"/>
      </w:pPr>
      <w:r w:rsidRPr="00FD4C66">
        <w:t>aerosols from broken centrifuge tubes, pipetting</w:t>
      </w:r>
    </w:p>
    <w:p w:rsidR="00000000" w:rsidRPr="00FD4C66" w:rsidP="00FD4C66">
      <w:pPr>
        <w:pStyle w:val="BodyText"/>
      </w:pPr>
      <w:r w:rsidRPr="00FD4C66">
        <w:t>radiation, such as alpha, beta, gamma, X-ray, neutron</w:t>
      </w:r>
    </w:p>
    <w:p w:rsidR="00000000" w:rsidRPr="00FD4C66" w:rsidP="00FD4C66">
      <w:pPr>
        <w:pStyle w:val="BodyText"/>
      </w:pPr>
      <w:r w:rsidRPr="00FD4C66">
        <w:t>sharps, broken glassware and hand tools</w:t>
      </w:r>
    </w:p>
    <w:p w:rsidR="00000000" w:rsidRPr="00FD4C66" w:rsidP="00FD4C66">
      <w:pPr>
        <w:pStyle w:val="BodyText"/>
      </w:pPr>
      <w:r w:rsidRPr="00FD4C66">
        <w:t>flammable liquids</w:t>
      </w:r>
    </w:p>
    <w:p w:rsidR="00000000" w:rsidRPr="00FD4C66" w:rsidP="00FD4C66">
      <w:pPr>
        <w:pStyle w:val="BodyText"/>
      </w:pPr>
      <w:r w:rsidRPr="00FD4C66">
        <w:t>cryogenics, such as dry ice an</w:t>
      </w:r>
      <w:r w:rsidRPr="00FD4C66">
        <w:t>d liquid nitrogen</w:t>
      </w:r>
    </w:p>
    <w:p w:rsidR="00000000" w:rsidRPr="00FD4C66" w:rsidP="00FD4C66">
      <w:pPr>
        <w:pStyle w:val="BodyText"/>
      </w:pPr>
      <w:r w:rsidRPr="00FD4C66">
        <w:t>fluids under pressure, such as steam, hydrogen in gas liquid chromatography, acetylene in atomic absorption spectrometry</w:t>
      </w:r>
    </w:p>
    <w:p w:rsidR="00000000" w:rsidRPr="00FD4C66" w:rsidP="00FD4C66">
      <w:pPr>
        <w:pStyle w:val="BodyText"/>
      </w:pPr>
      <w:r w:rsidRPr="00FD4C66">
        <w:t>sources of ignition</w:t>
      </w:r>
    </w:p>
    <w:p w:rsidR="00000000" w:rsidRPr="00FD4C66" w:rsidP="00FD4C66">
      <w:pPr>
        <w:pStyle w:val="BodyText"/>
      </w:pPr>
      <w:r w:rsidRPr="00FD4C66">
        <w:t>high temperature ashing processes</w:t>
      </w:r>
    </w:p>
    <w:p w:rsidR="00000000" w:rsidRPr="00FD4C66" w:rsidP="00FD4C66">
      <w:pPr>
        <w:pStyle w:val="BodyText"/>
      </w:pPr>
      <w:r w:rsidRPr="00FD4C66">
        <w:t>disturbance or interruption of services</w:t>
      </w:r>
    </w:p>
    <w:p w:rsidR="00000000" w:rsidRPr="00FD4C66" w:rsidP="00FD4C66">
      <w:pPr>
        <w:pStyle w:val="BodyText"/>
      </w:pPr>
      <w:r w:rsidRPr="00FD4C66">
        <w:t>occupational overuse sy</w:t>
      </w:r>
      <w:r w:rsidRPr="00FD4C66">
        <w:t>ndrome, slips, trips and falls</w:t>
      </w:r>
    </w:p>
    <w:p w:rsidR="00000000" w:rsidRPr="00FD4C66" w:rsidP="00FD4C66">
      <w:pPr>
        <w:pStyle w:val="BodyText"/>
      </w:pPr>
      <w:r w:rsidRPr="00FD4C66">
        <w:t>manual handling, working at heights and in confined spaces</w:t>
      </w:r>
    </w:p>
    <w:p w:rsidR="00000000" w:rsidRPr="00FD4C66" w:rsidP="00FD4C66">
      <w:pPr>
        <w:pStyle w:val="BodyText"/>
      </w:pPr>
      <w:r w:rsidRPr="00FD4C66">
        <w:t>crushing, entanglement, cuts associated with moving machinery or falling objects</w:t>
      </w:r>
    </w:p>
    <w:p w:rsidR="00000000" w:rsidRPr="00FD4C66" w:rsidP="00FD4C66">
      <w:pPr>
        <w:pStyle w:val="BodyText"/>
      </w:pPr>
      <w:r w:rsidRPr="00FD4C66">
        <w:t>pedestrian and vehicular traffic</w:t>
      </w:r>
    </w:p>
    <w:p w:rsidR="00000000" w:rsidRPr="00FD4C66" w:rsidP="00FD4C66">
      <w:pPr>
        <w:pStyle w:val="BodyText"/>
      </w:pPr>
      <w:r w:rsidRPr="00FD4C66">
        <w:t>vehicle and boat handling.</w:t>
      </w:r>
    </w:p>
    <w:p w:rsidR="00000000" w:rsidRPr="00FD4C66" w:rsidP="00FD4C66">
      <w:pPr>
        <w:pStyle w:val="BodyText"/>
      </w:pPr>
      <w:r w:rsidRPr="00FD4C66">
        <w:t>Addressing hazards may in</w:t>
      </w:r>
      <w:r w:rsidRPr="00FD4C66">
        <w:t>clude:</w:t>
      </w:r>
    </w:p>
    <w:p w:rsidR="00000000" w:rsidRPr="00FD4C66" w:rsidP="00FD4C66">
      <w:pPr>
        <w:pStyle w:val="BodyText"/>
      </w:pPr>
      <w:r w:rsidRPr="00FD4C66">
        <w:t>hazard and incident reporting and investigation procedures</w:t>
      </w:r>
    </w:p>
    <w:p w:rsidR="00000000" w:rsidRPr="00FD4C66" w:rsidP="00FD4C66">
      <w:pPr>
        <w:pStyle w:val="BodyText"/>
      </w:pPr>
      <w:r w:rsidRPr="00FD4C66">
        <w:t>elimination</w:t>
      </w:r>
    </w:p>
    <w:p w:rsidR="00000000" w:rsidRPr="00FD4C66" w:rsidP="00FD4C66">
      <w:pPr>
        <w:pStyle w:val="BodyText"/>
      </w:pPr>
      <w:r w:rsidRPr="00FD4C66">
        <w:t>substitution, such as review of nature of substances or processes used</w:t>
      </w:r>
    </w:p>
    <w:p w:rsidR="00000000" w:rsidRPr="00FD4C66" w:rsidP="00FD4C66">
      <w:pPr>
        <w:pStyle w:val="BodyText"/>
      </w:pPr>
      <w:r w:rsidRPr="00FD4C66">
        <w:t>isolation, such as:</w:t>
      </w:r>
    </w:p>
    <w:p w:rsidR="00000000" w:rsidRPr="00FD4C66" w:rsidP="00FD4C66">
      <w:pPr>
        <w:pStyle w:val="BodyText"/>
      </w:pPr>
      <w:r w:rsidRPr="00FD4C66">
        <w:t>use of appropriate equipment, such as biohazard containers, laminar flow cabinets, Clas</w:t>
      </w:r>
      <w:r w:rsidRPr="00FD4C66">
        <w:t>s I, II and III biohazard cabinets</w:t>
      </w:r>
    </w:p>
    <w:p w:rsidR="00000000" w:rsidRPr="00FD4C66" w:rsidP="00FD4C66">
      <w:pPr>
        <w:pStyle w:val="BodyText"/>
      </w:pPr>
      <w:r w:rsidRPr="00FD4C66">
        <w:t>Class PCII, PCIII, and PCIV physical containment laboratories</w:t>
      </w:r>
    </w:p>
    <w:p w:rsidR="00000000" w:rsidRPr="00FD4C66" w:rsidP="00FD4C66">
      <w:pPr>
        <w:pStyle w:val="BodyText"/>
      </w:pPr>
      <w:r w:rsidRPr="00FD4C66">
        <w:t>engineering</w:t>
      </w:r>
    </w:p>
    <w:p w:rsidR="00000000" w:rsidRPr="00FD4C66" w:rsidP="00FD4C66">
      <w:pPr>
        <w:pStyle w:val="BodyText"/>
      </w:pPr>
      <w:r w:rsidRPr="00FD4C66">
        <w:t>administrative procedures, such as:</w:t>
      </w:r>
    </w:p>
    <w:p w:rsidR="00000000" w:rsidRPr="00FD4C66" w:rsidP="00FD4C66">
      <w:pPr>
        <w:pStyle w:val="BodyText"/>
      </w:pPr>
      <w:r w:rsidRPr="00FD4C66">
        <w:t>ensuring access to service shut off points</w:t>
      </w:r>
    </w:p>
    <w:p w:rsidR="00000000" w:rsidRPr="00FD4C66" w:rsidP="00FD4C66">
      <w:pPr>
        <w:pStyle w:val="BodyText"/>
      </w:pPr>
      <w:r w:rsidRPr="00FD4C66">
        <w:t>recognising and observing hazard warnings and safety signs</w:t>
      </w:r>
    </w:p>
    <w:p w:rsidR="00000000" w:rsidRPr="00FD4C66" w:rsidP="00FD4C66">
      <w:pPr>
        <w:pStyle w:val="BodyText"/>
      </w:pPr>
      <w:r w:rsidRPr="00FD4C66">
        <w:t>labelling</w:t>
      </w:r>
      <w:r w:rsidRPr="00FD4C66">
        <w:t xml:space="preserve"> of samples, reagents, aliquoted samples and hazardous materials</w:t>
      </w:r>
    </w:p>
    <w:p w:rsidR="00000000" w:rsidRPr="00FD4C66" w:rsidP="00FD4C66">
      <w:pPr>
        <w:pStyle w:val="BodyText"/>
      </w:pPr>
      <w:r w:rsidRPr="00FD4C66">
        <w:t>handling and storage of all hazardous materials and equipment in accordance with labelling, materials safety data sheets and manufacturer's instructions</w:t>
      </w:r>
    </w:p>
    <w:p w:rsidR="00000000" w:rsidRPr="00FD4C66" w:rsidP="00FD4C66">
      <w:pPr>
        <w:pStyle w:val="BodyText"/>
      </w:pPr>
      <w:r w:rsidRPr="00FD4C66">
        <w:t>identifying and reporting operating pr</w:t>
      </w:r>
      <w:r w:rsidRPr="00FD4C66">
        <w:t>oblems or equipment malfunctions</w:t>
      </w:r>
    </w:p>
    <w:p w:rsidR="00000000" w:rsidRPr="00FD4C66" w:rsidP="00FD4C66">
      <w:pPr>
        <w:pStyle w:val="BodyText"/>
      </w:pPr>
      <w:r w:rsidRPr="00FD4C66">
        <w:t>cleaning and decontaminating equipment and work areas regularly using recommended procedures</w:t>
      </w:r>
    </w:p>
    <w:p w:rsidR="00000000" w:rsidRPr="00FD4C66" w:rsidP="00FD4C66">
      <w:pPr>
        <w:pStyle w:val="BodyText"/>
      </w:pPr>
      <w:r w:rsidRPr="00FD4C66">
        <w:t>applying containment procedures</w:t>
      </w:r>
    </w:p>
    <w:p w:rsidR="00000000" w:rsidRPr="00FD4C66" w:rsidP="00FD4C66">
      <w:pPr>
        <w:pStyle w:val="BodyText"/>
      </w:pPr>
      <w:r w:rsidRPr="00FD4C66">
        <w:t>following established manual handling procedures for tasks involving manual handling</w:t>
      </w:r>
    </w:p>
    <w:p w:rsidR="00000000" w:rsidRPr="00FD4C66" w:rsidP="00FD4C66">
      <w:pPr>
        <w:pStyle w:val="BodyText"/>
      </w:pPr>
      <w:r w:rsidRPr="00FD4C66">
        <w:t>use of appropriate equipment and procedures to avoid personal contamination and contamination of others</w:t>
      </w:r>
    </w:p>
    <w:p w:rsidR="00000000" w:rsidRPr="00FD4C66" w:rsidP="00FD4C66">
      <w:pPr>
        <w:pStyle w:val="BodyText"/>
      </w:pPr>
      <w:r w:rsidRPr="00FD4C66">
        <w:t>following risk control measures to minimise environmental hazards</w:t>
      </w:r>
    </w:p>
    <w:p w:rsidR="00000000" w:rsidRPr="00FD4C66" w:rsidP="00FD4C66">
      <w:pPr>
        <w:pStyle w:val="BodyText"/>
      </w:pPr>
      <w:r w:rsidRPr="00FD4C66">
        <w:t>use of practices which minimise waste</w:t>
      </w:r>
    </w:p>
    <w:p w:rsidR="00000000" w:rsidRPr="00FD4C66" w:rsidP="00FD4C66">
      <w:pPr>
        <w:pStyle w:val="BodyText"/>
      </w:pPr>
      <w:r w:rsidRPr="00FD4C66">
        <w:t>reporting to appropriate personnel of abnormal e</w:t>
      </w:r>
      <w:r w:rsidRPr="00FD4C66">
        <w:t>missions, discharges and airborne contaminants, such as noise, light, solids, liquids, water/waste water, gases, smoke, vapour, fumes, odour and particulates</w:t>
      </w:r>
    </w:p>
    <w:p w:rsidR="00000000" w:rsidRPr="00FD4C66" w:rsidP="00FD4C66">
      <w:pPr>
        <w:pStyle w:val="BodyText"/>
      </w:pPr>
      <w:r w:rsidRPr="00FD4C66">
        <w:t>minimising exposure to radiation, such as lasers, electromagnetic and ultraviolet</w:t>
      </w:r>
    </w:p>
    <w:p w:rsidR="00000000" w:rsidRPr="00FD4C66" w:rsidP="00FD4C66">
      <w:pPr>
        <w:pStyle w:val="BodyText"/>
      </w:pPr>
      <w:r w:rsidRPr="00FD4C66">
        <w:t xml:space="preserve">use of material </w:t>
      </w:r>
      <w:r w:rsidRPr="00FD4C66">
        <w:t>safety data sheets (MSDS)</w:t>
      </w:r>
    </w:p>
    <w:p w:rsidR="00000000" w:rsidRPr="00FD4C66" w:rsidP="00FD4C66">
      <w:pPr>
        <w:pStyle w:val="BodyText"/>
      </w:pPr>
      <w:r w:rsidRPr="00FD4C66">
        <w:t>use of signage, barriers and service isolation tags</w:t>
      </w:r>
    </w:p>
    <w:p w:rsidR="00000000" w:rsidRPr="00FD4C66" w:rsidP="00FD4C66">
      <w:pPr>
        <w:pStyle w:val="BodyText"/>
      </w:pPr>
      <w:r w:rsidRPr="00FD4C66">
        <w:t>use of personal protective equipment, such as hard hats, hearing protection, sunscreen lotion, gloves, safety glasses, goggles, face guards, coveralls, gown, body suits, respirat</w:t>
      </w:r>
      <w:r w:rsidRPr="00FD4C66">
        <w:t>ors and safety boots.</w:t>
      </w:r>
    </w:p>
    <w:p w:rsidR="00000000" w:rsidRPr="00FD4C66" w:rsidP="00FD4C66">
      <w:pPr>
        <w:pStyle w:val="BodyText"/>
      </w:pPr>
      <w:r w:rsidRPr="00FD4C66">
        <w:t xml:space="preserve">Factors, such as inadequate work practices, lack of training or fatigue are not hazards but are conditions that may result in the loss of control of the hazard and cause injury or damage. </w:t>
      </w:r>
    </w:p>
    <w:p w:rsidR="00000000" w:rsidRPr="00FD4C66" w:rsidP="00FD4C66">
      <w:pPr>
        <w:pStyle w:val="BodyText"/>
      </w:pPr>
      <w:r w:rsidRPr="00FD4C66">
        <w:t>Designated personnel may include the laborato</w:t>
      </w:r>
      <w:r w:rsidRPr="00FD4C66">
        <w:t xml:space="preserve">ry manager, supervisor, OHS coordinator and OHS </w:t>
      </w:r>
      <w:r w:rsidRPr="00FD4C66">
        <w:t>representative.</w:t>
      </w:r>
    </w:p>
    <w:p w:rsidR="00000000" w:rsidRPr="00FD4C66" w:rsidP="00FD4C66">
      <w:pPr>
        <w:pStyle w:val="BodyText"/>
      </w:pPr>
      <w:r w:rsidRPr="00FD4C66">
        <w:t>Enterprise policies and procedures may include instructions for:</w:t>
      </w:r>
    </w:p>
    <w:p w:rsidR="00000000" w:rsidRPr="00FD4C66" w:rsidP="00FD4C66">
      <w:pPr>
        <w:pStyle w:val="BodyText"/>
      </w:pPr>
      <w:r w:rsidRPr="00FD4C66">
        <w:t>all OHS specific procedures, such as for hazard and incident reporting, communication, consultation and issue resolution and ri</w:t>
      </w:r>
      <w:r w:rsidRPr="00FD4C66">
        <w:t>sk management</w:t>
      </w:r>
    </w:p>
    <w:p w:rsidR="00000000" w:rsidRPr="00FD4C66" w:rsidP="00FD4C66">
      <w:pPr>
        <w:pStyle w:val="BodyText"/>
      </w:pPr>
      <w:r w:rsidRPr="00FD4C66">
        <w:t xml:space="preserve">controlling known hazards </w:t>
      </w:r>
    </w:p>
    <w:p w:rsidR="00000000" w:rsidRPr="00FD4C66" w:rsidP="00FD4C66">
      <w:pPr>
        <w:pStyle w:val="BodyText"/>
      </w:pPr>
      <w:r w:rsidRPr="00FD4C66">
        <w:t>minimising environmental threats</w:t>
      </w:r>
    </w:p>
    <w:p w:rsidR="00000000" w:rsidRPr="00FD4C66" w:rsidP="00FD4C66">
      <w:pPr>
        <w:pStyle w:val="BodyText"/>
      </w:pPr>
      <w:r w:rsidRPr="00FD4C66">
        <w:t>minimising and disposing of waste</w:t>
      </w:r>
    </w:p>
    <w:p w:rsidR="00000000" w:rsidRPr="00FD4C66" w:rsidP="00FD4C66">
      <w:pPr>
        <w:pStyle w:val="BodyText"/>
      </w:pPr>
      <w:r w:rsidRPr="00FD4C66">
        <w:t>responding to safety, emergency, fire and incidents</w:t>
      </w:r>
    </w:p>
    <w:p w:rsidR="00000000" w:rsidRPr="00FD4C66" w:rsidP="00FD4C66">
      <w:pPr>
        <w:pStyle w:val="BodyText"/>
      </w:pPr>
      <w:r w:rsidRPr="00FD4C66">
        <w:t>selecting/using personal protective clothing and equipment.</w:t>
      </w:r>
    </w:p>
    <w:p w:rsidR="00000000" w:rsidRPr="00FD4C66" w:rsidP="00FD4C66">
      <w:pPr>
        <w:pStyle w:val="BodyText"/>
      </w:pPr>
      <w:r w:rsidRPr="00FD4C66">
        <w:t>An incident is an event that has cau</w:t>
      </w:r>
      <w:r w:rsidRPr="00FD4C66">
        <w:t>se or has the potential for injury, ill-health or damage. Incidents and emergencies may include:</w:t>
      </w:r>
    </w:p>
    <w:p w:rsidR="00000000" w:rsidRPr="00FD4C66" w:rsidP="00FD4C66">
      <w:pPr>
        <w:pStyle w:val="BodyText"/>
      </w:pPr>
      <w:r w:rsidRPr="00FD4C66">
        <w:t>workplace injury and accidents - cutting, stabbing, puncturing, crushing, immersion in water, suffocation, hypothermia, burns, heat stress, animal bites, aller</w:t>
      </w:r>
      <w:r w:rsidRPr="00FD4C66">
        <w:t>gic reactions, assaults</w:t>
      </w:r>
    </w:p>
    <w:p w:rsidR="00000000" w:rsidRPr="00FD4C66" w:rsidP="00FD4C66">
      <w:pPr>
        <w:pStyle w:val="BodyText"/>
      </w:pPr>
      <w:r w:rsidRPr="00FD4C66">
        <w:t>biological, chemical or radioactive spills; fire; bomb threat; security threat; explosion.</w:t>
      </w:r>
    </w:p>
    <w:p w:rsidR="00000000" w:rsidRPr="00FD4C66" w:rsidP="00FD4C66">
      <w:pPr>
        <w:pStyle w:val="BodyText"/>
      </w:pPr>
      <w:r w:rsidRPr="00FD4C66">
        <w:t>Emergency equipment may include first aid equipment, eye wash kit or shower and fire extinguisher.</w:t>
      </w:r>
    </w:p>
    <w:p w:rsidR="00000000" w:rsidRPr="00FD4C66" w:rsidP="00FD4C66">
      <w:pPr>
        <w:pStyle w:val="BodyText"/>
      </w:pPr>
      <w:r w:rsidRPr="00FD4C66">
        <w:t>Participating in OHS activities include:</w:t>
      </w:r>
    </w:p>
    <w:p w:rsidR="00000000" w:rsidRPr="00FD4C66" w:rsidP="00FD4C66">
      <w:pPr>
        <w:pStyle w:val="BodyText"/>
      </w:pPr>
      <w:r w:rsidRPr="00FD4C66">
        <w:t>s</w:t>
      </w:r>
      <w:r w:rsidRPr="00FD4C66">
        <w:t>eeking assistance to clarify obligations and procedures</w:t>
      </w:r>
    </w:p>
    <w:p w:rsidR="00000000" w:rsidRPr="00FD4C66" w:rsidP="00FD4C66">
      <w:pPr>
        <w:pStyle w:val="BodyText"/>
      </w:pPr>
      <w:r w:rsidRPr="00FD4C66">
        <w:t>clarifying work instructions that impact on safety and legal liability.</w:t>
      </w:r>
    </w:p>
    <w:p w:rsidR="00000000" w:rsidRPr="00FD4C66" w:rsidP="00FD4C66">
      <w:pPr>
        <w:pStyle w:val="BodyText"/>
      </w:pPr>
      <w:r w:rsidRPr="00FD4C66">
        <w:t>OHS and environmental issues which may need to be raised by employees with designated personnel may include:</w:t>
      </w:r>
    </w:p>
    <w:p w:rsidR="00000000" w:rsidRPr="00FD4C66" w:rsidP="00FD4C66">
      <w:pPr>
        <w:pStyle w:val="BodyText"/>
      </w:pPr>
      <w:r w:rsidRPr="00FD4C66">
        <w:t>identification of h</w:t>
      </w:r>
      <w:r w:rsidRPr="00FD4C66">
        <w:t>azards not otherwise addressed</w:t>
      </w:r>
    </w:p>
    <w:p w:rsidR="00000000" w:rsidRPr="00FD4C66" w:rsidP="00FD4C66">
      <w:pPr>
        <w:pStyle w:val="BodyText"/>
      </w:pPr>
      <w:r w:rsidRPr="00FD4C66">
        <w:t>assessment of risk and decisions on measures to control risk</w:t>
      </w:r>
    </w:p>
    <w:p w:rsidR="00000000" w:rsidRPr="00FD4C66" w:rsidP="00FD4C66">
      <w:pPr>
        <w:pStyle w:val="BodyText"/>
      </w:pPr>
      <w:r w:rsidRPr="00FD4C66">
        <w:t>risk reduction measures</w:t>
      </w:r>
    </w:p>
    <w:p w:rsidR="00000000" w:rsidRPr="00FD4C66" w:rsidP="00FD4C66">
      <w:pPr>
        <w:pStyle w:val="BodyText"/>
      </w:pPr>
      <w:r w:rsidRPr="00FD4C66">
        <w:t>problems with implementation of controls</w:t>
      </w:r>
    </w:p>
    <w:p w:rsidR="00000000" w:rsidRPr="00FD4C66" w:rsidP="00FD4C66">
      <w:pPr>
        <w:pStyle w:val="BodyText"/>
      </w:pPr>
      <w:r w:rsidRPr="00FD4C66">
        <w:t>problems with recycling, by-product collection and waste disposal</w:t>
      </w:r>
    </w:p>
    <w:p w:rsidR="00000000" w:rsidRPr="00FD4C66" w:rsidP="00FD4C66">
      <w:pPr>
        <w:pStyle w:val="BodyText"/>
      </w:pPr>
      <w:r w:rsidRPr="00FD4C66">
        <w:t>investigation of injury and incidents</w:t>
      </w:r>
    </w:p>
    <w:p w:rsidR="00000000" w:rsidRPr="00FD4C66" w:rsidP="00FD4C66">
      <w:pPr>
        <w:pStyle w:val="BodyText"/>
      </w:pPr>
      <w:r w:rsidRPr="00FD4C66">
        <w:t>clarification of understanding of OHS policies and procedures.</w:t>
      </w:r>
    </w:p>
    <w:p w:rsidR="00000000" w:rsidRPr="00FD4C66" w:rsidP="00FD4C66">
      <w:pPr>
        <w:pStyle w:val="BodyText"/>
      </w:pPr>
      <w:r w:rsidRPr="00FD4C66">
        <w:rPr>
          <w:rStyle w:val="SpecialBold"/>
        </w:rPr>
        <w:t>Health</w:t>
      </w:r>
      <w:r w:rsidRPr="00FD4C66">
        <w:t xml:space="preserve">, </w:t>
      </w:r>
      <w:r w:rsidRPr="00FD4C66">
        <w:rPr>
          <w:rStyle w:val="SpecialBold"/>
        </w:rPr>
        <w:t>safety and environment</w:t>
      </w:r>
    </w:p>
    <w:p w:rsidR="00000000" w:rsidRPr="00FD4C66" w:rsidP="00FD4C66">
      <w:pPr>
        <w:pStyle w:val="BodyText"/>
      </w:pPr>
      <w:r w:rsidRPr="00FD4C66">
        <w:t>All operations to which this unit applies are subject to stringent health, safety and environmental (HSE) requirements, whic</w:t>
      </w:r>
      <w:r w:rsidRPr="00FD4C66">
        <w:t>h may be imposed through State or Federal legislation, and these must not be compromised at any time. Where there is an apparent conflict between performance criteria and HSE requirements, the HSE requirements take precedence.</w:t>
      </w:r>
    </w:p>
    <w:p w:rsidR="00000000" w:rsidRPr="00FD4C66" w:rsidP="00FD4C66">
      <w:pPr>
        <w:pStyle w:val="BodyText"/>
      </w:pPr>
      <w:r w:rsidRPr="00FD4C66">
        <w:t>All operations assume the pot</w:t>
      </w:r>
      <w:r w:rsidRPr="00FD4C66">
        <w:t>entially hazardous nature of samples and require standard precautions to be applied. Users should access and apply current industry understanding of infection control issued by the National Health and Medical Research Council and State and Territory Depart</w:t>
      </w:r>
      <w:r w:rsidRPr="00FD4C66">
        <w:t>ments of Health. All operations are performed in accordance with standard operating procedures.</w:t>
      </w:r>
    </w:p>
    <w:p w:rsidR="00000000" w:rsidRPr="00FD4C66" w:rsidP="00FD4C66">
      <w:pPr>
        <w:pStyle w:val="AllowPageBreak"/>
      </w:pPr>
    </w:p>
    <w:p w:rsidR="00000000" w:rsidRPr="00FD4C66" w:rsidP="00FD4C66">
      <w:pPr>
        <w:pStyle w:val="Heading1"/>
      </w:pPr>
      <w:bookmarkStart w:id="12" w:name="O_312126"/>
      <w:bookmarkEnd w:id="12"/>
      <w:r w:rsidRPr="00FD4C66">
        <w:t>Unit Sector(s)</w:t>
      </w:r>
    </w:p>
    <w:p w:rsidR="00000000" w:rsidRPr="00FD4C66" w:rsidP="00FD4C66"/>
    <w:sectPr w:rsidSect="00FD4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B8B" w:rsidP="00B72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8B" w:rsidP="00FD4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2B8B" w:rsidP="00FD4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2B8B" w:rsidP="00FD4C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B8B" w:rsidP="00B72B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8B" w:rsidP="00FD4C66">
    <w:pPr>
      <w:pStyle w:val="Header"/>
      <w:framePr w:wrap="around"/>
    </w:pPr>
    <w:r>
      <w:fldChar w:fldCharType="begin"/>
    </w:r>
    <w:r>
      <w:instrText xml:space="preserve"> TITLE   \* MERGEFORMAT </w:instrText>
    </w:r>
    <w:r>
      <w:fldChar w:fldCharType="separate"/>
    </w:r>
    <w:r>
      <w:t>PMLOHS302A Participate in laboratory/field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B8B" w:rsidP="00FD4C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C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C66"/>
    <w:pPr>
      <w:spacing w:before="360" w:after="60"/>
      <w:outlineLvl w:val="0"/>
    </w:pPr>
    <w:rPr>
      <w:sz w:val="32"/>
    </w:rPr>
  </w:style>
  <w:style w:type="paragraph" w:styleId="Heading2">
    <w:name w:val="heading 2"/>
    <w:basedOn w:val="HeadingBase"/>
    <w:next w:val="BodyText"/>
    <w:link w:val="Heading2Char"/>
    <w:qFormat/>
    <w:rsid w:val="00FD4C66"/>
    <w:pPr>
      <w:keepLines/>
      <w:spacing w:before="240" w:after="120"/>
      <w:outlineLvl w:val="1"/>
    </w:pPr>
    <w:rPr>
      <w:sz w:val="28"/>
      <w:szCs w:val="40"/>
    </w:rPr>
  </w:style>
  <w:style w:type="paragraph" w:styleId="Heading3">
    <w:name w:val="heading 3"/>
    <w:basedOn w:val="HeadingBase"/>
    <w:next w:val="BodyText"/>
    <w:link w:val="Heading3Char"/>
    <w:qFormat/>
    <w:rsid w:val="00FD4C66"/>
    <w:pPr>
      <w:spacing w:before="180" w:after="120"/>
      <w:outlineLvl w:val="2"/>
    </w:pPr>
    <w:rPr>
      <w:spacing w:val="-10"/>
      <w:kern w:val="32"/>
    </w:rPr>
  </w:style>
  <w:style w:type="paragraph" w:styleId="Heading4">
    <w:name w:val="heading 4"/>
    <w:basedOn w:val="HeadingBase"/>
    <w:next w:val="BodyText"/>
    <w:link w:val="Heading4Char"/>
    <w:qFormat/>
    <w:rsid w:val="00FD4C66"/>
    <w:pPr>
      <w:spacing w:before="160" w:after="120"/>
      <w:outlineLvl w:val="3"/>
    </w:pPr>
    <w:rPr>
      <w:sz w:val="22"/>
    </w:rPr>
  </w:style>
  <w:style w:type="paragraph" w:styleId="Heading5">
    <w:name w:val="heading 5"/>
    <w:basedOn w:val="HeadingBase"/>
    <w:next w:val="Normal"/>
    <w:link w:val="Heading5Char"/>
    <w:qFormat/>
    <w:rsid w:val="00FD4C66"/>
    <w:pPr>
      <w:spacing w:before="80"/>
      <w:outlineLvl w:val="4"/>
    </w:pPr>
    <w:rPr>
      <w:color w:val="918585"/>
      <w:sz w:val="20"/>
    </w:rPr>
  </w:style>
  <w:style w:type="paragraph" w:styleId="Heading6">
    <w:name w:val="heading 6"/>
    <w:basedOn w:val="HeadingBase"/>
    <w:next w:val="Normal"/>
    <w:link w:val="Heading6Char"/>
    <w:qFormat/>
    <w:rsid w:val="00FD4C66"/>
    <w:pPr>
      <w:spacing w:before="60"/>
      <w:outlineLvl w:val="5"/>
    </w:pPr>
    <w:rPr>
      <w:color w:val="918585"/>
      <w:sz w:val="20"/>
    </w:rPr>
  </w:style>
  <w:style w:type="paragraph" w:styleId="Heading7">
    <w:name w:val="heading 7"/>
    <w:basedOn w:val="Normal"/>
    <w:next w:val="Normal"/>
    <w:link w:val="Heading7Char"/>
    <w:qFormat/>
    <w:rsid w:val="00FD4C66"/>
    <w:pPr>
      <w:ind w:left="720"/>
      <w:outlineLvl w:val="6"/>
    </w:pPr>
    <w:rPr>
      <w:i/>
    </w:rPr>
  </w:style>
  <w:style w:type="paragraph" w:styleId="Heading8">
    <w:name w:val="heading 8"/>
    <w:basedOn w:val="Normal"/>
    <w:next w:val="Normal"/>
    <w:link w:val="Heading8Char"/>
    <w:qFormat/>
    <w:rsid w:val="00FD4C66"/>
    <w:pPr>
      <w:ind w:left="720"/>
      <w:outlineLvl w:val="7"/>
    </w:pPr>
    <w:rPr>
      <w:i/>
    </w:rPr>
  </w:style>
  <w:style w:type="paragraph" w:styleId="Heading9">
    <w:name w:val="heading 9"/>
    <w:basedOn w:val="Normal"/>
    <w:next w:val="Normal"/>
    <w:link w:val="Heading9Char"/>
    <w:qFormat/>
    <w:rsid w:val="00FD4C66"/>
    <w:pPr>
      <w:ind w:left="720"/>
      <w:outlineLvl w:val="8"/>
    </w:pPr>
    <w:rPr>
      <w:i/>
    </w:rPr>
  </w:style>
  <w:style w:type="character" w:default="1" w:styleId="DefaultParagraphFont">
    <w:name w:val="Default Paragraph Font"/>
    <w:uiPriority w:val="1"/>
    <w:unhideWhenUsed/>
    <w:rsid w:val="00FD4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C66"/>
  </w:style>
  <w:style w:type="character" w:customStyle="1" w:styleId="Heading1Char">
    <w:name w:val="Heading 1 Char"/>
    <w:basedOn w:val="DefaultParagraphFont"/>
    <w:link w:val="Heading1"/>
    <w:rsid w:val="00FD4C66"/>
    <w:rPr>
      <w:rFonts w:ascii="Times New Roman" w:eastAsia="Times New Roman" w:hAnsi="Times New Roman" w:cs="Times New Roman"/>
      <w:b/>
      <w:sz w:val="32"/>
      <w:szCs w:val="20"/>
      <w:lang w:eastAsia="en-US"/>
    </w:rPr>
  </w:style>
  <w:style w:type="paragraph" w:styleId="BodyText">
    <w:name w:val="Body Text"/>
    <w:basedOn w:val="Normal"/>
    <w:link w:val="BodyTextChar"/>
    <w:rsid w:val="00FD4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C66"/>
    <w:rPr>
      <w:rFonts w:ascii="Times New Roman" w:eastAsia="Times New Roman" w:hAnsi="Times New Roman" w:cs="Times New Roman"/>
      <w:sz w:val="24"/>
      <w:lang w:val="en-US" w:eastAsia="en-US"/>
    </w:rPr>
  </w:style>
  <w:style w:type="paragraph" w:styleId="Footer">
    <w:name w:val="footer"/>
    <w:basedOn w:val="Normal"/>
    <w:link w:val="FooterChar"/>
    <w:rsid w:val="00FD4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C6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D4C66"/>
    <w:rPr>
      <w:b/>
      <w:spacing w:val="0"/>
    </w:rPr>
  </w:style>
  <w:style w:type="paragraph" w:styleId="Header">
    <w:name w:val="header"/>
    <w:basedOn w:val="Normal"/>
    <w:link w:val="HeaderChar"/>
    <w:rsid w:val="00FD4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C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C66"/>
    <w:pPr>
      <w:spacing w:before="240" w:after="120"/>
      <w:outlineLvl w:val="0"/>
    </w:pPr>
    <w:rPr>
      <w:rFonts w:ascii="Times New Roman" w:hAnsi="Times New Roman"/>
      <w:b/>
      <w:sz w:val="28"/>
    </w:rPr>
  </w:style>
  <w:style w:type="paragraph" w:customStyle="1" w:styleId="AllowPageBreak">
    <w:name w:val="AllowPageBreak"/>
    <w:rsid w:val="00FD4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C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C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C66"/>
    <w:rPr>
      <w:rFonts w:ascii="Courier New" w:eastAsia="Times New Roman" w:hAnsi="Courier New" w:cs="Times New Roman"/>
      <w:i/>
      <w:szCs w:val="20"/>
      <w:lang w:val="en-US" w:eastAsia="en-US"/>
    </w:rPr>
  </w:style>
  <w:style w:type="paragraph" w:customStyle="1" w:styleId="HeadingBase">
    <w:name w:val="Heading Base"/>
    <w:rsid w:val="00FD4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C66"/>
    <w:pPr>
      <w:tabs>
        <w:tab w:val="right" w:leader="dot" w:pos="9072"/>
      </w:tabs>
      <w:ind w:left="567"/>
    </w:pPr>
    <w:rPr>
      <w:szCs w:val="22"/>
    </w:rPr>
  </w:style>
  <w:style w:type="paragraph" w:customStyle="1" w:styleId="TOCBase">
    <w:name w:val="TOC Base"/>
    <w:rsid w:val="00FD4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C66"/>
    <w:pPr>
      <w:tabs>
        <w:tab w:val="right" w:leader="dot" w:pos="9072"/>
      </w:tabs>
      <w:spacing w:before="40" w:after="40"/>
      <w:ind w:left="284"/>
    </w:pPr>
    <w:rPr>
      <w:rFonts w:ascii="Times New Roman" w:hAnsi="Times New Roman"/>
    </w:rPr>
  </w:style>
  <w:style w:type="paragraph" w:styleId="TOC1">
    <w:name w:val="toc 1"/>
    <w:basedOn w:val="TOCBase"/>
    <w:next w:val="Normal"/>
    <w:rsid w:val="00FD4C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C66"/>
    <w:pPr>
      <w:spacing w:before="5040"/>
      <w:jc w:val="center"/>
    </w:pPr>
    <w:rPr>
      <w:sz w:val="48"/>
      <w:szCs w:val="72"/>
      <w:lang w:val="en-US"/>
    </w:rPr>
  </w:style>
  <w:style w:type="character" w:customStyle="1" w:styleId="TitleChar">
    <w:name w:val="Title Char"/>
    <w:basedOn w:val="DefaultParagraphFont"/>
    <w:link w:val="Title"/>
    <w:rsid w:val="00FD4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C66"/>
    <w:pPr>
      <w:tabs>
        <w:tab w:val="left" w:pos="3600"/>
        <w:tab w:val="left" w:pos="3958"/>
      </w:tabs>
    </w:pPr>
  </w:style>
  <w:style w:type="paragraph" w:styleId="List">
    <w:name w:val="List"/>
    <w:basedOn w:val="BodyText"/>
    <w:next w:val="BodyText"/>
    <w:rsid w:val="00FD4C66"/>
    <w:pPr>
      <w:tabs>
        <w:tab w:val="left" w:pos="340"/>
      </w:tabs>
      <w:spacing w:before="60" w:after="60"/>
      <w:ind w:left="340" w:hanging="340"/>
    </w:pPr>
  </w:style>
  <w:style w:type="paragraph" w:styleId="ListBullet">
    <w:name w:val="List Bullet"/>
    <w:basedOn w:val="List"/>
    <w:rsid w:val="00FD4C66"/>
    <w:pPr>
      <w:numPr>
        <w:numId w:val="11"/>
      </w:numPr>
      <w:tabs>
        <w:tab w:val="clear" w:pos="340"/>
      </w:tabs>
      <w:spacing w:before="40" w:after="40"/>
    </w:pPr>
  </w:style>
  <w:style w:type="paragraph" w:customStyle="1" w:styleId="Note">
    <w:name w:val="Note"/>
    <w:basedOn w:val="BodyText"/>
    <w:rsid w:val="00FD4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C66"/>
    <w:pPr>
      <w:framePr w:wrap="auto" w:hAnchor="text" w:y="6049"/>
    </w:pPr>
    <w:rPr>
      <w:color w:val="000000"/>
      <w:sz w:val="40"/>
    </w:rPr>
  </w:style>
  <w:style w:type="paragraph" w:customStyle="1" w:styleId="TOCTitle">
    <w:name w:val="TOCTitle"/>
    <w:basedOn w:val="Heading1"/>
    <w:rsid w:val="00FD4C66"/>
    <w:pPr>
      <w:spacing w:after="240"/>
      <w:jc w:val="center"/>
      <w:outlineLvl w:val="9"/>
    </w:pPr>
    <w:rPr>
      <w:caps/>
    </w:rPr>
  </w:style>
  <w:style w:type="paragraph" w:customStyle="1" w:styleId="Version">
    <w:name w:val="Version"/>
    <w:rsid w:val="00FD4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C66"/>
    <w:pPr>
      <w:numPr>
        <w:numId w:val="12"/>
      </w:numPr>
      <w:tabs>
        <w:tab w:val="clear" w:pos="680"/>
      </w:tabs>
    </w:pPr>
  </w:style>
  <w:style w:type="paragraph" w:styleId="Index1">
    <w:name w:val="index 1"/>
    <w:basedOn w:val="Normal"/>
    <w:next w:val="Normal"/>
    <w:semiHidden/>
    <w:rsid w:val="00FD4C66"/>
    <w:pPr>
      <w:keepNext w:val="0"/>
      <w:tabs>
        <w:tab w:val="right" w:pos="4176"/>
      </w:tabs>
      <w:ind w:left="198" w:hanging="198"/>
    </w:pPr>
    <w:rPr>
      <w:rFonts w:ascii="Garamond" w:hAnsi="Garamond"/>
    </w:rPr>
  </w:style>
  <w:style w:type="paragraph" w:styleId="IndexHeading">
    <w:name w:val="index heading"/>
    <w:basedOn w:val="Normal"/>
    <w:next w:val="Index1"/>
    <w:semiHidden/>
    <w:rsid w:val="00FD4C66"/>
    <w:pPr>
      <w:spacing w:before="120" w:after="120"/>
    </w:pPr>
    <w:rPr>
      <w:rFonts w:ascii="Arial" w:hAnsi="Arial"/>
      <w:b/>
      <w:color w:val="918585"/>
      <w:sz w:val="24"/>
    </w:rPr>
  </w:style>
  <w:style w:type="paragraph" w:customStyle="1" w:styleId="Chapter">
    <w:name w:val="Chapter"/>
    <w:basedOn w:val="Normal"/>
    <w:rsid w:val="00FD4C66"/>
    <w:pPr>
      <w:spacing w:before="240"/>
    </w:pPr>
    <w:rPr>
      <w:rFonts w:ascii="Times New Roman" w:hAnsi="Times New Roman"/>
      <w:smallCaps/>
      <w:spacing w:val="80"/>
      <w:sz w:val="28"/>
    </w:rPr>
  </w:style>
  <w:style w:type="paragraph" w:customStyle="1" w:styleId="InChapter">
    <w:name w:val="InChapter"/>
    <w:basedOn w:val="Heading3"/>
    <w:rsid w:val="00FD4C66"/>
    <w:pPr>
      <w:spacing w:after="240"/>
      <w:outlineLvl w:val="9"/>
    </w:pPr>
    <w:rPr>
      <w:noProof/>
    </w:rPr>
  </w:style>
  <w:style w:type="paragraph" w:styleId="Index2">
    <w:name w:val="index 2"/>
    <w:basedOn w:val="Normal"/>
    <w:next w:val="Normal"/>
    <w:semiHidden/>
    <w:rsid w:val="00FD4C66"/>
    <w:pPr>
      <w:tabs>
        <w:tab w:val="right" w:pos="4176"/>
      </w:tabs>
      <w:ind w:left="568" w:hanging="284"/>
    </w:pPr>
    <w:rPr>
      <w:rFonts w:ascii="Garamond" w:hAnsi="Garamond"/>
    </w:rPr>
  </w:style>
  <w:style w:type="paragraph" w:customStyle="1" w:styleId="Byline">
    <w:name w:val="Byline"/>
    <w:rsid w:val="00FD4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C66"/>
    <w:pPr>
      <w:tabs>
        <w:tab w:val="clear" w:pos="3600"/>
        <w:tab w:val="clear" w:pos="3958"/>
      </w:tabs>
      <w:jc w:val="right"/>
    </w:pPr>
  </w:style>
  <w:style w:type="character" w:styleId="Emphasis">
    <w:name w:val="Emphasis"/>
    <w:basedOn w:val="DefaultParagraphFont"/>
    <w:qFormat/>
    <w:rsid w:val="00FD4C66"/>
    <w:rPr>
      <w:i/>
    </w:rPr>
  </w:style>
  <w:style w:type="paragraph" w:styleId="Caption">
    <w:name w:val="caption"/>
    <w:basedOn w:val="BodyText"/>
    <w:next w:val="Normal"/>
    <w:qFormat/>
    <w:rsid w:val="00FD4C66"/>
    <w:pPr>
      <w:framePr w:w="2268" w:hSpace="181" w:vSpace="181" w:wrap="around" w:vAnchor="text" w:hAnchor="page" w:x="1135" w:y="285" w:anchorLock="1"/>
    </w:pPr>
    <w:rPr>
      <w:i/>
    </w:rPr>
  </w:style>
  <w:style w:type="paragraph" w:customStyle="1" w:styleId="MiniTOCTitle">
    <w:name w:val="MiniTOCTitle"/>
    <w:basedOn w:val="Heading4"/>
    <w:rsid w:val="00FD4C66"/>
    <w:pPr>
      <w:spacing w:before="240"/>
      <w:outlineLvl w:val="9"/>
    </w:pPr>
    <w:rPr>
      <w:noProof/>
      <w:sz w:val="24"/>
    </w:rPr>
  </w:style>
  <w:style w:type="paragraph" w:customStyle="1" w:styleId="MiniTOCItem">
    <w:name w:val="MiniTOCItem"/>
    <w:basedOn w:val="ListBullet"/>
    <w:rsid w:val="00FD4C66"/>
    <w:pPr>
      <w:numPr>
        <w:numId w:val="0"/>
      </w:numPr>
      <w:tabs>
        <w:tab w:val="right" w:leader="dot" w:pos="6521"/>
      </w:tabs>
      <w:spacing w:before="0" w:after="0"/>
    </w:pPr>
  </w:style>
  <w:style w:type="paragraph" w:customStyle="1" w:styleId="TOFTitle">
    <w:name w:val="TOFTitle"/>
    <w:basedOn w:val="TOCTitle"/>
    <w:rsid w:val="00FD4C66"/>
  </w:style>
  <w:style w:type="paragraph" w:styleId="TableofFigures">
    <w:name w:val="table of figures"/>
    <w:basedOn w:val="Normal"/>
    <w:next w:val="Normal"/>
    <w:semiHidden/>
    <w:rsid w:val="00FD4C66"/>
    <w:pPr>
      <w:tabs>
        <w:tab w:val="right" w:leader="dot" w:pos="9072"/>
      </w:tabs>
      <w:ind w:left="970" w:hanging="403"/>
    </w:pPr>
    <w:rPr>
      <w:rFonts w:ascii="Times New Roman" w:hAnsi="Times New Roman"/>
      <w:b/>
    </w:rPr>
  </w:style>
  <w:style w:type="paragraph" w:styleId="ListNumber">
    <w:name w:val="List Number"/>
    <w:basedOn w:val="List"/>
    <w:rsid w:val="00FD4C66"/>
    <w:pPr>
      <w:numPr>
        <w:numId w:val="9"/>
      </w:numPr>
    </w:pPr>
  </w:style>
  <w:style w:type="character" w:customStyle="1" w:styleId="WingdingSymbols">
    <w:name w:val="Wingding Symbols"/>
    <w:rsid w:val="00FD4C66"/>
    <w:rPr>
      <w:rFonts w:ascii="Wingdings" w:hAnsi="Wingdings"/>
    </w:rPr>
  </w:style>
  <w:style w:type="paragraph" w:customStyle="1" w:styleId="TableHeading">
    <w:name w:val="Table Heading"/>
    <w:basedOn w:val="HeadingBase"/>
    <w:rsid w:val="00FD4C66"/>
    <w:pPr>
      <w:keepLines/>
      <w:pBdr>
        <w:bottom w:val="single" w:sz="6" w:space="1" w:color="918585"/>
      </w:pBdr>
      <w:spacing w:before="240"/>
    </w:pPr>
  </w:style>
  <w:style w:type="character" w:customStyle="1" w:styleId="HotSpot">
    <w:name w:val="HotSpot"/>
    <w:rsid w:val="00FD4C66"/>
    <w:rPr>
      <w:color w:val="0033CC"/>
      <w:u w:val="none"/>
    </w:rPr>
  </w:style>
  <w:style w:type="paragraph" w:customStyle="1" w:styleId="BodyTextRight">
    <w:name w:val="Body Text Right"/>
    <w:basedOn w:val="BodyText"/>
    <w:rsid w:val="00FD4C66"/>
    <w:pPr>
      <w:spacing w:before="0" w:after="0"/>
      <w:jc w:val="right"/>
    </w:pPr>
  </w:style>
  <w:style w:type="paragraph" w:styleId="Index3">
    <w:name w:val="index 3"/>
    <w:basedOn w:val="ListNumber2"/>
    <w:next w:val="Normal"/>
    <w:semiHidden/>
    <w:rsid w:val="00FD4C66"/>
    <w:pPr>
      <w:numPr>
        <w:numId w:val="0"/>
      </w:numPr>
      <w:tabs>
        <w:tab w:val="right" w:leader="dot" w:pos="4176"/>
      </w:tabs>
    </w:pPr>
  </w:style>
  <w:style w:type="paragraph" w:styleId="ListNumber2">
    <w:name w:val="List Number 2"/>
    <w:basedOn w:val="List2"/>
    <w:rsid w:val="00FD4C66"/>
    <w:pPr>
      <w:numPr>
        <w:numId w:val="8"/>
      </w:numPr>
      <w:tabs>
        <w:tab w:val="clear" w:pos="1060"/>
      </w:tabs>
    </w:pPr>
  </w:style>
  <w:style w:type="paragraph" w:customStyle="1" w:styleId="MarginNote">
    <w:name w:val="Margin Note"/>
    <w:basedOn w:val="BodyText"/>
    <w:rsid w:val="00FD4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C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C66"/>
    <w:rPr>
      <w:sz w:val="32"/>
    </w:rPr>
  </w:style>
  <w:style w:type="paragraph" w:customStyle="1" w:styleId="HeadingProcedure">
    <w:name w:val="Heading Procedure"/>
    <w:basedOn w:val="HeadingBase"/>
    <w:next w:val="Normal"/>
    <w:rsid w:val="00FD4C66"/>
    <w:pPr>
      <w:tabs>
        <w:tab w:val="left" w:pos="0"/>
      </w:tabs>
      <w:spacing w:before="120" w:after="60"/>
    </w:pPr>
    <w:rPr>
      <w:i/>
      <w:color w:val="918585"/>
      <w:sz w:val="22"/>
    </w:rPr>
  </w:style>
  <w:style w:type="paragraph" w:customStyle="1" w:styleId="TableBodyText">
    <w:name w:val="Table Body Text"/>
    <w:basedOn w:val="BodyText"/>
    <w:rsid w:val="00FD4C66"/>
    <w:pPr>
      <w:spacing w:before="60" w:after="60"/>
    </w:pPr>
  </w:style>
  <w:style w:type="paragraph" w:styleId="ListContinue">
    <w:name w:val="List Continue"/>
    <w:basedOn w:val="List"/>
    <w:rsid w:val="00FD4C66"/>
    <w:pPr>
      <w:ind w:firstLine="0"/>
    </w:pPr>
  </w:style>
  <w:style w:type="paragraph" w:customStyle="1" w:styleId="ListNote">
    <w:name w:val="List Note"/>
    <w:basedOn w:val="List"/>
    <w:rsid w:val="00FD4C66"/>
    <w:pPr>
      <w:pBdr>
        <w:top w:val="single" w:sz="6" w:space="2" w:color="918585"/>
        <w:bottom w:val="single" w:sz="6" w:space="2" w:color="918585"/>
      </w:pBdr>
      <w:tabs>
        <w:tab w:val="left" w:pos="1021"/>
      </w:tabs>
      <w:ind w:firstLine="0"/>
    </w:pPr>
  </w:style>
  <w:style w:type="paragraph" w:customStyle="1" w:styleId="Warning">
    <w:name w:val="Warning"/>
    <w:basedOn w:val="BodyText"/>
    <w:rsid w:val="00FD4C66"/>
    <w:pPr>
      <w:shd w:val="clear" w:color="auto" w:fill="D9D9D9"/>
      <w:tabs>
        <w:tab w:val="left" w:pos="992"/>
      </w:tabs>
      <w:ind w:left="119" w:right="119"/>
    </w:pPr>
    <w:rPr>
      <w:sz w:val="20"/>
    </w:rPr>
  </w:style>
  <w:style w:type="paragraph" w:customStyle="1" w:styleId="MarginIcons">
    <w:name w:val="Margin Icons"/>
    <w:basedOn w:val="BodyText"/>
    <w:rsid w:val="00FD4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C66"/>
    <w:rPr>
      <w:rFonts w:ascii="Courier New" w:hAnsi="Courier New"/>
    </w:rPr>
  </w:style>
  <w:style w:type="paragraph" w:customStyle="1" w:styleId="NoteBullet">
    <w:name w:val="Note Bullet"/>
    <w:basedOn w:val="Note"/>
    <w:rsid w:val="00FD4C66"/>
    <w:pPr>
      <w:tabs>
        <w:tab w:val="clear" w:pos="680"/>
      </w:tabs>
      <w:spacing w:before="60" w:after="60"/>
    </w:pPr>
  </w:style>
  <w:style w:type="paragraph" w:customStyle="1" w:styleId="SubHeading2">
    <w:name w:val="SubHeading2"/>
    <w:basedOn w:val="HeadingBase"/>
    <w:rsid w:val="00FD4C66"/>
    <w:pPr>
      <w:spacing w:before="240" w:after="60"/>
    </w:pPr>
    <w:rPr>
      <w:sz w:val="20"/>
    </w:rPr>
  </w:style>
  <w:style w:type="paragraph" w:customStyle="1" w:styleId="SubHeading1">
    <w:name w:val="SubHeading1"/>
    <w:basedOn w:val="HeadingBase"/>
    <w:rsid w:val="00FD4C66"/>
    <w:pPr>
      <w:spacing w:before="240" w:after="60"/>
    </w:pPr>
    <w:rPr>
      <w:color w:val="918585"/>
      <w:sz w:val="22"/>
    </w:rPr>
  </w:style>
  <w:style w:type="paragraph" w:customStyle="1" w:styleId="SideHeading">
    <w:name w:val="Side Heading"/>
    <w:basedOn w:val="HeadingBase"/>
    <w:rsid w:val="00FD4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C66"/>
    <w:pPr>
      <w:numPr>
        <w:numId w:val="10"/>
      </w:numPr>
    </w:pPr>
  </w:style>
  <w:style w:type="paragraph" w:styleId="PlainText">
    <w:name w:val="Plain Text"/>
    <w:basedOn w:val="Normal"/>
    <w:link w:val="PlainTextChar"/>
    <w:rsid w:val="00FD4C66"/>
    <w:rPr>
      <w:sz w:val="20"/>
    </w:rPr>
  </w:style>
  <w:style w:type="character" w:customStyle="1" w:styleId="PlainTextChar">
    <w:name w:val="Plain Text Char"/>
    <w:basedOn w:val="DefaultParagraphFont"/>
    <w:link w:val="PlainText"/>
    <w:rsid w:val="00FD4C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C66"/>
    <w:rPr>
      <w:b/>
      <w:smallCaps/>
    </w:rPr>
  </w:style>
  <w:style w:type="paragraph" w:customStyle="1" w:styleId="TableListNumber">
    <w:name w:val="Table List Number"/>
    <w:basedOn w:val="ListNumber"/>
    <w:rsid w:val="00FD4C66"/>
    <w:pPr>
      <w:numPr>
        <w:numId w:val="0"/>
      </w:numPr>
    </w:pPr>
  </w:style>
  <w:style w:type="paragraph" w:styleId="TOC4">
    <w:name w:val="toc 4"/>
    <w:basedOn w:val="TOCBase"/>
    <w:next w:val="Normal"/>
    <w:semiHidden/>
    <w:rsid w:val="00FD4C66"/>
    <w:pPr>
      <w:tabs>
        <w:tab w:val="right" w:leader="dot" w:pos="9071"/>
      </w:tabs>
      <w:ind w:left="1701"/>
    </w:pPr>
  </w:style>
  <w:style w:type="paragraph" w:customStyle="1" w:styleId="ListAlpha">
    <w:name w:val="List Alpha"/>
    <w:basedOn w:val="List"/>
    <w:rsid w:val="00FD4C66"/>
    <w:pPr>
      <w:numPr>
        <w:numId w:val="7"/>
      </w:numPr>
    </w:pPr>
  </w:style>
  <w:style w:type="paragraph" w:customStyle="1" w:styleId="ListAlpha2">
    <w:name w:val="List Alpha 2"/>
    <w:basedOn w:val="List2"/>
    <w:rsid w:val="00FD4C66"/>
    <w:pPr>
      <w:numPr>
        <w:numId w:val="6"/>
      </w:numPr>
    </w:pPr>
  </w:style>
  <w:style w:type="paragraph" w:styleId="List2">
    <w:name w:val="List 2"/>
    <w:basedOn w:val="BodyText"/>
    <w:rsid w:val="00FD4C66"/>
    <w:pPr>
      <w:tabs>
        <w:tab w:val="left" w:pos="680"/>
      </w:tabs>
      <w:spacing w:before="60" w:after="60"/>
      <w:ind w:left="680" w:hanging="340"/>
    </w:pPr>
  </w:style>
  <w:style w:type="paragraph" w:styleId="List3">
    <w:name w:val="List 3"/>
    <w:basedOn w:val="BodyText"/>
    <w:rsid w:val="00FD4C66"/>
    <w:pPr>
      <w:tabs>
        <w:tab w:val="left" w:pos="1021"/>
      </w:tabs>
      <w:spacing w:before="60" w:after="60"/>
      <w:ind w:left="1020" w:hanging="340"/>
    </w:pPr>
  </w:style>
  <w:style w:type="paragraph" w:styleId="List4">
    <w:name w:val="List 4"/>
    <w:basedOn w:val="BodyText"/>
    <w:rsid w:val="00FD4C66"/>
    <w:pPr>
      <w:tabs>
        <w:tab w:val="left" w:pos="1361"/>
      </w:tabs>
      <w:spacing w:before="60" w:after="60"/>
      <w:ind w:left="1361" w:hanging="340"/>
    </w:pPr>
  </w:style>
  <w:style w:type="paragraph" w:styleId="List5">
    <w:name w:val="List 5"/>
    <w:basedOn w:val="BodyText"/>
    <w:rsid w:val="00FD4C66"/>
    <w:pPr>
      <w:tabs>
        <w:tab w:val="left" w:pos="1701"/>
      </w:tabs>
      <w:spacing w:before="60" w:after="60"/>
      <w:ind w:left="1701" w:hanging="340"/>
    </w:pPr>
  </w:style>
  <w:style w:type="paragraph" w:styleId="ListBullet3">
    <w:name w:val="List Bullet 3"/>
    <w:basedOn w:val="List3"/>
    <w:rsid w:val="00FD4C66"/>
    <w:pPr>
      <w:numPr>
        <w:numId w:val="13"/>
      </w:numPr>
      <w:tabs>
        <w:tab w:val="clear" w:pos="1021"/>
      </w:tabs>
      <w:ind w:left="1037" w:hanging="357"/>
    </w:pPr>
  </w:style>
  <w:style w:type="paragraph" w:styleId="ListBullet4">
    <w:name w:val="List Bullet 4"/>
    <w:basedOn w:val="List4"/>
    <w:rsid w:val="00FD4C66"/>
    <w:pPr>
      <w:numPr>
        <w:numId w:val="1"/>
      </w:numPr>
    </w:pPr>
  </w:style>
  <w:style w:type="paragraph" w:styleId="ListBullet5">
    <w:name w:val="List Bullet 5"/>
    <w:basedOn w:val="List5"/>
    <w:rsid w:val="00FD4C66"/>
    <w:pPr>
      <w:numPr>
        <w:numId w:val="2"/>
      </w:numPr>
    </w:pPr>
  </w:style>
  <w:style w:type="paragraph" w:styleId="ListContinue2">
    <w:name w:val="List Continue 2"/>
    <w:basedOn w:val="List2"/>
    <w:rsid w:val="00FD4C66"/>
    <w:pPr>
      <w:ind w:firstLine="0"/>
    </w:pPr>
  </w:style>
  <w:style w:type="paragraph" w:styleId="ListContinue3">
    <w:name w:val="List Continue 3"/>
    <w:basedOn w:val="List3"/>
    <w:rsid w:val="00FD4C66"/>
    <w:pPr>
      <w:ind w:left="1021" w:firstLine="0"/>
    </w:pPr>
  </w:style>
  <w:style w:type="paragraph" w:styleId="ListContinue4">
    <w:name w:val="List Continue 4"/>
    <w:basedOn w:val="List4"/>
    <w:rsid w:val="00FD4C66"/>
    <w:pPr>
      <w:ind w:firstLine="0"/>
    </w:pPr>
  </w:style>
  <w:style w:type="paragraph" w:styleId="ListContinue5">
    <w:name w:val="List Continue 5"/>
    <w:basedOn w:val="List5"/>
    <w:rsid w:val="00FD4C66"/>
    <w:pPr>
      <w:ind w:firstLine="0"/>
    </w:pPr>
  </w:style>
  <w:style w:type="paragraph" w:styleId="ListNumber3">
    <w:name w:val="List Number 3"/>
    <w:basedOn w:val="List3"/>
    <w:rsid w:val="00FD4C66"/>
    <w:pPr>
      <w:numPr>
        <w:numId w:val="3"/>
      </w:numPr>
    </w:pPr>
  </w:style>
  <w:style w:type="paragraph" w:styleId="ListNumber4">
    <w:name w:val="List Number 4"/>
    <w:basedOn w:val="List4"/>
    <w:rsid w:val="00FD4C66"/>
    <w:pPr>
      <w:numPr>
        <w:numId w:val="4"/>
      </w:numPr>
    </w:pPr>
  </w:style>
  <w:style w:type="paragraph" w:styleId="ListNumber5">
    <w:name w:val="List Number 5"/>
    <w:basedOn w:val="List5"/>
    <w:rsid w:val="00FD4C66"/>
    <w:pPr>
      <w:numPr>
        <w:numId w:val="5"/>
      </w:numPr>
    </w:pPr>
  </w:style>
  <w:style w:type="paragraph" w:styleId="BlockText">
    <w:name w:val="Block Text"/>
    <w:basedOn w:val="Normal"/>
    <w:rsid w:val="00FD4C66"/>
    <w:pPr>
      <w:spacing w:after="120"/>
      <w:ind w:left="1440" w:right="1440"/>
    </w:pPr>
  </w:style>
  <w:style w:type="character" w:customStyle="1" w:styleId="Subscript">
    <w:name w:val="Subscript"/>
    <w:basedOn w:val="DefaultParagraphFont"/>
    <w:rsid w:val="00FD4C66"/>
    <w:rPr>
      <w:sz w:val="16"/>
      <w:vertAlign w:val="subscript"/>
    </w:rPr>
  </w:style>
  <w:style w:type="character" w:customStyle="1" w:styleId="Superscript">
    <w:name w:val="Superscript"/>
    <w:basedOn w:val="DefaultParagraphFont"/>
    <w:rsid w:val="00FD4C66"/>
    <w:rPr>
      <w:sz w:val="16"/>
      <w:vertAlign w:val="superscript"/>
    </w:rPr>
  </w:style>
  <w:style w:type="character" w:customStyle="1" w:styleId="Symbols">
    <w:name w:val="Symbols"/>
    <w:basedOn w:val="DefaultParagraphFont"/>
    <w:rsid w:val="00FD4C66"/>
    <w:rPr>
      <w:rFonts w:ascii="Symbol" w:hAnsi="Symbol"/>
    </w:rPr>
  </w:style>
  <w:style w:type="character" w:customStyle="1" w:styleId="MenuOptions">
    <w:name w:val="Menu Options"/>
    <w:basedOn w:val="DefaultParagraphFont"/>
    <w:rsid w:val="00FD4C66"/>
    <w:rPr>
      <w:rFonts w:ascii="Arial Narrow" w:hAnsi="Arial Narrow"/>
      <w:smallCaps/>
    </w:rPr>
  </w:style>
  <w:style w:type="character" w:customStyle="1" w:styleId="Buttons">
    <w:name w:val="Buttons"/>
    <w:basedOn w:val="DefaultParagraphFont"/>
    <w:rsid w:val="00FD4C66"/>
    <w:rPr>
      <w:b/>
    </w:rPr>
  </w:style>
  <w:style w:type="character" w:customStyle="1" w:styleId="Underlined">
    <w:name w:val="Underlined"/>
    <w:basedOn w:val="DefaultParagraphFont"/>
    <w:rsid w:val="00FD4C66"/>
    <w:rPr>
      <w:u w:val="single"/>
    </w:rPr>
  </w:style>
  <w:style w:type="paragraph" w:customStyle="1" w:styleId="TableBodyTextRight">
    <w:name w:val="Table Body Text Right"/>
    <w:basedOn w:val="TableBodyText"/>
    <w:rsid w:val="00FD4C66"/>
    <w:pPr>
      <w:widowControl w:val="0"/>
      <w:autoSpaceDE w:val="0"/>
      <w:autoSpaceDN w:val="0"/>
      <w:adjustRightInd w:val="0"/>
      <w:jc w:val="right"/>
    </w:pPr>
    <w:rPr>
      <w:rFonts w:cs="Arial"/>
      <w:szCs w:val="18"/>
    </w:rPr>
  </w:style>
  <w:style w:type="paragraph" w:customStyle="1" w:styleId="CopyrightText">
    <w:name w:val="Copyright Text"/>
    <w:basedOn w:val="BodyText"/>
    <w:rsid w:val="00FD4C66"/>
    <w:rPr>
      <w:sz w:val="18"/>
    </w:rPr>
  </w:style>
  <w:style w:type="paragraph" w:customStyle="1" w:styleId="BodySmallRight">
    <w:name w:val="Body Small Right"/>
    <w:basedOn w:val="BodyTextRight"/>
    <w:rsid w:val="00FD4C66"/>
    <w:rPr>
      <w:sz w:val="18"/>
      <w:szCs w:val="18"/>
    </w:rPr>
  </w:style>
  <w:style w:type="paragraph" w:customStyle="1" w:styleId="MarginEdition">
    <w:name w:val="Margin Edition"/>
    <w:basedOn w:val="MarginNote"/>
    <w:rsid w:val="00FD4C66"/>
    <w:pPr>
      <w:spacing w:before="0" w:after="0"/>
    </w:pPr>
    <w:rPr>
      <w:rFonts w:ascii="Times New Roman" w:hAnsi="Times New Roman"/>
      <w:color w:val="999999"/>
    </w:rPr>
  </w:style>
  <w:style w:type="paragraph" w:customStyle="1" w:styleId="Spacer">
    <w:name w:val="Spacer"/>
    <w:basedOn w:val="Normal"/>
    <w:rsid w:val="00FD4C66"/>
    <w:rPr>
      <w:sz w:val="2"/>
      <w:szCs w:val="2"/>
    </w:rPr>
  </w:style>
  <w:style w:type="character" w:customStyle="1" w:styleId="Small">
    <w:name w:val="Small"/>
    <w:basedOn w:val="DefaultParagraphFont"/>
    <w:rsid w:val="00FD4C66"/>
    <w:rPr>
      <w:sz w:val="16"/>
    </w:rPr>
  </w:style>
  <w:style w:type="paragraph" w:customStyle="1" w:styleId="WideTable">
    <w:name w:val="Wide Table"/>
    <w:basedOn w:val="Normal"/>
    <w:rsid w:val="00FD4C66"/>
    <w:pPr>
      <w:ind w:left="-1418"/>
    </w:pPr>
    <w:rPr>
      <w:sz w:val="2"/>
      <w:szCs w:val="2"/>
    </w:rPr>
  </w:style>
  <w:style w:type="character" w:styleId="PageNumber">
    <w:name w:val="page number"/>
    <w:basedOn w:val="DefaultParagraphFont"/>
    <w:rsid w:val="00FD4C66"/>
  </w:style>
  <w:style w:type="paragraph" w:styleId="Quote">
    <w:name w:val="Quote"/>
    <w:basedOn w:val="Heading1"/>
    <w:link w:val="QuoteChar"/>
    <w:qFormat/>
    <w:rsid w:val="00FD4C66"/>
    <w:rPr>
      <w:b w:val="0"/>
      <w:sz w:val="72"/>
      <w:szCs w:val="72"/>
      <w:lang w:val="en-NZ"/>
    </w:rPr>
  </w:style>
  <w:style w:type="character" w:customStyle="1" w:styleId="QuoteChar">
    <w:name w:val="Quote Char"/>
    <w:basedOn w:val="DefaultParagraphFont"/>
    <w:link w:val="Quote"/>
    <w:rsid w:val="00FD4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C66"/>
    <w:pPr>
      <w:pageBreakBefore/>
    </w:pPr>
  </w:style>
  <w:style w:type="paragraph" w:customStyle="1" w:styleId="Border">
    <w:name w:val="Border"/>
    <w:basedOn w:val="Normal"/>
    <w:qFormat/>
    <w:rsid w:val="00FD4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C66"/>
    <w:rPr>
      <w:b/>
      <w:bCs/>
      <w:i/>
      <w:iCs/>
      <w:color w:val="auto"/>
    </w:rPr>
  </w:style>
  <w:style w:type="paragraph" w:styleId="IntenseQuote">
    <w:name w:val="Intense Quote"/>
    <w:basedOn w:val="Normal"/>
    <w:next w:val="Normal"/>
    <w:link w:val="IntenseQuoteChar"/>
    <w:uiPriority w:val="30"/>
    <w:qFormat/>
    <w:rsid w:val="00FD4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C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C66"/>
    <w:rPr>
      <w:smallCaps/>
      <w:color w:val="auto"/>
      <w:u w:val="single"/>
    </w:rPr>
  </w:style>
  <w:style w:type="character" w:styleId="IntenseReference">
    <w:name w:val="Intense Reference"/>
    <w:basedOn w:val="DefaultParagraphFont"/>
    <w:uiPriority w:val="32"/>
    <w:qFormat/>
    <w:rsid w:val="00FD4C66"/>
    <w:rPr>
      <w:b/>
      <w:bCs/>
      <w:smallCaps/>
      <w:color w:val="auto"/>
      <w:spacing w:val="5"/>
      <w:u w:val="single"/>
    </w:rPr>
  </w:style>
  <w:style w:type="paragraph" w:customStyle="1" w:styleId="2ColumnHeading">
    <w:name w:val="2Column Heading"/>
    <w:basedOn w:val="BodyText"/>
    <w:qFormat/>
    <w:rsid w:val="00FD4C66"/>
    <w:pPr>
      <w:spacing w:after="60"/>
      <w:ind w:left="-2268"/>
    </w:pPr>
    <w:rPr>
      <w:b/>
    </w:rPr>
  </w:style>
  <w:style w:type="paragraph" w:customStyle="1" w:styleId="Heading1TOC">
    <w:name w:val="Heading1 TOC"/>
    <w:basedOn w:val="Normal"/>
    <w:qFormat/>
    <w:rsid w:val="00FD4C66"/>
    <w:pPr>
      <w:spacing w:before="240" w:after="120"/>
    </w:pPr>
    <w:rPr>
      <w:rFonts w:ascii="Times New Roman" w:hAnsi="Times New Roman"/>
      <w:b/>
      <w:sz w:val="32"/>
    </w:rPr>
  </w:style>
  <w:style w:type="paragraph" w:customStyle="1" w:styleId="Heading2TOC">
    <w:name w:val="Heading2 TOC"/>
    <w:basedOn w:val="Normal"/>
    <w:qFormat/>
    <w:rsid w:val="00FD4C66"/>
    <w:pPr>
      <w:spacing w:before="240" w:after="60"/>
    </w:pPr>
    <w:rPr>
      <w:rFonts w:ascii="Times New Roman" w:hAnsi="Times New Roman"/>
      <w:b/>
      <w:sz w:val="28"/>
    </w:rPr>
  </w:style>
  <w:style w:type="character" w:customStyle="1" w:styleId="Underline">
    <w:name w:val="Underline"/>
    <w:basedOn w:val="DefaultParagraphFont"/>
    <w:qFormat/>
    <w:rsid w:val="00FD4C66"/>
    <w:rPr>
      <w:u w:val="single"/>
    </w:rPr>
  </w:style>
  <w:style w:type="character" w:customStyle="1" w:styleId="BoldandItalics">
    <w:name w:val="Bold and Italics"/>
    <w:qFormat/>
    <w:rsid w:val="00FD4C66"/>
    <w:rPr>
      <w:b/>
      <w:i/>
      <w:u w:val="none"/>
    </w:rPr>
  </w:style>
  <w:style w:type="paragraph" w:styleId="BalloonText">
    <w:name w:val="Balloon Text"/>
    <w:basedOn w:val="Normal"/>
    <w:link w:val="BalloonTextChar"/>
    <w:rsid w:val="00FD4C66"/>
    <w:rPr>
      <w:rFonts w:ascii="Tahoma" w:hAnsi="Tahoma" w:cs="Tahoma"/>
      <w:sz w:val="16"/>
      <w:szCs w:val="16"/>
    </w:rPr>
  </w:style>
  <w:style w:type="character" w:customStyle="1" w:styleId="BalloonTextChar">
    <w:name w:val="Balloon Text Char"/>
    <w:basedOn w:val="DefaultParagraphFont"/>
    <w:link w:val="BalloonText"/>
    <w:rsid w:val="00FD4C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C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2495</Words>
  <Characters>15237</Characters>
  <Application>Microsoft Office Word</Application>
  <DocSecurity>0</DocSecurity>
  <Lines>381</Lines>
  <Paragraphs>230</Paragraphs>
  <ScaleCrop>false</ScaleCrop>
  <Company>Author-it Software Corporation Ltd.</Company>
  <LinksUpToDate>false</LinksUpToDate>
  <CharactersWithSpaces>17527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PMLOHS302A Participate in laboratory/field workplace safety</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2012-05-26T19:14:00Z</dcterms:created>
  <dcterms:modified xsi:type="dcterms:W3CDTF">2012-05-26T19:14:00Z</dcterms:modified>
</cp:coreProperties>
</file>