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2A16" w:rsidP="00252A16">
      <w:pPr>
        <w:pStyle w:val="Title"/>
      </w:pPr>
      <w:r>
        <w:fldChar w:fldCharType="begin"/>
      </w:r>
      <w:r>
        <w:instrText xml:space="preserve"> TITLE   \* MERGEFORMAT </w:instrText>
      </w:r>
      <w:r>
        <w:fldChar w:fldCharType="separate"/>
      </w:r>
      <w:r>
        <w:t>PMLOHS301B Work safely with instruments that emit ionising radiation</w:t>
      </w:r>
      <w:r>
        <w:fldChar w:fldCharType="end"/>
      </w:r>
    </w:p>
    <w:p w:rsidR="00252A16" w:rsidP="00252A16">
      <w:pPr>
        <w:pStyle w:val="Version"/>
        <w:sectPr w:rsidSect="00BC625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625C" w:rsidP="00BC625C">
      <w:pPr>
        <w:pStyle w:val="SuperHeading"/>
      </w:pPr>
      <w:r w:rsidRPr="00BC625C">
        <w:t>PMLOHS301B Work safely with instruments that emit ionising radiation</w:t>
      </w:r>
    </w:p>
    <w:p w:rsidR="00000000" w:rsidRPr="00BC625C" w:rsidP="00BC625C">
      <w:pPr>
        <w:pStyle w:val="Heading1"/>
      </w:pPr>
      <w:bookmarkStart w:id="1" w:name="O_312114"/>
      <w:bookmarkEnd w:id="1"/>
      <w:r w:rsidRPr="00BC625C">
        <w:t>Modification History</w:t>
      </w:r>
    </w:p>
    <w:p w:rsidR="00000000" w:rsidRPr="00BC625C" w:rsidP="00BC625C">
      <w:pPr>
        <w:pStyle w:val="Heading1"/>
      </w:pPr>
      <w:bookmarkStart w:id="2" w:name="O_312113"/>
      <w:bookmarkEnd w:id="2"/>
      <w:r w:rsidRPr="00BC625C">
        <w:t>Unit Descriptor</w:t>
      </w:r>
    </w:p>
    <w:p w:rsidR="00000000" w:rsidRPr="00BC625C" w:rsidP="00BC625C">
      <w:pPr>
        <w:pStyle w:val="BodyText"/>
      </w:pPr>
      <w:r w:rsidRPr="00BC625C">
        <w:t>This unit of competency covers the ability to safely store, transport and operate instruments that emit ionising rad</w:t>
      </w:r>
      <w:r w:rsidRPr="00BC625C">
        <w:t>iation following established safe work practices and in accordance with licensing requirements. Examples include use of process control instrumentation, such as fluid level gauges using radioactive sources, on-site non-destructive testing of weldments usin</w:t>
      </w:r>
      <w:r w:rsidRPr="00BC625C">
        <w:t>g X-ray and gamma ray sources and density testing of asphaltic concrete.</w:t>
      </w:r>
    </w:p>
    <w:p w:rsidR="00000000" w:rsidRPr="00BC625C" w:rsidP="00BC625C">
      <w:pPr>
        <w:pStyle w:val="BodyText"/>
      </w:pPr>
      <w:r w:rsidRPr="00BC625C">
        <w:t>This unit of competency has no prerequisites.</w:t>
      </w:r>
    </w:p>
    <w:p w:rsidR="00000000" w:rsidRPr="00BC625C" w:rsidP="00BC625C">
      <w:pPr>
        <w:pStyle w:val="BodyText"/>
      </w:pPr>
      <w:r w:rsidRPr="00BC625C">
        <w:t>This unit of competency is applicable to laboratory or field operators working under supervision or direction of para-professionals, comm</w:t>
      </w:r>
      <w:r w:rsidRPr="00BC625C">
        <w:t xml:space="preserve">only in a construction materials testing or similar environment. </w:t>
      </w:r>
    </w:p>
    <w:p w:rsidR="00000000" w:rsidRPr="00BC625C" w:rsidP="00BC625C">
      <w:pPr>
        <w:pStyle w:val="BodyText"/>
      </w:pPr>
      <w:r w:rsidRPr="00BC625C">
        <w:t>Industry representatives have provided case studies to illustrate the practical application of this unit of competency and to show its relevance in a workplace setting. These are found at th</w:t>
      </w:r>
      <w:r w:rsidRPr="00BC625C">
        <w:t>e end of this unit of competency under the section This competency in practice.</w:t>
      </w:r>
    </w:p>
    <w:p w:rsidR="00000000" w:rsidRPr="00BC625C" w:rsidP="00BC625C">
      <w:pPr>
        <w:pStyle w:val="AllowPageBreak"/>
      </w:pPr>
    </w:p>
    <w:p w:rsidR="00000000" w:rsidRPr="00BC625C" w:rsidP="00BC625C">
      <w:pPr>
        <w:pStyle w:val="Heading1"/>
      </w:pPr>
      <w:bookmarkStart w:id="3" w:name="O_312112"/>
      <w:bookmarkEnd w:id="3"/>
      <w:r w:rsidRPr="00BC625C">
        <w:t>Application of the Unit</w:t>
      </w:r>
    </w:p>
    <w:p w:rsidR="00000000" w:rsidRPr="00BC625C" w:rsidP="00BC625C">
      <w:pPr>
        <w:pStyle w:val="Heading1"/>
      </w:pPr>
      <w:bookmarkStart w:id="4" w:name="O_312111"/>
      <w:bookmarkEnd w:id="4"/>
      <w:r w:rsidRPr="00BC625C">
        <w:t>Licensing/Regulatory Information</w:t>
      </w:r>
    </w:p>
    <w:p w:rsidR="00000000" w:rsidRPr="00BC625C" w:rsidP="00BC625C">
      <w:pPr>
        <w:pStyle w:val="BodyText"/>
      </w:pPr>
      <w:r w:rsidRPr="00BC625C">
        <w:t>Refer to Unit Descriptor</w:t>
      </w:r>
    </w:p>
    <w:p w:rsidR="00000000" w:rsidRPr="00BC625C" w:rsidP="00BC625C">
      <w:pPr>
        <w:pStyle w:val="AllowPageBreak"/>
      </w:pPr>
    </w:p>
    <w:p w:rsidR="00000000" w:rsidRPr="00BC625C" w:rsidP="00BC625C">
      <w:pPr>
        <w:pStyle w:val="Heading1"/>
      </w:pPr>
      <w:bookmarkStart w:id="5" w:name="O_312104"/>
      <w:bookmarkEnd w:id="5"/>
      <w:r w:rsidRPr="00BC625C">
        <w:t>Pre-Requisites</w:t>
      </w:r>
    </w:p>
    <w:p w:rsidR="00000000" w:rsidRPr="00BC625C" w:rsidP="00BC625C">
      <w:pPr>
        <w:pStyle w:val="Heading1"/>
      </w:pPr>
      <w:bookmarkStart w:id="6" w:name="O_312109"/>
      <w:bookmarkEnd w:id="6"/>
      <w:r w:rsidRPr="00BC625C">
        <w:t>Employability Skills Information</w:t>
      </w:r>
    </w:p>
    <w:p w:rsidR="00000000" w:rsidRPr="00BC625C" w:rsidP="00BC625C">
      <w:pPr>
        <w:pStyle w:val="Heading1"/>
      </w:pPr>
      <w:bookmarkStart w:id="7" w:name="O_312115"/>
      <w:bookmarkEnd w:id="7"/>
      <w:r w:rsidRPr="00BC625C">
        <w:t>Elements and Performance Criteria Pre-Content</w:t>
      </w:r>
    </w:p>
    <w:p w:rsidR="00000000" w:rsidRPr="00BC625C" w:rsidP="00BC625C">
      <w:pPr>
        <w:pStyle w:val="BodyText"/>
      </w:pPr>
      <w:r w:rsidRPr="00BC625C">
        <w:t>Elements describe the essential outcomes of a unit of competency.</w:t>
      </w:r>
    </w:p>
    <w:p w:rsidR="00000000" w:rsidRPr="00BC625C" w:rsidP="00BC625C">
      <w:pPr>
        <w:pStyle w:val="BodyText"/>
      </w:pPr>
      <w:r w:rsidRPr="00BC625C">
        <w:t>Performance Criteria describe the level of performance required to demonstrate achievement of t</w:t>
      </w:r>
      <w:r w:rsidRPr="00BC625C">
        <w:t>he element.</w:t>
      </w:r>
    </w:p>
    <w:p w:rsidR="00000000" w:rsidRPr="00BC625C" w:rsidP="00BC625C">
      <w:pPr>
        <w:pStyle w:val="AllowPageBreak"/>
      </w:pPr>
    </w:p>
    <w:p w:rsidR="00000000" w:rsidRPr="00BC625C" w:rsidP="00BC625C">
      <w:pPr>
        <w:pStyle w:val="Heading1"/>
      </w:pPr>
      <w:bookmarkStart w:id="8" w:name="O_312108"/>
      <w:bookmarkEnd w:id="8"/>
      <w:r w:rsidRPr="00BC625C">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52A1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rPr>
                <w:rStyle w:val="SpecialBold"/>
              </w:rPr>
              <w:t>Elements and Performance Criteria</w:t>
            </w:r>
          </w:p>
        </w:tc>
      </w:tr>
      <w:tr w:rsidTr="00252A1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BC625C" w:rsidP="00BC625C">
            <w:pPr>
              <w:pStyle w:val="BodyText"/>
            </w:pPr>
            <w:r w:rsidRPr="00BC625C">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rPr>
                <w:rStyle w:val="SpecialBold"/>
              </w:rPr>
              <w:t>Performance Criteria</w:t>
            </w:r>
          </w:p>
        </w:tc>
      </w:tr>
      <w:tr w:rsidTr="00252A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1</w:t>
            </w:r>
          </w:p>
        </w:tc>
        <w:tc>
          <w:tcPr>
            <w:tcW w:w="30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Store instruments safely and securely</w:t>
            </w: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1.1</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Identify State or Territory requirements for </w:t>
            </w:r>
            <w:r w:rsidRPr="00BC625C">
              <w:t>storage facilities and associated document processes</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1.2</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Store instruments in accordance with State or Territory requirements and documented procedures</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1.3</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Secure instruments to prevent unauthorised access</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1.4</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Record instruments' movements and usage in accordance with documented procedures</w:t>
            </w:r>
          </w:p>
        </w:tc>
      </w:tr>
      <w:tr w:rsidTr="00252A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2</w:t>
            </w:r>
          </w:p>
        </w:tc>
        <w:tc>
          <w:tcPr>
            <w:tcW w:w="30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Transport instruments safely and securely</w:t>
            </w: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2.1</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Select vehicle suitable for the purpose </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2.2</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Attach regulation signage in accordance with State or Territory requirements to indicate that radioactive sources are being carried</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2.3</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Ensure that instruments are properly located and fixed in place</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2.4</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Ensure security of instruments when the vehicl</w:t>
            </w:r>
            <w:r w:rsidRPr="00BC625C">
              <w:t>e is unattended</w:t>
            </w:r>
          </w:p>
        </w:tc>
      </w:tr>
      <w:tr w:rsidTr="00252A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3</w:t>
            </w:r>
          </w:p>
        </w:tc>
        <w:tc>
          <w:tcPr>
            <w:tcW w:w="30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Use instruments safely and maintain security</w:t>
            </w: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3.1</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Follow safe working practices to minimise own exposure to radiation</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3.2</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Use radiation dosimeter to monitor own exposure to radiation</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3.3</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Follow safe work practices to minimise exposure of others to radiation</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3.4</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Follow safe work practices to protect the instrument from damage</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3.5</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Maintain instrument security</w:t>
            </w:r>
          </w:p>
        </w:tc>
      </w:tr>
      <w:tr w:rsidTr="00252A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4</w:t>
            </w:r>
          </w:p>
        </w:tc>
        <w:tc>
          <w:tcPr>
            <w:tcW w:w="30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Monitor radiation levels</w:t>
            </w: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4.1</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Check operation and calibration status of rad</w:t>
            </w:r>
            <w:r w:rsidRPr="00BC625C">
              <w:t>iation survey meter</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4.2</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Perform radiation survey following documented procedure</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4.3</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Report atypical conditions and/or problems to </w:t>
            </w:r>
            <w:r w:rsidRPr="00BC625C">
              <w:t>appropriate personnel</w:t>
            </w:r>
          </w:p>
        </w:tc>
      </w:tr>
      <w:tr w:rsidTr="00252A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5</w:t>
            </w:r>
          </w:p>
        </w:tc>
        <w:tc>
          <w:tcPr>
            <w:tcW w:w="30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Maintain records</w:t>
            </w: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5.1</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Record observations, data and results in accordance with enterprise procedures</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5.2</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Maintain confidentiality of enterprise information</w:t>
            </w:r>
          </w:p>
        </w:tc>
      </w:tr>
      <w:tr w:rsidTr="00252A1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6</w:t>
            </w:r>
          </w:p>
        </w:tc>
        <w:tc>
          <w:tcPr>
            <w:tcW w:w="3000" w:type="dxa"/>
            <w:vMerge w:val="restart"/>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Perform emergency procedures</w:t>
            </w: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6.1</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Identify potential emergency situations</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6.2</w:t>
            </w:r>
          </w:p>
        </w:tc>
        <w:tc>
          <w:tcPr>
            <w:tcW w:w="51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Respond to emergencies in accordance with documented procedures</w:t>
            </w:r>
          </w:p>
        </w:tc>
      </w:tr>
      <w:tr w:rsidTr="00252A1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6.3</w:t>
            </w:r>
          </w:p>
        </w:tc>
        <w:tc>
          <w:tcPr>
            <w:tcW w:w="5100" w:type="dxa"/>
            <w:tcBorders>
              <w:top w:val="nil"/>
              <w:left w:val="nil"/>
              <w:bottom w:val="nil"/>
              <w:right w:val="nil"/>
            </w:tcBorders>
            <w:tcMar>
              <w:top w:w="0" w:type="dxa"/>
              <w:left w:w="62" w:type="dxa"/>
              <w:bottom w:w="0" w:type="dxa"/>
              <w:right w:w="62" w:type="dxa"/>
            </w:tcMar>
          </w:tcPr>
          <w:p w:rsidR="00000000" w:rsidRPr="00BC625C" w:rsidP="00BC625C">
            <w:pPr>
              <w:pStyle w:val="BodyText"/>
            </w:pPr>
            <w:r w:rsidRPr="00BC625C">
              <w:t>Report emergency situations to appropriate personnel.</w:t>
            </w:r>
          </w:p>
        </w:tc>
      </w:tr>
    </w:tbl>
    <w:p w:rsidR="00000000" w:rsidRPr="00BC625C" w:rsidP="00BC625C">
      <w:pPr>
        <w:pStyle w:val="BodyText"/>
      </w:pPr>
    </w:p>
    <w:p w:rsidR="00000000" w:rsidRPr="00BC625C" w:rsidP="00BC625C">
      <w:pPr>
        <w:pStyle w:val="AllowPageBreak"/>
      </w:pPr>
    </w:p>
    <w:p w:rsidR="00000000" w:rsidRPr="00BC625C" w:rsidP="00BC625C">
      <w:pPr>
        <w:pStyle w:val="Heading1"/>
      </w:pPr>
      <w:bookmarkStart w:id="9" w:name="O_312107"/>
      <w:bookmarkEnd w:id="9"/>
      <w:r w:rsidRPr="00BC625C">
        <w:t>Required Skills and Knowledge</w:t>
      </w:r>
    </w:p>
    <w:p w:rsidR="00000000" w:rsidRPr="00BC625C" w:rsidP="00BC625C">
      <w:pPr>
        <w:pStyle w:val="Heading1"/>
      </w:pPr>
      <w:bookmarkStart w:id="10" w:name="O_312106"/>
      <w:bookmarkEnd w:id="10"/>
      <w:r w:rsidRPr="00BC625C">
        <w:t>Evidence Guide</w:t>
      </w:r>
    </w:p>
    <w:p w:rsidR="00000000" w:rsidRPr="00BC625C" w:rsidP="00BC625C">
      <w:pPr>
        <w:pStyle w:val="BodyText"/>
      </w:pPr>
      <w:r w:rsidRPr="00BC625C">
        <w:t>The Evidence Guide describes the underpinning knowl</w:t>
      </w:r>
      <w:r w:rsidRPr="00BC625C">
        <w:t>edge and skills that must be demonstrated to prove competence.</w:t>
      </w:r>
    </w:p>
    <w:p w:rsidR="00000000" w:rsidRPr="00BC625C" w:rsidP="00BC625C">
      <w:pPr>
        <w:pStyle w:val="BodyText"/>
      </w:pPr>
      <w:r w:rsidRPr="00BC625C">
        <w:rPr>
          <w:rStyle w:val="SpecialBold"/>
        </w:rPr>
        <w:t>Critical aspects of competency</w:t>
      </w:r>
    </w:p>
    <w:p w:rsidR="00000000" w:rsidRPr="00BC625C" w:rsidP="00BC625C">
      <w:pPr>
        <w:pStyle w:val="BodyText"/>
      </w:pPr>
      <w:r w:rsidRPr="00BC625C">
        <w:t>Competency must be demonstrated in the ability to perform consistently at the required standard. In particular, assessors should look to see that the candidate:</w:t>
      </w:r>
    </w:p>
    <w:p w:rsidR="00000000" w:rsidRPr="00BC625C" w:rsidP="00BC625C">
      <w:pPr>
        <w:pStyle w:val="BodyText"/>
      </w:pPr>
      <w:r w:rsidRPr="00BC625C">
        <w:t>k</w:t>
      </w:r>
      <w:r w:rsidRPr="00BC625C">
        <w:t>eeps other personnel clear of radiation sources</w:t>
      </w:r>
    </w:p>
    <w:p w:rsidR="00000000" w:rsidRPr="00BC625C" w:rsidP="00BC625C">
      <w:pPr>
        <w:pStyle w:val="BodyText"/>
      </w:pPr>
      <w:r w:rsidRPr="00BC625C">
        <w:t>demonstrates emergency procedures</w:t>
      </w:r>
    </w:p>
    <w:p w:rsidR="00000000" w:rsidRPr="00BC625C" w:rsidP="00BC625C">
      <w:pPr>
        <w:pStyle w:val="BodyText"/>
      </w:pPr>
      <w:r w:rsidRPr="00BC625C">
        <w:t>performs and documents radiation surveys</w:t>
      </w:r>
    </w:p>
    <w:p w:rsidR="00000000" w:rsidRPr="00BC625C" w:rsidP="00BC625C">
      <w:pPr>
        <w:pStyle w:val="BodyText"/>
      </w:pPr>
      <w:r w:rsidRPr="00BC625C">
        <w:t>places the instrument into storage</w:t>
      </w:r>
    </w:p>
    <w:p w:rsidR="00000000" w:rsidRPr="00BC625C" w:rsidP="00BC625C">
      <w:pPr>
        <w:pStyle w:val="BodyText"/>
      </w:pPr>
      <w:r w:rsidRPr="00BC625C">
        <w:t xml:space="preserve">safely transports the instrument in a motor vehicle </w:t>
      </w:r>
    </w:p>
    <w:p w:rsidR="00000000" w:rsidRPr="00BC625C" w:rsidP="00BC625C">
      <w:pPr>
        <w:pStyle w:val="BodyText"/>
      </w:pPr>
      <w:r w:rsidRPr="00BC625C">
        <w:t>safely handles and uses the instrument</w:t>
      </w:r>
    </w:p>
    <w:p w:rsidR="00000000" w:rsidRPr="00BC625C" w:rsidP="00BC625C">
      <w:pPr>
        <w:pStyle w:val="BodyText"/>
      </w:pPr>
      <w:r w:rsidRPr="00BC625C">
        <w:t>observes, interprets and reports atypical situations</w:t>
      </w:r>
    </w:p>
    <w:p w:rsidR="00000000" w:rsidRPr="00BC625C" w:rsidP="00BC625C">
      <w:pPr>
        <w:pStyle w:val="BodyText"/>
      </w:pPr>
      <w:r w:rsidRPr="00BC625C">
        <w:t>communicates problems to appropriate personnel promptly.</w:t>
      </w:r>
    </w:p>
    <w:p w:rsidR="00000000" w:rsidRPr="00BC625C" w:rsidP="00BC625C">
      <w:pPr>
        <w:pStyle w:val="BodyText"/>
      </w:pPr>
      <w:r w:rsidRPr="00BC625C">
        <w:rPr>
          <w:rStyle w:val="SpecialBold"/>
        </w:rPr>
        <w:t>Underpinning knowledge</w:t>
      </w:r>
    </w:p>
    <w:p w:rsidR="00000000" w:rsidRPr="00BC625C" w:rsidP="00BC625C">
      <w:pPr>
        <w:pStyle w:val="BodyText"/>
      </w:pPr>
      <w:r w:rsidRPr="00BC625C">
        <w:t>Competency includes the ability to apply and explain:</w:t>
      </w:r>
    </w:p>
    <w:p w:rsidR="00000000" w:rsidRPr="00BC625C" w:rsidP="00BC625C">
      <w:pPr>
        <w:pStyle w:val="BodyText"/>
      </w:pPr>
      <w:r w:rsidRPr="00BC625C">
        <w:t>health, safety and emergency procedures relevant to radioactive devic</w:t>
      </w:r>
      <w:r w:rsidRPr="00BC625C">
        <w:t>es</w:t>
      </w:r>
    </w:p>
    <w:p w:rsidR="00000000" w:rsidRPr="00BC625C" w:rsidP="00BC625C">
      <w:pPr>
        <w:pStyle w:val="BodyText"/>
      </w:pPr>
      <w:r w:rsidRPr="00BC625C">
        <w:t>factors affecting radiation intensity</w:t>
      </w:r>
    </w:p>
    <w:p w:rsidR="00000000" w:rsidRPr="00BC625C" w:rsidP="00BC625C">
      <w:pPr>
        <w:pStyle w:val="BodyText"/>
      </w:pPr>
      <w:r w:rsidRPr="00BC625C">
        <w:t>principles of external radiation protection and practical methods of minimising radiation exposure</w:t>
      </w:r>
    </w:p>
    <w:p w:rsidR="00000000" w:rsidRPr="00BC625C" w:rsidP="00BC625C">
      <w:pPr>
        <w:pStyle w:val="BodyText"/>
      </w:pPr>
      <w:r w:rsidRPr="00BC625C">
        <w:t>methods of measuring and detecting ionising radiation</w:t>
      </w:r>
    </w:p>
    <w:p w:rsidR="00000000" w:rsidRPr="00BC625C" w:rsidP="00BC625C">
      <w:pPr>
        <w:pStyle w:val="BodyText"/>
      </w:pPr>
      <w:r w:rsidRPr="00BC625C">
        <w:t>nature of radiation, different types of radiation, their chara</w:t>
      </w:r>
      <w:r w:rsidRPr="00BC625C">
        <w:t>cteristics, sources and shielding methods</w:t>
      </w:r>
    </w:p>
    <w:p w:rsidR="00000000" w:rsidRPr="00BC625C" w:rsidP="00BC625C">
      <w:pPr>
        <w:pStyle w:val="BodyText"/>
      </w:pPr>
      <w:r w:rsidRPr="00BC625C">
        <w:t>physiological effects of ionising radiation</w:t>
      </w:r>
    </w:p>
    <w:p w:rsidR="00000000" w:rsidRPr="00BC625C" w:rsidP="00BC625C">
      <w:pPr>
        <w:pStyle w:val="BodyText"/>
      </w:pPr>
      <w:r w:rsidRPr="00BC625C">
        <w:t>State or Territory licensing requirements</w:t>
      </w:r>
    </w:p>
    <w:p w:rsidR="00000000" w:rsidRPr="00BC625C" w:rsidP="00BC625C">
      <w:pPr>
        <w:pStyle w:val="BodyText"/>
      </w:pPr>
      <w:r w:rsidRPr="00BC625C">
        <w:t>national Codes of Practice</w:t>
      </w:r>
    </w:p>
    <w:p w:rsidR="00000000" w:rsidRPr="00BC625C" w:rsidP="00BC625C">
      <w:pPr>
        <w:pStyle w:val="BodyText"/>
      </w:pPr>
      <w:r w:rsidRPr="00BC625C">
        <w:t>general guidelines for safe handling of radiation sources.</w:t>
      </w:r>
    </w:p>
    <w:p w:rsidR="00000000" w:rsidRPr="00BC625C" w:rsidP="00BC625C">
      <w:pPr>
        <w:pStyle w:val="BodyText"/>
      </w:pPr>
      <w:r w:rsidRPr="00BC625C">
        <w:rPr>
          <w:rStyle w:val="SpecialBold"/>
        </w:rPr>
        <w:t>Assessment context and methods</w:t>
      </w:r>
    </w:p>
    <w:p w:rsidR="00000000" w:rsidRPr="00BC625C" w:rsidP="00BC625C">
      <w:pPr>
        <w:pStyle w:val="BodyText"/>
      </w:pPr>
      <w:r w:rsidRPr="00BC625C">
        <w:t>This unit o</w:t>
      </w:r>
      <w:r w:rsidRPr="00BC625C">
        <w:t xml:space="preserve">f competency is to be assessed in the workplace or simulated workplace environment. </w:t>
      </w:r>
    </w:p>
    <w:p w:rsidR="00000000" w:rsidRPr="00BC625C" w:rsidP="00BC625C">
      <w:pPr>
        <w:pStyle w:val="BodyText"/>
      </w:pPr>
      <w:r w:rsidRPr="00BC625C">
        <w:t>The following assessment methods are suggested:</w:t>
      </w:r>
    </w:p>
    <w:p w:rsidR="00000000" w:rsidRPr="00BC625C" w:rsidP="00BC625C">
      <w:pPr>
        <w:pStyle w:val="BodyText"/>
      </w:pPr>
      <w:r w:rsidRPr="00BC625C">
        <w:t>analysis of work completed by the candidate over a period of time to ensure accuracy, consistency and timeliness</w:t>
      </w:r>
    </w:p>
    <w:p w:rsidR="00000000" w:rsidRPr="00BC625C" w:rsidP="00BC625C">
      <w:pPr>
        <w:pStyle w:val="BodyText"/>
      </w:pPr>
      <w:r w:rsidRPr="00BC625C">
        <w:t>observatio</w:t>
      </w:r>
      <w:r w:rsidRPr="00BC625C">
        <w:t>n of candidate using the instruments in a range of work contexts</w:t>
      </w:r>
    </w:p>
    <w:p w:rsidR="00000000" w:rsidRPr="00BC625C" w:rsidP="00BC625C">
      <w:pPr>
        <w:pStyle w:val="BodyText"/>
      </w:pPr>
      <w:r w:rsidRPr="00BC625C">
        <w:t>review of enterprise documentation completed by the candidate</w:t>
      </w:r>
    </w:p>
    <w:p w:rsidR="00000000" w:rsidRPr="00BC625C" w:rsidP="00BC625C">
      <w:pPr>
        <w:pStyle w:val="BodyText"/>
      </w:pPr>
      <w:r w:rsidRPr="00BC625C">
        <w:t>feedback from peers and supervisors</w:t>
      </w:r>
    </w:p>
    <w:p w:rsidR="00000000" w:rsidRPr="00BC625C" w:rsidP="00BC625C">
      <w:pPr>
        <w:pStyle w:val="BodyText"/>
      </w:pPr>
      <w:r w:rsidRPr="00BC625C">
        <w:t>use of suitable simulation and/or a range of case studies/scenarios.</w:t>
      </w:r>
    </w:p>
    <w:p w:rsidR="00000000" w:rsidRPr="00BC625C" w:rsidP="00BC625C">
      <w:pPr>
        <w:pStyle w:val="BodyText"/>
      </w:pPr>
      <w:r w:rsidRPr="00BC625C">
        <w:t xml:space="preserve">In all cases, practical </w:t>
      </w:r>
      <w:r w:rsidRPr="00BC625C">
        <w:t>assessment should be supported by questions to assess underpinning knowledge and those aspects of competency which are difficult to assess directly. Questioning techniques should suit the language and literacy levels of the candidate.</w:t>
      </w:r>
    </w:p>
    <w:p w:rsidR="00000000" w:rsidRPr="00BC625C" w:rsidP="00BC625C">
      <w:pPr>
        <w:pStyle w:val="BodyText"/>
      </w:pPr>
      <w:r w:rsidRPr="00BC625C">
        <w:rPr>
          <w:rStyle w:val="SpecialBold"/>
        </w:rPr>
        <w:t>Interdependent assess</w:t>
      </w:r>
      <w:r w:rsidRPr="00BC625C">
        <w:rPr>
          <w:rStyle w:val="SpecialBold"/>
        </w:rPr>
        <w:t>ment of unit</w:t>
      </w:r>
    </w:p>
    <w:p w:rsidR="00000000" w:rsidRPr="00BC625C" w:rsidP="00BC625C">
      <w:pPr>
        <w:pStyle w:val="BodyText"/>
      </w:pPr>
      <w:r w:rsidRPr="00BC625C">
        <w:t>This unit of competency may be assessed with:</w:t>
      </w:r>
    </w:p>
    <w:p w:rsidR="00000000" w:rsidRPr="00BC625C" w:rsidP="00BC625C">
      <w:pPr>
        <w:pStyle w:val="BodyText"/>
      </w:pPr>
      <w:r w:rsidRPr="00BC625C">
        <w:rPr>
          <w:rStyle w:val="SpecialBold"/>
        </w:rPr>
        <w:t>PMLOHS302A Participate in laboratory</w:t>
      </w:r>
      <w:r w:rsidRPr="00BC625C">
        <w:t>/</w:t>
      </w:r>
      <w:r w:rsidRPr="00BC625C">
        <w:rPr>
          <w:rStyle w:val="SpecialBold"/>
        </w:rPr>
        <w:t>field workplace safety</w:t>
      </w:r>
    </w:p>
    <w:p w:rsidR="00000000" w:rsidRPr="00BC625C" w:rsidP="00BC625C">
      <w:pPr>
        <w:pStyle w:val="BodyText"/>
      </w:pPr>
      <w:r w:rsidRPr="00BC625C">
        <w:rPr>
          <w:rStyle w:val="SpecialBold"/>
        </w:rPr>
        <w:t>PMLTEST411A Perform mechanical tests</w:t>
      </w:r>
    </w:p>
    <w:p w:rsidR="00000000" w:rsidRPr="00BC625C" w:rsidP="00BC625C">
      <w:pPr>
        <w:pStyle w:val="BodyText"/>
      </w:pPr>
      <w:r w:rsidRPr="00BC625C">
        <w:rPr>
          <w:rStyle w:val="SpecialBold"/>
        </w:rPr>
        <w:t>PMLDATA400A Process and interpret data</w:t>
      </w:r>
      <w:r w:rsidRPr="00BC625C">
        <w:t>.</w:t>
      </w:r>
    </w:p>
    <w:p w:rsidR="00000000" w:rsidRPr="00BC625C" w:rsidP="00BC625C">
      <w:pPr>
        <w:pStyle w:val="BodyText"/>
      </w:pPr>
      <w:r w:rsidRPr="00BC625C">
        <w:rPr>
          <w:rStyle w:val="SpecialBold"/>
        </w:rPr>
        <w:t>Resource implications</w:t>
      </w:r>
    </w:p>
    <w:p w:rsidR="00000000" w:rsidRPr="00BC625C" w:rsidP="00BC625C">
      <w:pPr>
        <w:pStyle w:val="BodyText"/>
      </w:pPr>
      <w:r w:rsidRPr="00BC625C">
        <w:t>Resources may include:</w:t>
      </w:r>
    </w:p>
    <w:p w:rsidR="00000000" w:rsidRPr="00BC625C" w:rsidP="00BC625C">
      <w:pPr>
        <w:pStyle w:val="BodyText"/>
      </w:pPr>
      <w:r w:rsidRPr="00BC625C">
        <w:t xml:space="preserve">appropriate tools, instruments, equipment and materials </w:t>
      </w:r>
    </w:p>
    <w:p w:rsidR="00000000" w:rsidRPr="00BC625C" w:rsidP="00BC625C">
      <w:pPr>
        <w:pStyle w:val="BodyText"/>
      </w:pPr>
      <w:r w:rsidRPr="00BC625C">
        <w:t>enterprise procedures, test methods, equipment manuals.</w:t>
      </w:r>
    </w:p>
    <w:p w:rsidR="00000000" w:rsidRPr="00BC625C" w:rsidP="00BC625C">
      <w:pPr>
        <w:pStyle w:val="BodyText"/>
      </w:pPr>
      <w:r w:rsidRPr="00BC625C">
        <w:rPr>
          <w:rStyle w:val="SpecialBold"/>
        </w:rPr>
        <w:t>This competency in practice</w:t>
      </w:r>
    </w:p>
    <w:p w:rsidR="00000000" w:rsidRPr="00BC625C" w:rsidP="00BC625C">
      <w:pPr>
        <w:pStyle w:val="BodyText"/>
      </w:pPr>
      <w:r w:rsidRPr="00BC625C">
        <w:rPr>
          <w:rStyle w:val="SpecialBold"/>
        </w:rPr>
        <w:t>Construction materials</w:t>
      </w:r>
    </w:p>
    <w:p w:rsidR="00000000" w:rsidRPr="00BC625C" w:rsidP="00BC625C">
      <w:pPr>
        <w:pStyle w:val="BodyText"/>
      </w:pPr>
      <w:r w:rsidRPr="00BC625C">
        <w:t>Soil moisture density gauges are used extensively for measuring the density of soils, cement</w:t>
      </w:r>
      <w:r w:rsidRPr="00BC625C">
        <w:t xml:space="preserve"> treated roadbase, roller compacted concrete and asphalt. They provide a non-destructive means of monitoring compaction operations during construction, so that additional rolling can be provided before the material sets or is covered with another layer. Na</w:t>
      </w:r>
      <w:r w:rsidRPr="00BC625C">
        <w:t>tional and State Codes of Practice regulate the use of equipment that emits ionising radiation. States and Territories also have licensing and registration requirements for people involved in owning, storing, transporting or using such equipment.</w:t>
      </w:r>
    </w:p>
    <w:p w:rsidR="00000000" w:rsidRPr="00BC625C" w:rsidP="00BC625C">
      <w:pPr>
        <w:pStyle w:val="BodyText"/>
      </w:pPr>
      <w:r w:rsidRPr="00BC625C">
        <w:t>Soil mois</w:t>
      </w:r>
      <w:r w:rsidRPr="00BC625C">
        <w:t>ture density gauges are used on construction sites, so they are transported to the test site in motor vehicles. They must be protected from damage and stored safely and securely while not in use. The operator must ensure that bystanders are kept clear to m</w:t>
      </w:r>
      <w:r w:rsidRPr="00BC625C">
        <w:t>inimise radiation exposure. Owners of gauges are required to have documented procedures and ensure that operators are adequately trained. To ensure the safety and integrity of the gauge, radiation surveys are required at regular intervals. A handheld radia</w:t>
      </w:r>
      <w:r w:rsidRPr="00BC625C">
        <w:t>tion meter is used, and the results recorded.</w:t>
      </w:r>
    </w:p>
    <w:p w:rsidR="00000000" w:rsidRPr="00BC625C" w:rsidP="00BC625C">
      <w:pPr>
        <w:pStyle w:val="BodyText"/>
      </w:pPr>
      <w:r w:rsidRPr="00BC625C">
        <w:rPr>
          <w:rStyle w:val="SpecialBold"/>
        </w:rPr>
        <w:t>Key Competencies</w:t>
      </w:r>
    </w:p>
    <w:p w:rsidR="00000000" w:rsidRPr="00BC625C" w:rsidP="00BC625C">
      <w:pPr>
        <w:pStyle w:val="BodyText"/>
      </w:pPr>
      <w:r w:rsidRPr="00BC625C">
        <w:t>The seven key competencies represent generic skills considered for effective work participation. The bracketed numbering against each of the key competencies indicates the performance level req</w:t>
      </w:r>
      <w:r w:rsidRPr="00BC625C">
        <w:t>uired in this unit. These are stand-alone levels and do not correspond to levels in the Australian Qualifications Framework (AQF).</w:t>
      </w:r>
    </w:p>
    <w:p w:rsidR="00000000" w:rsidRPr="00BC625C" w:rsidP="00BC625C">
      <w:pPr>
        <w:pStyle w:val="BodyText"/>
      </w:pPr>
      <w:r w:rsidRPr="00BC625C">
        <w:t>Level (1) represents the competence to undertake tasks effectively</w:t>
      </w:r>
    </w:p>
    <w:p w:rsidR="00000000" w:rsidRPr="00BC625C" w:rsidP="00BC625C">
      <w:pPr>
        <w:pStyle w:val="BodyText"/>
      </w:pPr>
      <w:r w:rsidRPr="00BC625C">
        <w:t>Level (2) represents the competence to manage tasks</w:t>
      </w:r>
    </w:p>
    <w:p w:rsidR="00000000" w:rsidRPr="00BC625C" w:rsidP="00BC625C">
      <w:pPr>
        <w:pStyle w:val="BodyText"/>
      </w:pPr>
      <w:r w:rsidRPr="00BC625C">
        <w:t xml:space="preserve">Level </w:t>
      </w:r>
      <w:r w:rsidRPr="00BC625C">
        <w:t>(3)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252A1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Communicating ideas and information </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Using mathematical </w:t>
            </w:r>
            <w:r w:rsidRPr="00BC625C">
              <w:t>ideas and techniques</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Solving problems</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Using technology </w:t>
            </w:r>
          </w:p>
        </w:tc>
      </w:tr>
      <w:tr w:rsidTr="00252A1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Level 1 </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Level 1 </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Level 1 </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Level 1 </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Level 1 </w:t>
            </w:r>
          </w:p>
        </w:tc>
        <w:tc>
          <w:tcPr>
            <w:tcW w:w="1285" w:type="dxa"/>
            <w:tcBorders>
              <w:top w:val="nil"/>
              <w:left w:val="nil"/>
              <w:bottom w:val="nil"/>
              <w:right w:val="nil"/>
            </w:tcBorders>
            <w:tcMar>
              <w:top w:w="0" w:type="dxa"/>
              <w:left w:w="62" w:type="dxa"/>
              <w:bottom w:w="0" w:type="dxa"/>
              <w:right w:w="62" w:type="dxa"/>
            </w:tcMar>
          </w:tcPr>
          <w:p w:rsidR="00000000" w:rsidP="00BC625C">
            <w:pPr>
              <w:pStyle w:val="BodyText"/>
              <w:rPr>
                <w:lang w:val="en-NZ"/>
              </w:rPr>
            </w:pPr>
            <w:r w:rsidRPr="00BC625C">
              <w:t xml:space="preserve">Level 2 </w:t>
            </w:r>
          </w:p>
        </w:tc>
        <w:tc>
          <w:tcPr>
            <w:tcW w:w="1285" w:type="dxa"/>
            <w:tcBorders>
              <w:top w:val="nil"/>
              <w:left w:val="nil"/>
              <w:bottom w:val="nil"/>
              <w:right w:val="nil"/>
            </w:tcBorders>
            <w:tcMar>
              <w:top w:w="0" w:type="dxa"/>
              <w:left w:w="62" w:type="dxa"/>
              <w:bottom w:w="0" w:type="dxa"/>
              <w:right w:w="62" w:type="dxa"/>
            </w:tcMar>
          </w:tcPr>
          <w:p w:rsidR="00000000" w:rsidRPr="00BC625C" w:rsidP="00BC625C">
            <w:pPr>
              <w:pStyle w:val="BodyText"/>
            </w:pPr>
            <w:r w:rsidRPr="00BC625C">
              <w:t xml:space="preserve">Level 2 </w:t>
            </w:r>
          </w:p>
        </w:tc>
      </w:tr>
    </w:tbl>
    <w:p w:rsidR="00000000" w:rsidRPr="00BC625C" w:rsidP="00BC625C">
      <w:pPr>
        <w:pStyle w:val="BodyText"/>
      </w:pPr>
    </w:p>
    <w:p w:rsidR="00000000" w:rsidRPr="00BC625C" w:rsidP="00BC625C">
      <w:pPr>
        <w:pStyle w:val="AllowPageBreak"/>
      </w:pPr>
    </w:p>
    <w:p w:rsidR="00000000" w:rsidRPr="00BC625C" w:rsidP="00BC625C">
      <w:pPr>
        <w:pStyle w:val="Heading1"/>
      </w:pPr>
      <w:bookmarkStart w:id="11" w:name="O_312105"/>
      <w:bookmarkEnd w:id="11"/>
      <w:r w:rsidRPr="00BC625C">
        <w:t>Range Statement</w:t>
      </w:r>
    </w:p>
    <w:p w:rsidR="00000000" w:rsidRPr="00BC625C" w:rsidP="00BC625C">
      <w:pPr>
        <w:pStyle w:val="BodyText"/>
      </w:pPr>
      <w:r w:rsidRPr="00BC625C">
        <w:t>The range of variables relates to the unit of competency as a whole. It allows for different work environments and situations that will affect performance.</w:t>
      </w:r>
    </w:p>
    <w:p w:rsidR="00000000" w:rsidRPr="00BC625C" w:rsidP="00BC625C">
      <w:pPr>
        <w:pStyle w:val="BodyText"/>
      </w:pPr>
      <w:r w:rsidRPr="00BC625C">
        <w:t>Where reference is made to industry Codes of Practice, and/or Australian/international standards, it</w:t>
      </w:r>
      <w:r w:rsidRPr="00BC625C">
        <w:t xml:space="preserve"> is expected the latest version will be used.</w:t>
      </w:r>
    </w:p>
    <w:p w:rsidR="00000000" w:rsidRPr="00BC625C" w:rsidP="00BC625C">
      <w:pPr>
        <w:pStyle w:val="BodyText"/>
      </w:pPr>
      <w:r w:rsidRPr="00BC625C">
        <w:t>Operations are performed in accordance with laboratory and/or enterprise procedures, and appropriate legislative requirements. These procedures and requirements include or have been prepared from:</w:t>
      </w:r>
    </w:p>
    <w:p w:rsidR="00000000" w:rsidRPr="00BC625C" w:rsidP="00BC625C">
      <w:pPr>
        <w:pStyle w:val="BodyText"/>
      </w:pPr>
      <w:r w:rsidRPr="00BC625C">
        <w:t>Australian an</w:t>
      </w:r>
      <w:r w:rsidRPr="00BC625C">
        <w:t>d international standards, such as:</w:t>
      </w:r>
    </w:p>
    <w:p w:rsidR="00000000" w:rsidRPr="00BC625C" w:rsidP="00BC625C">
      <w:pPr>
        <w:pStyle w:val="BodyText"/>
      </w:pPr>
      <w:r w:rsidRPr="00BC625C">
        <w:t>AS2243 Safety in laboratories, Part 4 Ionising radiation and Part 5 Non-ionising radiation</w:t>
      </w:r>
    </w:p>
    <w:p w:rsidR="00000000" w:rsidRPr="00BC625C" w:rsidP="00BC625C">
      <w:pPr>
        <w:pStyle w:val="BodyText"/>
      </w:pPr>
      <w:r w:rsidRPr="00BC625C">
        <w:t>Codes of Practice prepared by</w:t>
      </w:r>
    </w:p>
    <w:p w:rsidR="00000000" w:rsidRPr="00BC625C" w:rsidP="00BC625C">
      <w:pPr>
        <w:pStyle w:val="BodyText"/>
      </w:pPr>
      <w:r w:rsidRPr="00BC625C">
        <w:t>Australian Radiation Protection and Nuclear Safety Agency (ARPANSA)</w:t>
      </w:r>
    </w:p>
    <w:p w:rsidR="00000000" w:rsidRPr="00BC625C" w:rsidP="00BC625C">
      <w:pPr>
        <w:pStyle w:val="BodyText"/>
      </w:pPr>
      <w:r w:rsidRPr="00BC625C">
        <w:t>National Health and Medical Res</w:t>
      </w:r>
      <w:r w:rsidRPr="00BC625C">
        <w:t>earch Council (NHMRC)</w:t>
      </w:r>
    </w:p>
    <w:p w:rsidR="00000000" w:rsidRPr="00BC625C" w:rsidP="00BC625C">
      <w:pPr>
        <w:pStyle w:val="BodyText"/>
      </w:pPr>
      <w:r w:rsidRPr="00BC625C">
        <w:t>State and territory legislation dealing with health and environmental protection</w:t>
      </w:r>
    </w:p>
    <w:p w:rsidR="00000000" w:rsidRPr="00BC625C" w:rsidP="00BC625C">
      <w:pPr>
        <w:pStyle w:val="BodyText"/>
      </w:pPr>
      <w:r w:rsidRPr="00BC625C">
        <w:t>standard operating procedures (SOPs)</w:t>
      </w:r>
    </w:p>
    <w:p w:rsidR="00000000" w:rsidRPr="00BC625C" w:rsidP="00BC625C">
      <w:pPr>
        <w:pStyle w:val="BodyText"/>
      </w:pPr>
      <w:r w:rsidRPr="00BC625C">
        <w:t>equipment manuals</w:t>
      </w:r>
    </w:p>
    <w:p w:rsidR="00000000" w:rsidRPr="00BC625C" w:rsidP="00BC625C">
      <w:pPr>
        <w:pStyle w:val="BodyText"/>
      </w:pPr>
      <w:r w:rsidRPr="00BC625C">
        <w:t>equipment start-up, operation and shutdown procedures</w:t>
      </w:r>
    </w:p>
    <w:p w:rsidR="00000000" w:rsidRPr="00BC625C" w:rsidP="00BC625C">
      <w:pPr>
        <w:pStyle w:val="BodyText"/>
      </w:pPr>
      <w:r w:rsidRPr="00BC625C">
        <w:t>calibration and maintenance schedules</w:t>
      </w:r>
    </w:p>
    <w:p w:rsidR="00000000" w:rsidRPr="00BC625C" w:rsidP="00BC625C">
      <w:pPr>
        <w:pStyle w:val="BodyText"/>
      </w:pPr>
      <w:r w:rsidRPr="00BC625C">
        <w:t>quality manuals</w:t>
      </w:r>
    </w:p>
    <w:p w:rsidR="00000000" w:rsidRPr="00BC625C" w:rsidP="00BC625C">
      <w:pPr>
        <w:pStyle w:val="BodyText"/>
      </w:pPr>
      <w:r w:rsidRPr="00BC625C">
        <w:t>enterprise recording and reporting procedures</w:t>
      </w:r>
    </w:p>
    <w:p w:rsidR="00000000" w:rsidRPr="00BC625C" w:rsidP="00BC625C">
      <w:pPr>
        <w:pStyle w:val="BodyText"/>
      </w:pPr>
      <w:r w:rsidRPr="00BC625C">
        <w:t>production and laboratory schedules</w:t>
      </w:r>
    </w:p>
    <w:p w:rsidR="00000000" w:rsidRPr="00BC625C" w:rsidP="00BC625C">
      <w:pPr>
        <w:pStyle w:val="BodyText"/>
      </w:pPr>
      <w:r w:rsidRPr="00BC625C">
        <w:t>material, production and product specifications</w:t>
      </w:r>
    </w:p>
    <w:p w:rsidR="00000000" w:rsidRPr="00BC625C" w:rsidP="00BC625C">
      <w:pPr>
        <w:pStyle w:val="BodyText"/>
      </w:pPr>
      <w:r w:rsidRPr="00BC625C">
        <w:t>licensing requirements.</w:t>
      </w:r>
    </w:p>
    <w:p w:rsidR="00000000" w:rsidRPr="00BC625C" w:rsidP="00BC625C">
      <w:pPr>
        <w:pStyle w:val="BodyText"/>
      </w:pPr>
      <w:r w:rsidRPr="00BC625C">
        <w:t>Instruments and equipment used may include:</w:t>
      </w:r>
    </w:p>
    <w:p w:rsidR="00000000" w:rsidRPr="00BC625C" w:rsidP="00BC625C">
      <w:pPr>
        <w:pStyle w:val="BodyText"/>
      </w:pPr>
      <w:r w:rsidRPr="00BC625C">
        <w:t>soil moisture/density gauges</w:t>
      </w:r>
    </w:p>
    <w:p w:rsidR="00000000" w:rsidRPr="00BC625C" w:rsidP="00BC625C">
      <w:pPr>
        <w:pStyle w:val="BodyText"/>
      </w:pPr>
      <w:r w:rsidRPr="00BC625C">
        <w:t>borehole logg</w:t>
      </w:r>
      <w:r w:rsidRPr="00BC625C">
        <w:t>ing probes</w:t>
      </w:r>
    </w:p>
    <w:p w:rsidR="00000000" w:rsidRPr="00BC625C" w:rsidP="00BC625C">
      <w:pPr>
        <w:pStyle w:val="BodyText"/>
      </w:pPr>
      <w:r w:rsidRPr="00BC625C">
        <w:t>fluid density/level detectors</w:t>
      </w:r>
    </w:p>
    <w:p w:rsidR="00000000" w:rsidRPr="00BC625C" w:rsidP="00BC625C">
      <w:pPr>
        <w:pStyle w:val="BodyText"/>
      </w:pPr>
      <w:r w:rsidRPr="00BC625C">
        <w:t>battery chargers</w:t>
      </w:r>
    </w:p>
    <w:p w:rsidR="00000000" w:rsidRPr="00BC625C" w:rsidP="00BC625C">
      <w:pPr>
        <w:pStyle w:val="BodyText"/>
      </w:pPr>
      <w:r w:rsidRPr="00BC625C">
        <w:t>radiation monitors/doimeters</w:t>
      </w:r>
    </w:p>
    <w:p w:rsidR="00000000" w:rsidRPr="00BC625C" w:rsidP="00BC625C">
      <w:pPr>
        <w:pStyle w:val="BodyText"/>
      </w:pPr>
      <w:r w:rsidRPr="00BC625C">
        <w:t>motor vehicles</w:t>
      </w:r>
    </w:p>
    <w:p w:rsidR="00000000" w:rsidRPr="00BC625C" w:rsidP="00BC625C">
      <w:pPr>
        <w:pStyle w:val="BodyText"/>
      </w:pPr>
      <w:r w:rsidRPr="00BC625C">
        <w:t>storage areas for nuclear sources</w:t>
      </w:r>
    </w:p>
    <w:p w:rsidR="00000000" w:rsidRPr="00BC625C" w:rsidP="00BC625C">
      <w:pPr>
        <w:pStyle w:val="BodyText"/>
      </w:pPr>
      <w:r w:rsidRPr="00BC625C">
        <w:t>documentation, including user manuals, enterprise safety manuals</w:t>
      </w:r>
    </w:p>
    <w:p w:rsidR="00000000" w:rsidRPr="00BC625C" w:rsidP="00BC625C">
      <w:pPr>
        <w:pStyle w:val="BodyText"/>
      </w:pPr>
      <w:r w:rsidRPr="00BC625C">
        <w:t>radiation warning signs.</w:t>
      </w:r>
    </w:p>
    <w:p w:rsidR="00000000" w:rsidRPr="00BC625C" w:rsidP="00BC625C">
      <w:pPr>
        <w:pStyle w:val="BodyText"/>
      </w:pPr>
      <w:r w:rsidRPr="00BC625C">
        <w:t>Typical skills may include:</w:t>
      </w:r>
    </w:p>
    <w:p w:rsidR="00000000" w:rsidRPr="00BC625C" w:rsidP="00BC625C">
      <w:pPr>
        <w:pStyle w:val="BodyText"/>
      </w:pPr>
      <w:r w:rsidRPr="00BC625C">
        <w:t>pe</w:t>
      </w:r>
      <w:r w:rsidRPr="00BC625C">
        <w:t>rforming radiation surveys using radiation monitors</w:t>
      </w:r>
    </w:p>
    <w:p w:rsidR="00000000" w:rsidRPr="00BC625C" w:rsidP="00BC625C">
      <w:pPr>
        <w:pStyle w:val="BodyText"/>
      </w:pPr>
      <w:r w:rsidRPr="00BC625C">
        <w:t xml:space="preserve">using radiation dosimeters </w:t>
      </w:r>
    </w:p>
    <w:p w:rsidR="00000000" w:rsidRPr="00BC625C" w:rsidP="00BC625C">
      <w:pPr>
        <w:pStyle w:val="BodyText"/>
      </w:pPr>
      <w:r w:rsidRPr="00BC625C">
        <w:t>transporting instruments containing radioactive materials</w:t>
      </w:r>
    </w:p>
    <w:p w:rsidR="00000000" w:rsidRPr="00BC625C" w:rsidP="00BC625C">
      <w:pPr>
        <w:pStyle w:val="BodyText"/>
      </w:pPr>
      <w:r w:rsidRPr="00BC625C">
        <w:t>storing instruments containing radioactive materials</w:t>
      </w:r>
    </w:p>
    <w:p w:rsidR="00000000" w:rsidRPr="00BC625C" w:rsidP="00BC625C">
      <w:pPr>
        <w:pStyle w:val="BodyText"/>
      </w:pPr>
      <w:r w:rsidRPr="00BC625C">
        <w:t>using instruments containing radioactive materials</w:t>
      </w:r>
    </w:p>
    <w:p w:rsidR="00000000" w:rsidRPr="00BC625C" w:rsidP="00BC625C">
      <w:pPr>
        <w:pStyle w:val="BodyText"/>
      </w:pPr>
      <w:r w:rsidRPr="00BC625C">
        <w:t>maintaining in</w:t>
      </w:r>
      <w:r w:rsidRPr="00BC625C">
        <w:t>struments containing radioactive materials.</w:t>
      </w:r>
    </w:p>
    <w:p w:rsidR="00000000" w:rsidRPr="00BC625C" w:rsidP="00BC625C">
      <w:pPr>
        <w:pStyle w:val="BodyText"/>
      </w:pPr>
      <w:r w:rsidRPr="00BC625C">
        <w:t>Hazards and problems may include:</w:t>
      </w:r>
    </w:p>
    <w:p w:rsidR="00000000" w:rsidRPr="00BC625C" w:rsidP="00BC625C">
      <w:pPr>
        <w:pStyle w:val="BodyText"/>
      </w:pPr>
      <w:r w:rsidRPr="00BC625C">
        <w:t>jamming of the source rod in the exposed position</w:t>
      </w:r>
    </w:p>
    <w:p w:rsidR="00000000" w:rsidRPr="00BC625C" w:rsidP="00BC625C">
      <w:pPr>
        <w:pStyle w:val="BodyText"/>
      </w:pPr>
      <w:r w:rsidRPr="00BC625C">
        <w:t>incidents during transportation</w:t>
      </w:r>
    </w:p>
    <w:p w:rsidR="00000000" w:rsidRPr="00BC625C" w:rsidP="00BC625C">
      <w:pPr>
        <w:pStyle w:val="BodyText"/>
      </w:pPr>
      <w:r w:rsidRPr="00BC625C">
        <w:t>fire</w:t>
      </w:r>
    </w:p>
    <w:p w:rsidR="00000000" w:rsidRPr="00BC625C" w:rsidP="00BC625C">
      <w:pPr>
        <w:pStyle w:val="BodyText"/>
      </w:pPr>
      <w:r w:rsidRPr="00BC625C">
        <w:t>theft of equipment containing radioactive sources</w:t>
      </w:r>
    </w:p>
    <w:p w:rsidR="00000000" w:rsidRPr="00BC625C" w:rsidP="00BC625C">
      <w:pPr>
        <w:pStyle w:val="BodyText"/>
      </w:pPr>
      <w:r w:rsidRPr="00BC625C">
        <w:t>on-site accidents</w:t>
      </w:r>
    </w:p>
    <w:p w:rsidR="00000000" w:rsidRPr="00BC625C" w:rsidP="00BC625C">
      <w:pPr>
        <w:pStyle w:val="BodyText"/>
      </w:pPr>
      <w:r w:rsidRPr="00BC625C">
        <w:t>keeping other personnel</w:t>
      </w:r>
      <w:r w:rsidRPr="00BC625C">
        <w:t xml:space="preserve"> clear of instrument</w:t>
      </w:r>
    </w:p>
    <w:p w:rsidR="00000000" w:rsidRPr="00BC625C" w:rsidP="00BC625C">
      <w:pPr>
        <w:pStyle w:val="BodyText"/>
      </w:pPr>
      <w:r w:rsidRPr="00BC625C">
        <w:t>instrument breakdown.</w:t>
      </w:r>
    </w:p>
    <w:p w:rsidR="00000000" w:rsidRPr="00BC625C" w:rsidP="00BC625C">
      <w:pPr>
        <w:pStyle w:val="BodyText"/>
      </w:pPr>
      <w:r w:rsidRPr="00BC625C">
        <w:t>Safe working practices include the critical elements for radiation safety</w:t>
      </w:r>
    </w:p>
    <w:p w:rsidR="00000000" w:rsidRPr="00BC625C" w:rsidP="00BC625C">
      <w:pPr>
        <w:pStyle w:val="BodyText"/>
      </w:pPr>
      <w:r w:rsidRPr="00BC625C">
        <w:t>time (reduce the exposure time)</w:t>
      </w:r>
    </w:p>
    <w:p w:rsidR="00000000" w:rsidRPr="00BC625C" w:rsidP="00BC625C">
      <w:pPr>
        <w:pStyle w:val="BodyText"/>
      </w:pPr>
      <w:r w:rsidRPr="00BC625C">
        <w:t>distance (maintain greatest distance possible at all times)</w:t>
      </w:r>
    </w:p>
    <w:p w:rsidR="00000000" w:rsidRPr="00BC625C" w:rsidP="00BC625C">
      <w:pPr>
        <w:pStyle w:val="BodyText"/>
      </w:pPr>
      <w:r w:rsidRPr="00BC625C">
        <w:t>shielding (interpose as much radiation shielding between yourself and the radiation source as possible).</w:t>
      </w:r>
    </w:p>
    <w:p w:rsidR="00000000" w:rsidRPr="00BC625C" w:rsidP="00BC625C">
      <w:pPr>
        <w:pStyle w:val="BodyText"/>
      </w:pPr>
      <w:r w:rsidRPr="00BC625C">
        <w:rPr>
          <w:rStyle w:val="SpecialBold"/>
        </w:rPr>
        <w:t>Health</w:t>
      </w:r>
      <w:r w:rsidRPr="00BC625C">
        <w:t xml:space="preserve">, </w:t>
      </w:r>
      <w:r w:rsidRPr="00BC625C">
        <w:rPr>
          <w:rStyle w:val="SpecialBold"/>
        </w:rPr>
        <w:t>safety and environment</w:t>
      </w:r>
    </w:p>
    <w:p w:rsidR="00000000" w:rsidRPr="00BC625C" w:rsidP="00BC625C">
      <w:pPr>
        <w:pStyle w:val="BodyText"/>
      </w:pPr>
      <w:r w:rsidRPr="00BC625C">
        <w:t xml:space="preserve">All operations to which this unit applies are subject to stringent health, safety and environmental (HSE) </w:t>
      </w:r>
      <w:r w:rsidRPr="00BC625C">
        <w:t xml:space="preserve">requirements, </w:t>
      </w:r>
      <w:r w:rsidRPr="00BC625C">
        <w:t>which may be imposed through State or Federal legislation, and these must not be compromised at any time. Where there is an apparent conflict between performance criteria and HSE requirements, the HSE requirements take precedence.</w:t>
      </w:r>
    </w:p>
    <w:p w:rsidR="00000000" w:rsidRPr="00BC625C" w:rsidP="00BC625C">
      <w:pPr>
        <w:pStyle w:val="BodyText"/>
      </w:pPr>
      <w:r w:rsidRPr="00BC625C">
        <w:t>All operations assume the</w:t>
      </w:r>
      <w:r w:rsidRPr="00BC625C">
        <w:t xml:space="preserve"> potentially hazardous nature of samples and require standard precautions to be applied. Users should access and apply current industry understanding of infection control issued by the National Health and Medical Research Council and State and Territory De</w:t>
      </w:r>
      <w:r w:rsidRPr="00BC625C">
        <w:t>partments of Health. All operations are performed in accordance with standard operating procedures.</w:t>
      </w:r>
    </w:p>
    <w:p w:rsidR="00000000" w:rsidRPr="00BC625C" w:rsidP="00BC625C">
      <w:pPr>
        <w:pStyle w:val="AllowPageBreak"/>
      </w:pPr>
    </w:p>
    <w:p w:rsidR="00000000" w:rsidRPr="00BC625C" w:rsidP="00BC625C">
      <w:pPr>
        <w:pStyle w:val="Heading1"/>
      </w:pPr>
      <w:bookmarkStart w:id="12" w:name="O_312110"/>
      <w:bookmarkEnd w:id="12"/>
      <w:r w:rsidRPr="00BC625C">
        <w:t>Unit Sector(s)</w:t>
      </w:r>
    </w:p>
    <w:p w:rsidR="00000000" w:rsidRPr="00BC625C" w:rsidP="00BC625C"/>
    <w:sectPr w:rsidSect="00BC625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A16" w:rsidP="00252A1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16" w:rsidP="00BC625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52A16" w:rsidP="00BC625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52A16" w:rsidP="00BC625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52A16" w:rsidP="00252A1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625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2A16" w:rsidP="00BC625C">
    <w:pPr>
      <w:pStyle w:val="Header"/>
      <w:framePr w:wrap="around"/>
    </w:pPr>
    <w:r>
      <w:fldChar w:fldCharType="begin"/>
    </w:r>
    <w:r>
      <w:instrText xml:space="preserve"> TITLE   \* MERGEFORMAT </w:instrText>
    </w:r>
    <w:r>
      <w:fldChar w:fldCharType="separate"/>
    </w:r>
    <w:r>
      <w:t>PMLOHS301B Work safely with instruments that emit ionising radiation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52A16" w:rsidP="00BC625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625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625C"/>
    <w:pPr>
      <w:spacing w:before="360" w:after="60"/>
      <w:outlineLvl w:val="0"/>
    </w:pPr>
    <w:rPr>
      <w:sz w:val="32"/>
    </w:rPr>
  </w:style>
  <w:style w:type="paragraph" w:styleId="Heading2">
    <w:name w:val="heading 2"/>
    <w:basedOn w:val="HeadingBase"/>
    <w:next w:val="BodyText"/>
    <w:link w:val="Heading2Char"/>
    <w:qFormat/>
    <w:rsid w:val="00BC625C"/>
    <w:pPr>
      <w:keepLines/>
      <w:spacing w:before="240" w:after="120"/>
      <w:outlineLvl w:val="1"/>
    </w:pPr>
    <w:rPr>
      <w:sz w:val="28"/>
      <w:szCs w:val="40"/>
    </w:rPr>
  </w:style>
  <w:style w:type="paragraph" w:styleId="Heading3">
    <w:name w:val="heading 3"/>
    <w:basedOn w:val="HeadingBase"/>
    <w:next w:val="BodyText"/>
    <w:link w:val="Heading3Char"/>
    <w:qFormat/>
    <w:rsid w:val="00BC625C"/>
    <w:pPr>
      <w:spacing w:before="180" w:after="120"/>
      <w:outlineLvl w:val="2"/>
    </w:pPr>
    <w:rPr>
      <w:spacing w:val="-10"/>
      <w:kern w:val="32"/>
    </w:rPr>
  </w:style>
  <w:style w:type="paragraph" w:styleId="Heading4">
    <w:name w:val="heading 4"/>
    <w:basedOn w:val="HeadingBase"/>
    <w:next w:val="BodyText"/>
    <w:link w:val="Heading4Char"/>
    <w:qFormat/>
    <w:rsid w:val="00BC625C"/>
    <w:pPr>
      <w:spacing w:before="160" w:after="120"/>
      <w:outlineLvl w:val="3"/>
    </w:pPr>
    <w:rPr>
      <w:sz w:val="22"/>
    </w:rPr>
  </w:style>
  <w:style w:type="paragraph" w:styleId="Heading5">
    <w:name w:val="heading 5"/>
    <w:basedOn w:val="HeadingBase"/>
    <w:next w:val="Normal"/>
    <w:link w:val="Heading5Char"/>
    <w:qFormat/>
    <w:rsid w:val="00BC625C"/>
    <w:pPr>
      <w:spacing w:before="80"/>
      <w:outlineLvl w:val="4"/>
    </w:pPr>
    <w:rPr>
      <w:color w:val="918585"/>
      <w:sz w:val="20"/>
    </w:rPr>
  </w:style>
  <w:style w:type="paragraph" w:styleId="Heading6">
    <w:name w:val="heading 6"/>
    <w:basedOn w:val="HeadingBase"/>
    <w:next w:val="Normal"/>
    <w:link w:val="Heading6Char"/>
    <w:qFormat/>
    <w:rsid w:val="00BC625C"/>
    <w:pPr>
      <w:spacing w:before="60"/>
      <w:outlineLvl w:val="5"/>
    </w:pPr>
    <w:rPr>
      <w:color w:val="918585"/>
      <w:sz w:val="20"/>
    </w:rPr>
  </w:style>
  <w:style w:type="paragraph" w:styleId="Heading7">
    <w:name w:val="heading 7"/>
    <w:basedOn w:val="Normal"/>
    <w:next w:val="Normal"/>
    <w:link w:val="Heading7Char"/>
    <w:qFormat/>
    <w:rsid w:val="00BC625C"/>
    <w:pPr>
      <w:ind w:left="720"/>
      <w:outlineLvl w:val="6"/>
    </w:pPr>
    <w:rPr>
      <w:i/>
    </w:rPr>
  </w:style>
  <w:style w:type="paragraph" w:styleId="Heading8">
    <w:name w:val="heading 8"/>
    <w:basedOn w:val="Normal"/>
    <w:next w:val="Normal"/>
    <w:link w:val="Heading8Char"/>
    <w:qFormat/>
    <w:rsid w:val="00BC625C"/>
    <w:pPr>
      <w:ind w:left="720"/>
      <w:outlineLvl w:val="7"/>
    </w:pPr>
    <w:rPr>
      <w:i/>
    </w:rPr>
  </w:style>
  <w:style w:type="paragraph" w:styleId="Heading9">
    <w:name w:val="heading 9"/>
    <w:basedOn w:val="Normal"/>
    <w:next w:val="Normal"/>
    <w:link w:val="Heading9Char"/>
    <w:qFormat/>
    <w:rsid w:val="00BC625C"/>
    <w:pPr>
      <w:ind w:left="720"/>
      <w:outlineLvl w:val="8"/>
    </w:pPr>
    <w:rPr>
      <w:i/>
    </w:rPr>
  </w:style>
  <w:style w:type="character" w:default="1" w:styleId="DefaultParagraphFont">
    <w:name w:val="Default Paragraph Font"/>
    <w:uiPriority w:val="1"/>
    <w:unhideWhenUsed/>
    <w:rsid w:val="00BC625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625C"/>
  </w:style>
  <w:style w:type="character" w:customStyle="1" w:styleId="Heading1Char">
    <w:name w:val="Heading 1 Char"/>
    <w:basedOn w:val="DefaultParagraphFont"/>
    <w:link w:val="Heading1"/>
    <w:rsid w:val="00BC625C"/>
    <w:rPr>
      <w:rFonts w:ascii="Times New Roman" w:eastAsia="Times New Roman" w:hAnsi="Times New Roman" w:cs="Times New Roman"/>
      <w:b/>
      <w:sz w:val="32"/>
      <w:szCs w:val="20"/>
      <w:lang w:eastAsia="en-US"/>
    </w:rPr>
  </w:style>
  <w:style w:type="paragraph" w:styleId="BodyText">
    <w:name w:val="Body Text"/>
    <w:basedOn w:val="Normal"/>
    <w:link w:val="BodyTextChar"/>
    <w:rsid w:val="00BC625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625C"/>
    <w:rPr>
      <w:rFonts w:ascii="Times New Roman" w:eastAsia="Times New Roman" w:hAnsi="Times New Roman" w:cs="Times New Roman"/>
      <w:sz w:val="24"/>
      <w:lang w:val="en-US" w:eastAsia="en-US"/>
    </w:rPr>
  </w:style>
  <w:style w:type="paragraph" w:styleId="Footer">
    <w:name w:val="footer"/>
    <w:basedOn w:val="Normal"/>
    <w:link w:val="FooterChar"/>
    <w:rsid w:val="00BC625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625C"/>
    <w:rPr>
      <w:rFonts w:ascii="Times New Roman" w:eastAsia="Times New Roman" w:hAnsi="Times New Roman" w:cs="Times New Roman"/>
      <w:sz w:val="16"/>
      <w:lang w:val="en-US" w:eastAsia="en-US"/>
    </w:rPr>
  </w:style>
  <w:style w:type="character" w:customStyle="1" w:styleId="SpecialBold">
    <w:name w:val="Special Bold"/>
    <w:basedOn w:val="DefaultParagraphFont"/>
    <w:rsid w:val="00BC625C"/>
    <w:rPr>
      <w:b/>
      <w:spacing w:val="0"/>
    </w:rPr>
  </w:style>
  <w:style w:type="paragraph" w:styleId="Header">
    <w:name w:val="header"/>
    <w:basedOn w:val="Normal"/>
    <w:link w:val="HeaderChar"/>
    <w:rsid w:val="00BC625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625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625C"/>
    <w:pPr>
      <w:spacing w:before="240" w:after="120"/>
      <w:outlineLvl w:val="0"/>
    </w:pPr>
    <w:rPr>
      <w:rFonts w:ascii="Times New Roman" w:hAnsi="Times New Roman"/>
      <w:b/>
      <w:sz w:val="28"/>
    </w:rPr>
  </w:style>
  <w:style w:type="paragraph" w:customStyle="1" w:styleId="AllowPageBreak">
    <w:name w:val="AllowPageBreak"/>
    <w:rsid w:val="00BC625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C625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625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625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625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625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625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625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625C"/>
    <w:rPr>
      <w:rFonts w:ascii="Courier New" w:eastAsia="Times New Roman" w:hAnsi="Courier New" w:cs="Times New Roman"/>
      <w:i/>
      <w:szCs w:val="20"/>
      <w:lang w:val="en-US" w:eastAsia="en-US"/>
    </w:rPr>
  </w:style>
  <w:style w:type="paragraph" w:customStyle="1" w:styleId="HeadingBase">
    <w:name w:val="Heading Base"/>
    <w:rsid w:val="00BC625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625C"/>
    <w:pPr>
      <w:tabs>
        <w:tab w:val="right" w:leader="dot" w:pos="9072"/>
      </w:tabs>
      <w:ind w:left="567"/>
    </w:pPr>
    <w:rPr>
      <w:szCs w:val="22"/>
    </w:rPr>
  </w:style>
  <w:style w:type="paragraph" w:customStyle="1" w:styleId="TOCBase">
    <w:name w:val="TOC Base"/>
    <w:rsid w:val="00BC625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625C"/>
    <w:pPr>
      <w:tabs>
        <w:tab w:val="right" w:leader="dot" w:pos="9072"/>
      </w:tabs>
      <w:spacing w:before="40" w:after="40"/>
      <w:ind w:left="284"/>
    </w:pPr>
    <w:rPr>
      <w:rFonts w:ascii="Times New Roman" w:hAnsi="Times New Roman"/>
    </w:rPr>
  </w:style>
  <w:style w:type="paragraph" w:styleId="TOC1">
    <w:name w:val="toc 1"/>
    <w:basedOn w:val="TOCBase"/>
    <w:next w:val="Normal"/>
    <w:rsid w:val="00BC625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625C"/>
    <w:pPr>
      <w:spacing w:before="5040"/>
      <w:jc w:val="center"/>
    </w:pPr>
    <w:rPr>
      <w:sz w:val="48"/>
      <w:szCs w:val="72"/>
      <w:lang w:val="en-US"/>
    </w:rPr>
  </w:style>
  <w:style w:type="character" w:customStyle="1" w:styleId="TitleChar">
    <w:name w:val="Title Char"/>
    <w:basedOn w:val="DefaultParagraphFont"/>
    <w:link w:val="Title"/>
    <w:rsid w:val="00BC625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625C"/>
    <w:pPr>
      <w:tabs>
        <w:tab w:val="left" w:pos="3600"/>
        <w:tab w:val="left" w:pos="3958"/>
      </w:tabs>
    </w:pPr>
  </w:style>
  <w:style w:type="paragraph" w:styleId="List">
    <w:name w:val="List"/>
    <w:basedOn w:val="BodyText"/>
    <w:next w:val="BodyText"/>
    <w:rsid w:val="00BC625C"/>
    <w:pPr>
      <w:tabs>
        <w:tab w:val="left" w:pos="340"/>
      </w:tabs>
      <w:spacing w:before="60" w:after="60"/>
      <w:ind w:left="340" w:hanging="340"/>
    </w:pPr>
  </w:style>
  <w:style w:type="paragraph" w:styleId="ListBullet">
    <w:name w:val="List Bullet"/>
    <w:basedOn w:val="List"/>
    <w:rsid w:val="00BC625C"/>
    <w:pPr>
      <w:numPr>
        <w:numId w:val="11"/>
      </w:numPr>
      <w:tabs>
        <w:tab w:val="clear" w:pos="340"/>
      </w:tabs>
      <w:spacing w:before="40" w:after="40"/>
    </w:pPr>
  </w:style>
  <w:style w:type="paragraph" w:customStyle="1" w:styleId="Note">
    <w:name w:val="Note"/>
    <w:basedOn w:val="BodyText"/>
    <w:rsid w:val="00BC625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625C"/>
    <w:pPr>
      <w:framePr w:wrap="auto" w:hAnchor="text" w:y="6049"/>
    </w:pPr>
    <w:rPr>
      <w:color w:val="000000"/>
      <w:sz w:val="40"/>
    </w:rPr>
  </w:style>
  <w:style w:type="paragraph" w:customStyle="1" w:styleId="TOCTitle">
    <w:name w:val="TOCTitle"/>
    <w:basedOn w:val="Heading1"/>
    <w:rsid w:val="00BC625C"/>
    <w:pPr>
      <w:spacing w:after="240"/>
      <w:jc w:val="center"/>
      <w:outlineLvl w:val="9"/>
    </w:pPr>
    <w:rPr>
      <w:caps/>
    </w:rPr>
  </w:style>
  <w:style w:type="paragraph" w:customStyle="1" w:styleId="Version">
    <w:name w:val="Version"/>
    <w:rsid w:val="00BC625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C625C"/>
    <w:pPr>
      <w:numPr>
        <w:numId w:val="12"/>
      </w:numPr>
      <w:tabs>
        <w:tab w:val="clear" w:pos="680"/>
      </w:tabs>
    </w:pPr>
  </w:style>
  <w:style w:type="paragraph" w:styleId="Index1">
    <w:name w:val="index 1"/>
    <w:basedOn w:val="Normal"/>
    <w:next w:val="Normal"/>
    <w:semiHidden/>
    <w:rsid w:val="00BC625C"/>
    <w:pPr>
      <w:keepNext w:val="0"/>
      <w:tabs>
        <w:tab w:val="right" w:pos="4176"/>
      </w:tabs>
      <w:ind w:left="198" w:hanging="198"/>
    </w:pPr>
    <w:rPr>
      <w:rFonts w:ascii="Garamond" w:hAnsi="Garamond"/>
    </w:rPr>
  </w:style>
  <w:style w:type="paragraph" w:styleId="IndexHeading">
    <w:name w:val="index heading"/>
    <w:basedOn w:val="Normal"/>
    <w:next w:val="Index1"/>
    <w:semiHidden/>
    <w:rsid w:val="00BC625C"/>
    <w:pPr>
      <w:spacing w:before="120" w:after="120"/>
    </w:pPr>
    <w:rPr>
      <w:rFonts w:ascii="Arial" w:hAnsi="Arial"/>
      <w:b/>
      <w:color w:val="918585"/>
      <w:sz w:val="24"/>
    </w:rPr>
  </w:style>
  <w:style w:type="paragraph" w:customStyle="1" w:styleId="Chapter">
    <w:name w:val="Chapter"/>
    <w:basedOn w:val="Normal"/>
    <w:rsid w:val="00BC625C"/>
    <w:pPr>
      <w:spacing w:before="240"/>
    </w:pPr>
    <w:rPr>
      <w:rFonts w:ascii="Times New Roman" w:hAnsi="Times New Roman"/>
      <w:smallCaps/>
      <w:spacing w:val="80"/>
      <w:sz w:val="28"/>
    </w:rPr>
  </w:style>
  <w:style w:type="paragraph" w:customStyle="1" w:styleId="InChapter">
    <w:name w:val="InChapter"/>
    <w:basedOn w:val="Heading3"/>
    <w:rsid w:val="00BC625C"/>
    <w:pPr>
      <w:spacing w:after="240"/>
      <w:outlineLvl w:val="9"/>
    </w:pPr>
    <w:rPr>
      <w:noProof/>
    </w:rPr>
  </w:style>
  <w:style w:type="paragraph" w:styleId="Index2">
    <w:name w:val="index 2"/>
    <w:basedOn w:val="Normal"/>
    <w:next w:val="Normal"/>
    <w:semiHidden/>
    <w:rsid w:val="00BC625C"/>
    <w:pPr>
      <w:tabs>
        <w:tab w:val="right" w:pos="4176"/>
      </w:tabs>
      <w:ind w:left="568" w:hanging="284"/>
    </w:pPr>
    <w:rPr>
      <w:rFonts w:ascii="Garamond" w:hAnsi="Garamond"/>
    </w:rPr>
  </w:style>
  <w:style w:type="paragraph" w:customStyle="1" w:styleId="Byline">
    <w:name w:val="Byline"/>
    <w:rsid w:val="00BC625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625C"/>
    <w:pPr>
      <w:tabs>
        <w:tab w:val="clear" w:pos="3600"/>
        <w:tab w:val="clear" w:pos="3958"/>
      </w:tabs>
      <w:jc w:val="right"/>
    </w:pPr>
  </w:style>
  <w:style w:type="character" w:styleId="Emphasis">
    <w:name w:val="Emphasis"/>
    <w:basedOn w:val="DefaultParagraphFont"/>
    <w:qFormat/>
    <w:rsid w:val="00BC625C"/>
    <w:rPr>
      <w:i/>
    </w:rPr>
  </w:style>
  <w:style w:type="paragraph" w:styleId="Caption">
    <w:name w:val="caption"/>
    <w:basedOn w:val="BodyText"/>
    <w:next w:val="Normal"/>
    <w:qFormat/>
    <w:rsid w:val="00BC625C"/>
    <w:pPr>
      <w:framePr w:w="2268" w:hSpace="181" w:vSpace="181" w:wrap="around" w:vAnchor="text" w:hAnchor="page" w:x="1135" w:y="285" w:anchorLock="1"/>
    </w:pPr>
    <w:rPr>
      <w:i/>
    </w:rPr>
  </w:style>
  <w:style w:type="paragraph" w:customStyle="1" w:styleId="MiniTOCTitle">
    <w:name w:val="MiniTOCTitle"/>
    <w:basedOn w:val="Heading4"/>
    <w:rsid w:val="00BC625C"/>
    <w:pPr>
      <w:spacing w:before="240"/>
      <w:outlineLvl w:val="9"/>
    </w:pPr>
    <w:rPr>
      <w:noProof/>
      <w:sz w:val="24"/>
    </w:rPr>
  </w:style>
  <w:style w:type="paragraph" w:customStyle="1" w:styleId="MiniTOCItem">
    <w:name w:val="MiniTOCItem"/>
    <w:basedOn w:val="ListBullet"/>
    <w:rsid w:val="00BC625C"/>
    <w:pPr>
      <w:numPr>
        <w:numId w:val="0"/>
      </w:numPr>
      <w:tabs>
        <w:tab w:val="right" w:leader="dot" w:pos="6521"/>
      </w:tabs>
      <w:spacing w:before="0" w:after="0"/>
    </w:pPr>
  </w:style>
  <w:style w:type="paragraph" w:customStyle="1" w:styleId="TOFTitle">
    <w:name w:val="TOFTitle"/>
    <w:basedOn w:val="TOCTitle"/>
    <w:rsid w:val="00BC625C"/>
  </w:style>
  <w:style w:type="paragraph" w:styleId="TableofFigures">
    <w:name w:val="table of figures"/>
    <w:basedOn w:val="Normal"/>
    <w:next w:val="Normal"/>
    <w:semiHidden/>
    <w:rsid w:val="00BC625C"/>
    <w:pPr>
      <w:tabs>
        <w:tab w:val="right" w:leader="dot" w:pos="9072"/>
      </w:tabs>
      <w:ind w:left="970" w:hanging="403"/>
    </w:pPr>
    <w:rPr>
      <w:rFonts w:ascii="Times New Roman" w:hAnsi="Times New Roman"/>
      <w:b/>
    </w:rPr>
  </w:style>
  <w:style w:type="paragraph" w:styleId="ListNumber">
    <w:name w:val="List Number"/>
    <w:basedOn w:val="List"/>
    <w:rsid w:val="00BC625C"/>
    <w:pPr>
      <w:numPr>
        <w:numId w:val="9"/>
      </w:numPr>
    </w:pPr>
  </w:style>
  <w:style w:type="character" w:customStyle="1" w:styleId="WingdingSymbols">
    <w:name w:val="Wingding Symbols"/>
    <w:rsid w:val="00BC625C"/>
    <w:rPr>
      <w:rFonts w:ascii="Wingdings" w:hAnsi="Wingdings"/>
    </w:rPr>
  </w:style>
  <w:style w:type="paragraph" w:customStyle="1" w:styleId="TableHeading">
    <w:name w:val="Table Heading"/>
    <w:basedOn w:val="HeadingBase"/>
    <w:rsid w:val="00BC625C"/>
    <w:pPr>
      <w:keepLines/>
      <w:pBdr>
        <w:bottom w:val="single" w:sz="6" w:space="1" w:color="918585"/>
      </w:pBdr>
      <w:spacing w:before="240"/>
    </w:pPr>
  </w:style>
  <w:style w:type="character" w:customStyle="1" w:styleId="HotSpot">
    <w:name w:val="HotSpot"/>
    <w:rsid w:val="00BC625C"/>
    <w:rPr>
      <w:color w:val="0033CC"/>
      <w:u w:val="none"/>
    </w:rPr>
  </w:style>
  <w:style w:type="paragraph" w:customStyle="1" w:styleId="BodyTextRight">
    <w:name w:val="Body Text Right"/>
    <w:basedOn w:val="BodyText"/>
    <w:rsid w:val="00BC625C"/>
    <w:pPr>
      <w:spacing w:before="0" w:after="0"/>
      <w:jc w:val="right"/>
    </w:pPr>
  </w:style>
  <w:style w:type="paragraph" w:styleId="Index3">
    <w:name w:val="index 3"/>
    <w:basedOn w:val="ListNumber2"/>
    <w:next w:val="Normal"/>
    <w:semiHidden/>
    <w:rsid w:val="00BC625C"/>
    <w:pPr>
      <w:numPr>
        <w:numId w:val="0"/>
      </w:numPr>
      <w:tabs>
        <w:tab w:val="right" w:leader="dot" w:pos="4176"/>
      </w:tabs>
    </w:pPr>
  </w:style>
  <w:style w:type="paragraph" w:styleId="ListNumber2">
    <w:name w:val="List Number 2"/>
    <w:basedOn w:val="List2"/>
    <w:rsid w:val="00BC625C"/>
    <w:pPr>
      <w:numPr>
        <w:numId w:val="8"/>
      </w:numPr>
      <w:tabs>
        <w:tab w:val="clear" w:pos="1060"/>
      </w:tabs>
    </w:pPr>
  </w:style>
  <w:style w:type="paragraph" w:customStyle="1" w:styleId="MarginNote">
    <w:name w:val="Margin Note"/>
    <w:basedOn w:val="BodyText"/>
    <w:rsid w:val="00BC625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625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625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625C"/>
    <w:rPr>
      <w:sz w:val="32"/>
    </w:rPr>
  </w:style>
  <w:style w:type="paragraph" w:customStyle="1" w:styleId="HeadingProcedure">
    <w:name w:val="Heading Procedure"/>
    <w:basedOn w:val="HeadingBase"/>
    <w:next w:val="Normal"/>
    <w:rsid w:val="00BC625C"/>
    <w:pPr>
      <w:tabs>
        <w:tab w:val="left" w:pos="0"/>
      </w:tabs>
      <w:spacing w:before="120" w:after="60"/>
    </w:pPr>
    <w:rPr>
      <w:i/>
      <w:color w:val="918585"/>
      <w:sz w:val="22"/>
    </w:rPr>
  </w:style>
  <w:style w:type="paragraph" w:customStyle="1" w:styleId="TableBodyText">
    <w:name w:val="Table Body Text"/>
    <w:basedOn w:val="BodyText"/>
    <w:rsid w:val="00BC625C"/>
    <w:pPr>
      <w:spacing w:before="60" w:after="60"/>
    </w:pPr>
  </w:style>
  <w:style w:type="paragraph" w:styleId="ListContinue">
    <w:name w:val="List Continue"/>
    <w:basedOn w:val="List"/>
    <w:rsid w:val="00BC625C"/>
    <w:pPr>
      <w:ind w:firstLine="0"/>
    </w:pPr>
  </w:style>
  <w:style w:type="paragraph" w:customStyle="1" w:styleId="ListNote">
    <w:name w:val="List Note"/>
    <w:basedOn w:val="List"/>
    <w:rsid w:val="00BC625C"/>
    <w:pPr>
      <w:pBdr>
        <w:top w:val="single" w:sz="6" w:space="2" w:color="918585"/>
        <w:bottom w:val="single" w:sz="6" w:space="2" w:color="918585"/>
      </w:pBdr>
      <w:tabs>
        <w:tab w:val="left" w:pos="1021"/>
      </w:tabs>
      <w:ind w:firstLine="0"/>
    </w:pPr>
  </w:style>
  <w:style w:type="paragraph" w:customStyle="1" w:styleId="Warning">
    <w:name w:val="Warning"/>
    <w:basedOn w:val="BodyText"/>
    <w:rsid w:val="00BC625C"/>
    <w:pPr>
      <w:shd w:val="clear" w:color="auto" w:fill="D9D9D9"/>
      <w:tabs>
        <w:tab w:val="left" w:pos="992"/>
      </w:tabs>
      <w:ind w:left="119" w:right="119"/>
    </w:pPr>
    <w:rPr>
      <w:sz w:val="20"/>
    </w:rPr>
  </w:style>
  <w:style w:type="paragraph" w:customStyle="1" w:styleId="MarginIcons">
    <w:name w:val="Margin Icons"/>
    <w:basedOn w:val="BodyText"/>
    <w:rsid w:val="00BC625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625C"/>
    <w:rPr>
      <w:rFonts w:ascii="Courier New" w:hAnsi="Courier New"/>
    </w:rPr>
  </w:style>
  <w:style w:type="paragraph" w:customStyle="1" w:styleId="NoteBullet">
    <w:name w:val="Note Bullet"/>
    <w:basedOn w:val="Note"/>
    <w:rsid w:val="00BC625C"/>
    <w:pPr>
      <w:tabs>
        <w:tab w:val="clear" w:pos="680"/>
      </w:tabs>
      <w:spacing w:before="60" w:after="60"/>
    </w:pPr>
  </w:style>
  <w:style w:type="paragraph" w:customStyle="1" w:styleId="SubHeading2">
    <w:name w:val="SubHeading2"/>
    <w:basedOn w:val="HeadingBase"/>
    <w:rsid w:val="00BC625C"/>
    <w:pPr>
      <w:spacing w:before="240" w:after="60"/>
    </w:pPr>
    <w:rPr>
      <w:sz w:val="20"/>
    </w:rPr>
  </w:style>
  <w:style w:type="paragraph" w:customStyle="1" w:styleId="SubHeading1">
    <w:name w:val="SubHeading1"/>
    <w:basedOn w:val="HeadingBase"/>
    <w:rsid w:val="00BC625C"/>
    <w:pPr>
      <w:spacing w:before="240" w:after="60"/>
    </w:pPr>
    <w:rPr>
      <w:color w:val="918585"/>
      <w:sz w:val="22"/>
    </w:rPr>
  </w:style>
  <w:style w:type="paragraph" w:customStyle="1" w:styleId="SideHeading">
    <w:name w:val="Side Heading"/>
    <w:basedOn w:val="HeadingBase"/>
    <w:rsid w:val="00BC625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625C"/>
    <w:pPr>
      <w:numPr>
        <w:numId w:val="10"/>
      </w:numPr>
    </w:pPr>
  </w:style>
  <w:style w:type="paragraph" w:styleId="PlainText">
    <w:name w:val="Plain Text"/>
    <w:basedOn w:val="Normal"/>
    <w:link w:val="PlainTextChar"/>
    <w:rsid w:val="00BC625C"/>
    <w:rPr>
      <w:sz w:val="20"/>
    </w:rPr>
  </w:style>
  <w:style w:type="character" w:customStyle="1" w:styleId="PlainTextChar">
    <w:name w:val="Plain Text Char"/>
    <w:basedOn w:val="DefaultParagraphFont"/>
    <w:link w:val="PlainText"/>
    <w:rsid w:val="00BC625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625C"/>
    <w:rPr>
      <w:b/>
      <w:smallCaps/>
    </w:rPr>
  </w:style>
  <w:style w:type="paragraph" w:customStyle="1" w:styleId="TableListNumber">
    <w:name w:val="Table List Number"/>
    <w:basedOn w:val="ListNumber"/>
    <w:rsid w:val="00BC625C"/>
    <w:pPr>
      <w:numPr>
        <w:numId w:val="0"/>
      </w:numPr>
    </w:pPr>
  </w:style>
  <w:style w:type="paragraph" w:styleId="TOC4">
    <w:name w:val="toc 4"/>
    <w:basedOn w:val="TOCBase"/>
    <w:next w:val="Normal"/>
    <w:semiHidden/>
    <w:rsid w:val="00BC625C"/>
    <w:pPr>
      <w:tabs>
        <w:tab w:val="right" w:leader="dot" w:pos="9071"/>
      </w:tabs>
      <w:ind w:left="1701"/>
    </w:pPr>
  </w:style>
  <w:style w:type="paragraph" w:customStyle="1" w:styleId="ListAlpha">
    <w:name w:val="List Alpha"/>
    <w:basedOn w:val="List"/>
    <w:rsid w:val="00BC625C"/>
    <w:pPr>
      <w:numPr>
        <w:numId w:val="7"/>
      </w:numPr>
    </w:pPr>
  </w:style>
  <w:style w:type="paragraph" w:customStyle="1" w:styleId="ListAlpha2">
    <w:name w:val="List Alpha 2"/>
    <w:basedOn w:val="List2"/>
    <w:rsid w:val="00BC625C"/>
    <w:pPr>
      <w:numPr>
        <w:numId w:val="6"/>
      </w:numPr>
    </w:pPr>
  </w:style>
  <w:style w:type="paragraph" w:styleId="List2">
    <w:name w:val="List 2"/>
    <w:basedOn w:val="BodyText"/>
    <w:rsid w:val="00BC625C"/>
    <w:pPr>
      <w:tabs>
        <w:tab w:val="left" w:pos="680"/>
      </w:tabs>
      <w:spacing w:before="60" w:after="60"/>
      <w:ind w:left="680" w:hanging="340"/>
    </w:pPr>
  </w:style>
  <w:style w:type="paragraph" w:styleId="List3">
    <w:name w:val="List 3"/>
    <w:basedOn w:val="BodyText"/>
    <w:rsid w:val="00BC625C"/>
    <w:pPr>
      <w:tabs>
        <w:tab w:val="left" w:pos="1021"/>
      </w:tabs>
      <w:spacing w:before="60" w:after="60"/>
      <w:ind w:left="1020" w:hanging="340"/>
    </w:pPr>
  </w:style>
  <w:style w:type="paragraph" w:styleId="List4">
    <w:name w:val="List 4"/>
    <w:basedOn w:val="BodyText"/>
    <w:rsid w:val="00BC625C"/>
    <w:pPr>
      <w:tabs>
        <w:tab w:val="left" w:pos="1361"/>
      </w:tabs>
      <w:spacing w:before="60" w:after="60"/>
      <w:ind w:left="1361" w:hanging="340"/>
    </w:pPr>
  </w:style>
  <w:style w:type="paragraph" w:styleId="List5">
    <w:name w:val="List 5"/>
    <w:basedOn w:val="BodyText"/>
    <w:rsid w:val="00BC625C"/>
    <w:pPr>
      <w:tabs>
        <w:tab w:val="left" w:pos="1701"/>
      </w:tabs>
      <w:spacing w:before="60" w:after="60"/>
      <w:ind w:left="1701" w:hanging="340"/>
    </w:pPr>
  </w:style>
  <w:style w:type="paragraph" w:styleId="ListBullet3">
    <w:name w:val="List Bullet 3"/>
    <w:basedOn w:val="List3"/>
    <w:rsid w:val="00BC625C"/>
    <w:pPr>
      <w:numPr>
        <w:numId w:val="13"/>
      </w:numPr>
      <w:tabs>
        <w:tab w:val="clear" w:pos="1021"/>
      </w:tabs>
      <w:ind w:left="1037" w:hanging="357"/>
    </w:pPr>
  </w:style>
  <w:style w:type="paragraph" w:styleId="ListBullet4">
    <w:name w:val="List Bullet 4"/>
    <w:basedOn w:val="List4"/>
    <w:rsid w:val="00BC625C"/>
    <w:pPr>
      <w:numPr>
        <w:numId w:val="1"/>
      </w:numPr>
    </w:pPr>
  </w:style>
  <w:style w:type="paragraph" w:styleId="ListBullet5">
    <w:name w:val="List Bullet 5"/>
    <w:basedOn w:val="List5"/>
    <w:rsid w:val="00BC625C"/>
    <w:pPr>
      <w:numPr>
        <w:numId w:val="2"/>
      </w:numPr>
    </w:pPr>
  </w:style>
  <w:style w:type="paragraph" w:styleId="ListContinue2">
    <w:name w:val="List Continue 2"/>
    <w:basedOn w:val="List2"/>
    <w:rsid w:val="00BC625C"/>
    <w:pPr>
      <w:ind w:firstLine="0"/>
    </w:pPr>
  </w:style>
  <w:style w:type="paragraph" w:styleId="ListContinue3">
    <w:name w:val="List Continue 3"/>
    <w:basedOn w:val="List3"/>
    <w:rsid w:val="00BC625C"/>
    <w:pPr>
      <w:ind w:left="1021" w:firstLine="0"/>
    </w:pPr>
  </w:style>
  <w:style w:type="paragraph" w:styleId="ListContinue4">
    <w:name w:val="List Continue 4"/>
    <w:basedOn w:val="List4"/>
    <w:rsid w:val="00BC625C"/>
    <w:pPr>
      <w:ind w:firstLine="0"/>
    </w:pPr>
  </w:style>
  <w:style w:type="paragraph" w:styleId="ListContinue5">
    <w:name w:val="List Continue 5"/>
    <w:basedOn w:val="List5"/>
    <w:rsid w:val="00BC625C"/>
    <w:pPr>
      <w:ind w:firstLine="0"/>
    </w:pPr>
  </w:style>
  <w:style w:type="paragraph" w:styleId="ListNumber3">
    <w:name w:val="List Number 3"/>
    <w:basedOn w:val="List3"/>
    <w:rsid w:val="00BC625C"/>
    <w:pPr>
      <w:numPr>
        <w:numId w:val="3"/>
      </w:numPr>
    </w:pPr>
  </w:style>
  <w:style w:type="paragraph" w:styleId="ListNumber4">
    <w:name w:val="List Number 4"/>
    <w:basedOn w:val="List4"/>
    <w:rsid w:val="00BC625C"/>
    <w:pPr>
      <w:numPr>
        <w:numId w:val="4"/>
      </w:numPr>
    </w:pPr>
  </w:style>
  <w:style w:type="paragraph" w:styleId="ListNumber5">
    <w:name w:val="List Number 5"/>
    <w:basedOn w:val="List5"/>
    <w:rsid w:val="00BC625C"/>
    <w:pPr>
      <w:numPr>
        <w:numId w:val="5"/>
      </w:numPr>
    </w:pPr>
  </w:style>
  <w:style w:type="paragraph" w:styleId="BlockText">
    <w:name w:val="Block Text"/>
    <w:basedOn w:val="Normal"/>
    <w:rsid w:val="00BC625C"/>
    <w:pPr>
      <w:spacing w:after="120"/>
      <w:ind w:left="1440" w:right="1440"/>
    </w:pPr>
  </w:style>
  <w:style w:type="character" w:customStyle="1" w:styleId="Subscript">
    <w:name w:val="Subscript"/>
    <w:basedOn w:val="DefaultParagraphFont"/>
    <w:rsid w:val="00BC625C"/>
    <w:rPr>
      <w:sz w:val="16"/>
      <w:vertAlign w:val="subscript"/>
    </w:rPr>
  </w:style>
  <w:style w:type="character" w:customStyle="1" w:styleId="Superscript">
    <w:name w:val="Superscript"/>
    <w:basedOn w:val="DefaultParagraphFont"/>
    <w:rsid w:val="00BC625C"/>
    <w:rPr>
      <w:sz w:val="16"/>
      <w:vertAlign w:val="superscript"/>
    </w:rPr>
  </w:style>
  <w:style w:type="character" w:customStyle="1" w:styleId="Symbols">
    <w:name w:val="Symbols"/>
    <w:basedOn w:val="DefaultParagraphFont"/>
    <w:rsid w:val="00BC625C"/>
    <w:rPr>
      <w:rFonts w:ascii="Symbol" w:hAnsi="Symbol"/>
    </w:rPr>
  </w:style>
  <w:style w:type="character" w:customStyle="1" w:styleId="MenuOptions">
    <w:name w:val="Menu Options"/>
    <w:basedOn w:val="DefaultParagraphFont"/>
    <w:rsid w:val="00BC625C"/>
    <w:rPr>
      <w:rFonts w:ascii="Arial Narrow" w:hAnsi="Arial Narrow"/>
      <w:smallCaps/>
    </w:rPr>
  </w:style>
  <w:style w:type="character" w:customStyle="1" w:styleId="Buttons">
    <w:name w:val="Buttons"/>
    <w:basedOn w:val="DefaultParagraphFont"/>
    <w:rsid w:val="00BC625C"/>
    <w:rPr>
      <w:b/>
    </w:rPr>
  </w:style>
  <w:style w:type="character" w:customStyle="1" w:styleId="Underlined">
    <w:name w:val="Underlined"/>
    <w:basedOn w:val="DefaultParagraphFont"/>
    <w:rsid w:val="00BC625C"/>
    <w:rPr>
      <w:u w:val="single"/>
    </w:rPr>
  </w:style>
  <w:style w:type="paragraph" w:customStyle="1" w:styleId="TableBodyTextRight">
    <w:name w:val="Table Body Text Right"/>
    <w:basedOn w:val="TableBodyText"/>
    <w:rsid w:val="00BC625C"/>
    <w:pPr>
      <w:widowControl w:val="0"/>
      <w:autoSpaceDE w:val="0"/>
      <w:autoSpaceDN w:val="0"/>
      <w:adjustRightInd w:val="0"/>
      <w:jc w:val="right"/>
    </w:pPr>
    <w:rPr>
      <w:rFonts w:cs="Arial"/>
      <w:szCs w:val="18"/>
    </w:rPr>
  </w:style>
  <w:style w:type="paragraph" w:customStyle="1" w:styleId="CopyrightText">
    <w:name w:val="Copyright Text"/>
    <w:basedOn w:val="BodyText"/>
    <w:rsid w:val="00BC625C"/>
    <w:rPr>
      <w:sz w:val="18"/>
    </w:rPr>
  </w:style>
  <w:style w:type="paragraph" w:customStyle="1" w:styleId="BodySmallRight">
    <w:name w:val="Body Small Right"/>
    <w:basedOn w:val="BodyTextRight"/>
    <w:rsid w:val="00BC625C"/>
    <w:rPr>
      <w:sz w:val="18"/>
      <w:szCs w:val="18"/>
    </w:rPr>
  </w:style>
  <w:style w:type="paragraph" w:customStyle="1" w:styleId="MarginEdition">
    <w:name w:val="Margin Edition"/>
    <w:basedOn w:val="MarginNote"/>
    <w:rsid w:val="00BC625C"/>
    <w:pPr>
      <w:spacing w:before="0" w:after="0"/>
    </w:pPr>
    <w:rPr>
      <w:rFonts w:ascii="Times New Roman" w:hAnsi="Times New Roman"/>
      <w:color w:val="999999"/>
    </w:rPr>
  </w:style>
  <w:style w:type="paragraph" w:customStyle="1" w:styleId="Spacer">
    <w:name w:val="Spacer"/>
    <w:basedOn w:val="Normal"/>
    <w:rsid w:val="00BC625C"/>
    <w:rPr>
      <w:sz w:val="2"/>
      <w:szCs w:val="2"/>
    </w:rPr>
  </w:style>
  <w:style w:type="character" w:customStyle="1" w:styleId="Small">
    <w:name w:val="Small"/>
    <w:basedOn w:val="DefaultParagraphFont"/>
    <w:rsid w:val="00BC625C"/>
    <w:rPr>
      <w:sz w:val="16"/>
    </w:rPr>
  </w:style>
  <w:style w:type="paragraph" w:customStyle="1" w:styleId="WideTable">
    <w:name w:val="Wide Table"/>
    <w:basedOn w:val="Normal"/>
    <w:rsid w:val="00BC625C"/>
    <w:pPr>
      <w:ind w:left="-1418"/>
    </w:pPr>
    <w:rPr>
      <w:sz w:val="2"/>
      <w:szCs w:val="2"/>
    </w:rPr>
  </w:style>
  <w:style w:type="character" w:styleId="PageNumber">
    <w:name w:val="page number"/>
    <w:basedOn w:val="DefaultParagraphFont"/>
    <w:rsid w:val="00BC625C"/>
  </w:style>
  <w:style w:type="paragraph" w:styleId="Quote">
    <w:name w:val="Quote"/>
    <w:basedOn w:val="Heading1"/>
    <w:link w:val="QuoteChar"/>
    <w:qFormat/>
    <w:rsid w:val="00BC625C"/>
    <w:rPr>
      <w:b w:val="0"/>
      <w:sz w:val="72"/>
      <w:szCs w:val="72"/>
      <w:lang w:val="en-NZ"/>
    </w:rPr>
  </w:style>
  <w:style w:type="character" w:customStyle="1" w:styleId="QuoteChar">
    <w:name w:val="Quote Char"/>
    <w:basedOn w:val="DefaultParagraphFont"/>
    <w:link w:val="Quote"/>
    <w:rsid w:val="00BC625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625C"/>
    <w:pPr>
      <w:pageBreakBefore/>
    </w:pPr>
  </w:style>
  <w:style w:type="paragraph" w:customStyle="1" w:styleId="Border">
    <w:name w:val="Border"/>
    <w:basedOn w:val="Normal"/>
    <w:qFormat/>
    <w:rsid w:val="00BC625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625C"/>
    <w:rPr>
      <w:b/>
      <w:bCs/>
      <w:i/>
      <w:iCs/>
      <w:color w:val="auto"/>
    </w:rPr>
  </w:style>
  <w:style w:type="paragraph" w:styleId="IntenseQuote">
    <w:name w:val="Intense Quote"/>
    <w:basedOn w:val="Normal"/>
    <w:next w:val="Normal"/>
    <w:link w:val="IntenseQuoteChar"/>
    <w:uiPriority w:val="30"/>
    <w:qFormat/>
    <w:rsid w:val="00BC625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625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625C"/>
    <w:rPr>
      <w:smallCaps/>
      <w:color w:val="auto"/>
      <w:u w:val="single"/>
    </w:rPr>
  </w:style>
  <w:style w:type="character" w:styleId="IntenseReference">
    <w:name w:val="Intense Reference"/>
    <w:basedOn w:val="DefaultParagraphFont"/>
    <w:uiPriority w:val="32"/>
    <w:qFormat/>
    <w:rsid w:val="00BC625C"/>
    <w:rPr>
      <w:b/>
      <w:bCs/>
      <w:smallCaps/>
      <w:color w:val="auto"/>
      <w:spacing w:val="5"/>
      <w:u w:val="single"/>
    </w:rPr>
  </w:style>
  <w:style w:type="paragraph" w:customStyle="1" w:styleId="2ColumnHeading">
    <w:name w:val="2Column Heading"/>
    <w:basedOn w:val="BodyText"/>
    <w:qFormat/>
    <w:rsid w:val="00BC625C"/>
    <w:pPr>
      <w:spacing w:after="60"/>
      <w:ind w:left="-2268"/>
    </w:pPr>
    <w:rPr>
      <w:b/>
    </w:rPr>
  </w:style>
  <w:style w:type="paragraph" w:customStyle="1" w:styleId="Heading1TOC">
    <w:name w:val="Heading1 TOC"/>
    <w:basedOn w:val="Normal"/>
    <w:qFormat/>
    <w:rsid w:val="00BC625C"/>
    <w:pPr>
      <w:spacing w:before="240" w:after="120"/>
    </w:pPr>
    <w:rPr>
      <w:rFonts w:ascii="Times New Roman" w:hAnsi="Times New Roman"/>
      <w:b/>
      <w:sz w:val="32"/>
    </w:rPr>
  </w:style>
  <w:style w:type="paragraph" w:customStyle="1" w:styleId="Heading2TOC">
    <w:name w:val="Heading2 TOC"/>
    <w:basedOn w:val="Normal"/>
    <w:qFormat/>
    <w:rsid w:val="00BC625C"/>
    <w:pPr>
      <w:spacing w:before="240" w:after="60"/>
    </w:pPr>
    <w:rPr>
      <w:rFonts w:ascii="Times New Roman" w:hAnsi="Times New Roman"/>
      <w:b/>
      <w:sz w:val="28"/>
    </w:rPr>
  </w:style>
  <w:style w:type="character" w:customStyle="1" w:styleId="Underline">
    <w:name w:val="Underline"/>
    <w:basedOn w:val="DefaultParagraphFont"/>
    <w:qFormat/>
    <w:rsid w:val="00BC625C"/>
    <w:rPr>
      <w:u w:val="single"/>
    </w:rPr>
  </w:style>
  <w:style w:type="character" w:customStyle="1" w:styleId="BoldandItalics">
    <w:name w:val="Bold and Italics"/>
    <w:qFormat/>
    <w:rsid w:val="00BC625C"/>
    <w:rPr>
      <w:b/>
      <w:i/>
      <w:u w:val="none"/>
    </w:rPr>
  </w:style>
  <w:style w:type="paragraph" w:styleId="BalloonText">
    <w:name w:val="Balloon Text"/>
    <w:basedOn w:val="Normal"/>
    <w:link w:val="BalloonTextChar"/>
    <w:rsid w:val="00BC625C"/>
    <w:rPr>
      <w:rFonts w:ascii="Tahoma" w:hAnsi="Tahoma" w:cs="Tahoma"/>
      <w:sz w:val="16"/>
      <w:szCs w:val="16"/>
    </w:rPr>
  </w:style>
  <w:style w:type="character" w:customStyle="1" w:styleId="BalloonTextChar">
    <w:name w:val="Balloon Text Char"/>
    <w:basedOn w:val="DefaultParagraphFont"/>
    <w:link w:val="BalloonText"/>
    <w:rsid w:val="00BC625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625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625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1486</Words>
  <Characters>9476</Characters>
  <Application>Microsoft Office Word</Application>
  <DocSecurity>0</DocSecurity>
  <Lines>316</Lines>
  <Paragraphs>192</Paragraphs>
  <ScaleCrop>false</ScaleCrop>
  <Company>Author-it Software Corporation Ltd.</Company>
  <LinksUpToDate>false</LinksUpToDate>
  <CharactersWithSpaces>10785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PMLOHS301B Work safely with instruments that emit ionising radiation</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2012-05-26T19:14:00Z</dcterms:created>
  <dcterms:modified xsi:type="dcterms:W3CDTF">2012-05-26T19:14:00Z</dcterms:modified>
</cp:coreProperties>
</file>