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606" w:rsidP="00232606">
      <w:pPr>
        <w:pStyle w:val="Title"/>
      </w:pPr>
      <w:r>
        <w:fldChar w:fldCharType="begin"/>
      </w:r>
      <w:r>
        <w:instrText xml:space="preserve"> TITLE   \* MERGEFORMAT </w:instrText>
      </w:r>
      <w:r>
        <w:fldChar w:fldCharType="separate"/>
      </w:r>
      <w:r>
        <w:t>PMC557096A Specify and monitor the installation of block/precast refractories</w:t>
      </w:r>
      <w:r>
        <w:fldChar w:fldCharType="end"/>
      </w:r>
    </w:p>
    <w:p w:rsidR="00232606" w:rsidP="00232606">
      <w:pPr>
        <w:pStyle w:val="Version"/>
        <w:sectPr w:rsidSect="00AE6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62BE" w:rsidP="00AE62BE">
      <w:pPr>
        <w:pStyle w:val="SuperHeading"/>
      </w:pPr>
      <w:r w:rsidRPr="00AE62BE">
        <w:t>PMC557096A Specify and monitor the installation of block/precast refractories</w:t>
      </w:r>
    </w:p>
    <w:p w:rsidR="00000000" w:rsidRPr="00AE62BE" w:rsidP="00AE62BE">
      <w:pPr>
        <w:pStyle w:val="Heading1"/>
      </w:pPr>
      <w:bookmarkStart w:id="1" w:name="O_110823"/>
      <w:bookmarkEnd w:id="1"/>
      <w:r w:rsidRPr="00AE62BE">
        <w:t>Modification History</w:t>
      </w:r>
    </w:p>
    <w:p w:rsidR="00000000" w:rsidRPr="00AE62BE" w:rsidP="00AE62BE">
      <w:pPr>
        <w:pStyle w:val="BodyText"/>
      </w:pPr>
      <w:r w:rsidRPr="00AE62BE">
        <w:t>Not applicable.</w:t>
      </w:r>
    </w:p>
    <w:p w:rsidR="00000000" w:rsidRPr="00AE62BE" w:rsidP="00AE62BE">
      <w:pPr>
        <w:pStyle w:val="AllowPageBreak"/>
      </w:pPr>
    </w:p>
    <w:p w:rsidR="00000000" w:rsidRPr="00AE62BE" w:rsidP="00AE62BE">
      <w:pPr>
        <w:pStyle w:val="Heading1"/>
      </w:pPr>
      <w:bookmarkStart w:id="2" w:name="O_110824"/>
      <w:bookmarkEnd w:id="2"/>
      <w:r w:rsidRPr="00AE62BE">
        <w:t>Unit Descriptor</w:t>
      </w:r>
    </w:p>
    <w:tbl>
      <w:tblPr>
        <w:tblW w:w="0" w:type="auto"/>
        <w:tblLayout w:type="fixed"/>
        <w:tblCellMar>
          <w:left w:w="62" w:type="dxa"/>
          <w:right w:w="62" w:type="dxa"/>
        </w:tblCellMar>
        <w:tblLook w:val="0000"/>
      </w:tblPr>
      <w:tblGrid>
        <w:gridCol w:w="2668"/>
        <w:gridCol w:w="5854"/>
      </w:tblGrid>
      <w:tr w:rsidTr="0023260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This unit of competency covers developing the specification for installing block or precast refractories and then monitoring that installation to ensure it complies with the specification. It is intended for refractory experts who will most likely also hav</w:t>
            </w:r>
            <w:r w:rsidRPr="00AE62BE">
              <w:t>e some management responsibility.</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3" w:name="O_110825"/>
      <w:bookmarkEnd w:id="3"/>
      <w:r w:rsidRPr="00AE62BE">
        <w:t>Application of the Unit</w:t>
      </w:r>
    </w:p>
    <w:tbl>
      <w:tblPr>
        <w:tblW w:w="0" w:type="auto"/>
        <w:tblLayout w:type="fixed"/>
        <w:tblCellMar>
          <w:left w:w="62" w:type="dxa"/>
          <w:right w:w="62" w:type="dxa"/>
        </w:tblCellMar>
        <w:tblLook w:val="0000"/>
      </w:tblPr>
      <w:tblGrid>
        <w:gridCol w:w="2744"/>
        <w:gridCol w:w="5778"/>
      </w:tblGrid>
      <w:tr w:rsidTr="00232606">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This unit of competency requires the application of knowledge of refractory installation techniques to ensure the installation meets the requirements of th</w:t>
            </w:r>
            <w:r w:rsidRPr="00AE62BE">
              <w:t>e refractory. It covers the following types of refractory:</w:t>
            </w:r>
          </w:p>
          <w:p w:rsidR="00000000" w:rsidRPr="00AE62BE" w:rsidP="00AE62BE">
            <w:pPr>
              <w:pStyle w:val="ListBullet"/>
            </w:pPr>
            <w:r w:rsidRPr="00AE62BE">
              <w:t>block</w:t>
            </w:r>
          </w:p>
          <w:p w:rsidR="00000000" w:rsidRPr="00AE62BE" w:rsidP="00AE62BE">
            <w:pPr>
              <w:pStyle w:val="ListBullet"/>
            </w:pPr>
            <w:r w:rsidRPr="00AE62BE">
              <w:t>brick</w:t>
            </w:r>
          </w:p>
          <w:p w:rsidR="00000000" w:rsidRPr="00AE62BE" w:rsidP="00AE62BE">
            <w:pPr>
              <w:pStyle w:val="ListBullet"/>
            </w:pPr>
            <w:r w:rsidRPr="00AE62BE">
              <w:t>precast.</w:t>
            </w:r>
          </w:p>
          <w:p w:rsidR="00000000" w:rsidRPr="00AE62BE" w:rsidP="00AE62BE">
            <w:pPr>
              <w:pStyle w:val="BodyText"/>
            </w:pPr>
            <w:r w:rsidRPr="00AE62BE">
              <w:t xml:space="preserve">This unit does NOT cover the installation of monolithic/castable refractories, refer to </w:t>
            </w:r>
            <w:r w:rsidRPr="00AE62BE">
              <w:rPr>
                <w:rStyle w:val="Emphasis"/>
              </w:rPr>
              <w:t>PMC557095A Specify and monitor the installation of monolithic</w:t>
            </w:r>
            <w:r w:rsidRPr="00AE62BE">
              <w:t>/</w:t>
            </w:r>
            <w:r w:rsidRPr="00AE62BE">
              <w:rPr>
                <w:rStyle w:val="Emphasis"/>
              </w:rPr>
              <w:t>castable refractories</w:t>
            </w:r>
            <w:r w:rsidRPr="00AE62BE">
              <w:t xml:space="preserve">. While blocks/precast may also be used to make repairs, this unit may be used to include repairs using these techniques. The specification of the repair technique is covered in </w:t>
            </w:r>
            <w:r w:rsidRPr="00AE62BE">
              <w:rPr>
                <w:rStyle w:val="Emphasis"/>
              </w:rPr>
              <w:t>PMC557097A Specify and monitor repairs to refractory installations</w:t>
            </w:r>
            <w:r w:rsidRPr="00AE62BE">
              <w:t>.</w:t>
            </w:r>
          </w:p>
          <w:p w:rsidR="00000000" w:rsidRPr="00AE62BE" w:rsidP="00AE62BE">
            <w:pPr>
              <w:pStyle w:val="BodyText"/>
            </w:pPr>
            <w:r w:rsidRPr="00AE62BE">
              <w:t xml:space="preserve">This unit </w:t>
            </w:r>
            <w:r w:rsidRPr="00AE62BE">
              <w:t>applies to individuals who may design a refractory installation and may also monitor the installation of refractory, or they may be installation specialists. They may be working in liaison with other refractory specialists or they may be the sole refractor</w:t>
            </w:r>
            <w:r w:rsidRPr="00AE62BE">
              <w:t>y specialist for this job/in their organisation. They will typically be liaising with a range of other technical experts as well as management and maybe accounts.</w:t>
            </w:r>
          </w:p>
          <w:p w:rsidR="00000000" w:rsidRPr="00AE62BE" w:rsidP="00AE62BE">
            <w:pPr>
              <w:pStyle w:val="BodyText"/>
            </w:pPr>
            <w:r w:rsidRPr="00AE62BE">
              <w:t>This unit may apply to individuals working for an organisation which supplies and installs re</w:t>
            </w:r>
            <w:r w:rsidRPr="00AE62BE">
              <w:t>fractories, is a refractory consulting organisation or a client organisation which buys and uses the refractory.</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4" w:name="O_110826"/>
      <w:bookmarkEnd w:id="4"/>
      <w:r w:rsidRPr="00AE62BE">
        <w:t>Licensing/Regulatory Information</w:t>
      </w:r>
    </w:p>
    <w:p w:rsidR="00000000" w:rsidRPr="00AE62BE" w:rsidP="00AE62BE">
      <w:pPr>
        <w:pStyle w:val="BodyText"/>
      </w:pPr>
      <w:r w:rsidRPr="00AE62BE">
        <w:t>Not applicable.</w:t>
      </w:r>
    </w:p>
    <w:p w:rsidR="00000000" w:rsidRPr="00AE62BE" w:rsidP="00AE62BE">
      <w:pPr>
        <w:pStyle w:val="AllowPageBreak"/>
      </w:pPr>
    </w:p>
    <w:p w:rsidR="00000000" w:rsidRPr="00AE62BE" w:rsidP="00AE62BE">
      <w:pPr>
        <w:pStyle w:val="Heading1"/>
      </w:pPr>
      <w:bookmarkStart w:id="5" w:name="O_110827"/>
      <w:bookmarkEnd w:id="5"/>
      <w:r w:rsidRPr="00AE62BE">
        <w:t>Pre-Requisites</w:t>
      </w:r>
    </w:p>
    <w:tbl>
      <w:tblPr>
        <w:tblW w:w="0" w:type="auto"/>
        <w:tblLayout w:type="fixed"/>
        <w:tblCellMar>
          <w:left w:w="62" w:type="dxa"/>
          <w:right w:w="62" w:type="dxa"/>
        </w:tblCellMar>
        <w:tblLook w:val="0000"/>
      </w:tblPr>
      <w:tblGrid>
        <w:gridCol w:w="2775"/>
        <w:gridCol w:w="1295"/>
        <w:gridCol w:w="4452"/>
      </w:tblGrid>
      <w:tr w:rsidTr="002326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p>
        </w:tc>
      </w:tr>
      <w:tr w:rsidTr="002326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p>
        </w:tc>
      </w:tr>
      <w:tr w:rsidTr="002326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6" w:name="O_110828"/>
      <w:bookmarkEnd w:id="6"/>
      <w:r w:rsidRPr="00AE62BE">
        <w:t>Employability Skills Information</w:t>
      </w:r>
    </w:p>
    <w:tbl>
      <w:tblPr>
        <w:tblW w:w="0" w:type="auto"/>
        <w:tblLayout w:type="fixed"/>
        <w:tblCellMar>
          <w:left w:w="62" w:type="dxa"/>
          <w:right w:w="62" w:type="dxa"/>
        </w:tblCellMar>
        <w:tblLook w:val="0000"/>
      </w:tblPr>
      <w:tblGrid>
        <w:gridCol w:w="2802"/>
        <w:gridCol w:w="5720"/>
      </w:tblGrid>
      <w:tr w:rsidTr="002326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This unit contains employability skills.</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7" w:name="O_110829"/>
      <w:bookmarkEnd w:id="7"/>
      <w:r w:rsidRPr="00AE62BE">
        <w:t>Elements and Performance Criteria Pre-Content</w:t>
      </w:r>
    </w:p>
    <w:tbl>
      <w:tblPr>
        <w:tblW w:w="0" w:type="auto"/>
        <w:tblLayout w:type="fixed"/>
        <w:tblCellMar>
          <w:left w:w="62" w:type="dxa"/>
          <w:right w:w="62" w:type="dxa"/>
        </w:tblCellMar>
        <w:tblLook w:val="0000"/>
      </w:tblPr>
      <w:tblGrid>
        <w:gridCol w:w="2545"/>
        <w:gridCol w:w="5977"/>
      </w:tblGrid>
      <w:tr w:rsidTr="0023260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Performance criteria describe the performance needed to demonstrate achievement of the element. Assessment of performance is to be consistent with the evidence guide.</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8" w:name="O_110830"/>
      <w:bookmarkEnd w:id="8"/>
      <w:r w:rsidRPr="00AE62BE">
        <w:t>Elements and Performance Criteria</w:t>
      </w:r>
    </w:p>
    <w:tbl>
      <w:tblPr>
        <w:tblW w:w="0" w:type="auto"/>
        <w:tblLayout w:type="fixed"/>
        <w:tblCellMar>
          <w:left w:w="62" w:type="dxa"/>
          <w:right w:w="62" w:type="dxa"/>
        </w:tblCellMar>
        <w:tblLook w:val="0000"/>
      </w:tblPr>
      <w:tblGrid>
        <w:gridCol w:w="2545"/>
        <w:gridCol w:w="5977"/>
      </w:tblGrid>
      <w:tr w:rsidTr="0023260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PERFORMANCE CRITERIA</w:t>
            </w:r>
          </w:p>
        </w:tc>
      </w:tr>
      <w:tr w:rsidTr="0023260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List"/>
              <w:rPr>
                <w:lang w:val="en-NZ"/>
              </w:rPr>
            </w:pPr>
            <w:r w:rsidRPr="00AE62BE">
              <w:t>1.</w:t>
            </w:r>
            <w:r w:rsidRPr="00AE62BE">
              <w:tab/>
            </w:r>
            <w:r w:rsidRPr="00AE62BE">
              <w:t>Confirm design specification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List2"/>
            </w:pPr>
            <w:r w:rsidRPr="00AE62BE">
              <w:t>1.1.</w:t>
            </w:r>
            <w:r w:rsidRPr="00AE62BE">
              <w:tab/>
              <w:t>Check design specification against agreed set of requirements for the refractory</w:t>
            </w:r>
          </w:p>
          <w:p w:rsidR="00000000" w:rsidRPr="00AE62BE" w:rsidP="00AE62BE">
            <w:pPr>
              <w:pStyle w:val="List2"/>
            </w:pPr>
            <w:r w:rsidRPr="00AE62BE">
              <w:t>1.2.</w:t>
            </w:r>
            <w:r w:rsidRPr="00AE62BE">
              <w:tab/>
              <w:t>Identify discrepancies or conflicts in requirements</w:t>
            </w:r>
          </w:p>
          <w:p w:rsidR="00000000" w:rsidP="00AE62BE">
            <w:pPr>
              <w:pStyle w:val="List2"/>
              <w:rPr>
                <w:lang w:val="en-NZ"/>
              </w:rPr>
            </w:pPr>
            <w:r w:rsidRPr="00AE62BE">
              <w:t>1.3.</w:t>
            </w:r>
            <w:r w:rsidRPr="00AE62BE">
              <w:tab/>
              <w:t>Confirm installation requirements and specifications</w:t>
            </w:r>
          </w:p>
        </w:tc>
      </w:tr>
      <w:tr w:rsidTr="0023260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List"/>
              <w:rPr>
                <w:lang w:val="en-NZ"/>
              </w:rPr>
            </w:pPr>
            <w:r w:rsidRPr="00AE62BE">
              <w:t>2.</w:t>
            </w:r>
            <w:r w:rsidRPr="00AE62BE">
              <w:tab/>
              <w:t>Design installation pr</w:t>
            </w:r>
            <w:r w:rsidRPr="00AE62BE">
              <w:t>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List2"/>
            </w:pPr>
            <w:r w:rsidRPr="00AE62BE">
              <w:t>2.1.</w:t>
            </w:r>
            <w:r w:rsidRPr="00AE62BE">
              <w:tab/>
              <w:t>Determine refractory materials to be installed</w:t>
            </w:r>
          </w:p>
          <w:p w:rsidR="00000000" w:rsidRPr="00AE62BE" w:rsidP="00AE62BE">
            <w:pPr>
              <w:pStyle w:val="List2"/>
            </w:pPr>
            <w:r w:rsidRPr="00AE62BE">
              <w:t>2.2.</w:t>
            </w:r>
            <w:r w:rsidRPr="00AE62BE">
              <w:tab/>
              <w:t>Determine bond form to be used</w:t>
            </w:r>
          </w:p>
          <w:p w:rsidR="00000000" w:rsidRPr="00AE62BE" w:rsidP="00AE62BE">
            <w:pPr>
              <w:pStyle w:val="List2"/>
            </w:pPr>
            <w:r w:rsidRPr="00AE62BE">
              <w:t>2.3.</w:t>
            </w:r>
            <w:r w:rsidRPr="00AE62BE">
              <w:tab/>
              <w:t>Determine junctions and piers</w:t>
            </w:r>
          </w:p>
          <w:p w:rsidR="00000000" w:rsidRPr="00AE62BE" w:rsidP="00AE62BE">
            <w:pPr>
              <w:pStyle w:val="List2"/>
            </w:pPr>
            <w:r w:rsidRPr="00AE62BE">
              <w:t>2.4.</w:t>
            </w:r>
            <w:r w:rsidRPr="00AE62BE">
              <w:tab/>
              <w:t xml:space="preserve">Determine mortar requirements </w:t>
            </w:r>
          </w:p>
          <w:p w:rsidR="00000000" w:rsidRPr="00AE62BE" w:rsidP="00AE62BE">
            <w:pPr>
              <w:pStyle w:val="List2"/>
            </w:pPr>
            <w:r w:rsidRPr="00AE62BE">
              <w:t>2.5.</w:t>
            </w:r>
            <w:r w:rsidRPr="00AE62BE">
              <w:tab/>
              <w:t>Determine installation equipment requirements</w:t>
            </w:r>
          </w:p>
          <w:p w:rsidR="00000000" w:rsidRPr="00AE62BE" w:rsidP="00AE62BE">
            <w:pPr>
              <w:pStyle w:val="List2"/>
            </w:pPr>
            <w:r w:rsidRPr="00AE62BE">
              <w:t>2.6.</w:t>
            </w:r>
            <w:r w:rsidRPr="00AE62BE">
              <w:tab/>
              <w:t>Determine anchor requirements</w:t>
            </w:r>
          </w:p>
          <w:p w:rsidR="00000000" w:rsidRPr="00AE62BE" w:rsidP="00AE62BE">
            <w:pPr>
              <w:pStyle w:val="List2"/>
            </w:pPr>
            <w:r w:rsidRPr="00AE62BE">
              <w:t>2.7.</w:t>
            </w:r>
            <w:r w:rsidRPr="00AE62BE">
              <w:tab/>
            </w:r>
            <w:r w:rsidRPr="00AE62BE">
              <w:t>Determine laying requirements</w:t>
            </w:r>
          </w:p>
          <w:p w:rsidR="00000000" w:rsidRPr="00AE62BE" w:rsidP="00AE62BE">
            <w:pPr>
              <w:pStyle w:val="List2"/>
            </w:pPr>
            <w:r w:rsidRPr="00AE62BE">
              <w:t>2.8.</w:t>
            </w:r>
            <w:r w:rsidRPr="00AE62BE">
              <w:tab/>
              <w:t>Design scaffolding or other internal access needs if required</w:t>
            </w:r>
          </w:p>
          <w:p w:rsidR="00000000" w:rsidRPr="00AE62BE" w:rsidP="00AE62BE">
            <w:pPr>
              <w:pStyle w:val="List2"/>
            </w:pPr>
            <w:r w:rsidRPr="00AE62BE">
              <w:t>2.9.</w:t>
            </w:r>
            <w:r w:rsidRPr="00AE62BE">
              <w:tab/>
              <w:t>Design external access/egress means if required</w:t>
            </w:r>
          </w:p>
          <w:p w:rsidR="00000000" w:rsidRPr="00AE62BE" w:rsidP="00AE62BE">
            <w:pPr>
              <w:pStyle w:val="List2"/>
            </w:pPr>
            <w:r w:rsidRPr="00AE62BE">
              <w:t>2.10.</w:t>
            </w:r>
            <w:r w:rsidRPr="00AE62BE">
              <w:tab/>
              <w:t>Identify installation health, safety and environment (HSE) hazards</w:t>
            </w:r>
          </w:p>
          <w:p w:rsidR="00000000" w:rsidRPr="00AE62BE" w:rsidP="00AE62BE">
            <w:pPr>
              <w:pStyle w:val="List2"/>
            </w:pPr>
            <w:r w:rsidRPr="00AE62BE">
              <w:t>2.11.</w:t>
            </w:r>
            <w:r w:rsidRPr="00AE62BE">
              <w:tab/>
            </w:r>
            <w:r w:rsidRPr="00AE62BE">
              <w:t>Determine appropriate hazard controls</w:t>
            </w:r>
          </w:p>
          <w:p w:rsidR="00000000" w:rsidP="00AE62BE">
            <w:pPr>
              <w:pStyle w:val="List2"/>
              <w:rPr>
                <w:lang w:val="en-NZ"/>
              </w:rPr>
            </w:pPr>
            <w:r w:rsidRPr="00AE62BE">
              <w:t>2.12.</w:t>
            </w:r>
            <w:r w:rsidRPr="00AE62BE">
              <w:tab/>
              <w:t>Check for discrepancies or conflicts in the designs and take appropriate action</w:t>
            </w:r>
          </w:p>
        </w:tc>
      </w:tr>
      <w:tr w:rsidTr="0023260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List"/>
              <w:rPr>
                <w:lang w:val="en-NZ"/>
              </w:rPr>
            </w:pPr>
            <w:r w:rsidRPr="00AE62BE">
              <w:t>3.</w:t>
            </w:r>
            <w:r w:rsidRPr="00AE62BE">
              <w:tab/>
              <w:t>Prepare for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List2"/>
            </w:pPr>
            <w:r w:rsidRPr="00AE62BE">
              <w:t>3.1.</w:t>
            </w:r>
            <w:r w:rsidRPr="00AE62BE">
              <w:tab/>
              <w:t>Specify installation procedure</w:t>
            </w:r>
          </w:p>
          <w:p w:rsidR="00000000" w:rsidRPr="00AE62BE" w:rsidP="00AE62BE">
            <w:pPr>
              <w:pStyle w:val="List2"/>
            </w:pPr>
            <w:r w:rsidRPr="00AE62BE">
              <w:t>3.2.</w:t>
            </w:r>
            <w:r w:rsidRPr="00AE62BE">
              <w:tab/>
              <w:t>Liaise with relevant stakeholders</w:t>
            </w:r>
          </w:p>
          <w:p w:rsidR="00000000" w:rsidRPr="00AE62BE" w:rsidP="00AE62BE">
            <w:pPr>
              <w:pStyle w:val="List2"/>
            </w:pPr>
            <w:r w:rsidRPr="00AE62BE">
              <w:t>3.3.</w:t>
            </w:r>
            <w:r w:rsidRPr="00AE62BE">
              <w:tab/>
              <w:t>Modify specification if</w:t>
            </w:r>
            <w:r w:rsidRPr="00AE62BE">
              <w:t xml:space="preserve"> needed</w:t>
            </w:r>
          </w:p>
          <w:p w:rsidR="00000000" w:rsidRPr="00AE62BE" w:rsidP="00AE62BE">
            <w:pPr>
              <w:pStyle w:val="List2"/>
            </w:pPr>
            <w:r w:rsidRPr="00AE62BE">
              <w:t>3.4.</w:t>
            </w:r>
            <w:r w:rsidRPr="00AE62BE">
              <w:tab/>
              <w:t xml:space="preserve">Ensure correct ordering of requirements </w:t>
            </w:r>
          </w:p>
          <w:p w:rsidR="00000000" w:rsidRPr="00AE62BE" w:rsidP="00AE62BE">
            <w:pPr>
              <w:pStyle w:val="List2"/>
            </w:pPr>
            <w:r w:rsidRPr="00AE62BE">
              <w:t>3.5.</w:t>
            </w:r>
            <w:r w:rsidRPr="00AE62BE">
              <w:tab/>
              <w:t>Identify time critical items for the installation</w:t>
            </w:r>
          </w:p>
          <w:p w:rsidR="00000000" w:rsidRPr="00AE62BE" w:rsidP="00AE62BE">
            <w:pPr>
              <w:pStyle w:val="List2"/>
            </w:pPr>
            <w:r w:rsidRPr="00AE62BE">
              <w:t>3.6.</w:t>
            </w:r>
            <w:r w:rsidRPr="00AE62BE">
              <w:tab/>
              <w:t>Identify other items critical to the success of the project</w:t>
            </w:r>
          </w:p>
          <w:p w:rsidR="00000000" w:rsidRPr="00AE62BE" w:rsidP="00AE62BE">
            <w:pPr>
              <w:pStyle w:val="List2"/>
            </w:pPr>
            <w:r w:rsidRPr="00AE62BE">
              <w:t>3.7.</w:t>
            </w:r>
            <w:r w:rsidRPr="00AE62BE">
              <w:tab/>
              <w:t>Identify or develop measures to monitor all critical items</w:t>
            </w:r>
          </w:p>
          <w:p w:rsidR="00000000" w:rsidP="00AE62BE">
            <w:pPr>
              <w:pStyle w:val="List2"/>
              <w:rPr>
                <w:lang w:val="en-NZ"/>
              </w:rPr>
            </w:pPr>
            <w:r w:rsidRPr="00AE62BE">
              <w:t>3.8.</w:t>
            </w:r>
            <w:r w:rsidRPr="00AE62BE">
              <w:tab/>
              <w:t>Prepare insta</w:t>
            </w:r>
            <w:r w:rsidRPr="00AE62BE">
              <w:t>llation specification</w:t>
            </w:r>
          </w:p>
        </w:tc>
      </w:tr>
      <w:tr w:rsidTr="0023260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List"/>
              <w:rPr>
                <w:lang w:val="en-NZ"/>
              </w:rPr>
            </w:pPr>
            <w:r w:rsidRPr="00AE62BE">
              <w:t>4.</w:t>
            </w:r>
            <w:r w:rsidRPr="00AE62BE">
              <w:tab/>
              <w:t>Monitor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List2"/>
            </w:pPr>
            <w:r w:rsidRPr="00AE62BE">
              <w:t>4.1.</w:t>
            </w:r>
            <w:r w:rsidRPr="00AE62BE">
              <w:tab/>
              <w:t>Ensure requirements meet specification/contract</w:t>
            </w:r>
          </w:p>
          <w:p w:rsidR="00000000" w:rsidRPr="00AE62BE" w:rsidP="00AE62BE">
            <w:pPr>
              <w:pStyle w:val="List2"/>
            </w:pPr>
            <w:r w:rsidRPr="00AE62BE">
              <w:t>4.2.</w:t>
            </w:r>
            <w:r w:rsidRPr="00AE62BE">
              <w:tab/>
              <w:t>Ensure hazard controls are in place and effective</w:t>
            </w:r>
          </w:p>
          <w:p w:rsidR="00000000" w:rsidRPr="00AE62BE" w:rsidP="00AE62BE">
            <w:pPr>
              <w:pStyle w:val="List2"/>
            </w:pPr>
            <w:r w:rsidRPr="00AE62BE">
              <w:t>4.3.</w:t>
            </w:r>
            <w:r w:rsidRPr="00AE62BE">
              <w:tab/>
              <w:t>Monitor work to installation specification</w:t>
            </w:r>
          </w:p>
          <w:p w:rsidR="00000000" w:rsidRPr="00AE62BE" w:rsidP="00AE62BE">
            <w:pPr>
              <w:pStyle w:val="List2"/>
            </w:pPr>
            <w:r w:rsidRPr="00AE62BE">
              <w:t>4.4.</w:t>
            </w:r>
            <w:r w:rsidRPr="00AE62BE">
              <w:tab/>
            </w:r>
            <w:r w:rsidRPr="00AE62BE">
              <w:t>Take appropriate action on non-conformances as required</w:t>
            </w:r>
          </w:p>
          <w:p w:rsidR="00000000" w:rsidRPr="00AE62BE" w:rsidP="00AE62BE">
            <w:pPr>
              <w:pStyle w:val="List2"/>
            </w:pPr>
            <w:r w:rsidRPr="00AE62BE">
              <w:t>4.5.</w:t>
            </w:r>
            <w:r w:rsidRPr="00AE62BE">
              <w:tab/>
              <w:t>Report during project as required</w:t>
            </w:r>
          </w:p>
          <w:p w:rsidR="00000000" w:rsidRPr="00AE62BE" w:rsidP="00AE62BE">
            <w:pPr>
              <w:pStyle w:val="List2"/>
            </w:pPr>
            <w:r w:rsidRPr="00AE62BE">
              <w:t>4.6.</w:t>
            </w:r>
            <w:r w:rsidRPr="00AE62BE">
              <w:tab/>
              <w:t>Complete end of project documentation on completion</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9" w:name="O_110831"/>
      <w:bookmarkEnd w:id="9"/>
      <w:r w:rsidRPr="00AE62BE">
        <w:t>Required Skills and Knowledge</w:t>
      </w:r>
    </w:p>
    <w:tbl>
      <w:tblPr>
        <w:tblW w:w="0" w:type="auto"/>
        <w:tblLayout w:type="fixed"/>
        <w:tblCellMar>
          <w:left w:w="62" w:type="dxa"/>
          <w:right w:w="62" w:type="dxa"/>
        </w:tblCellMar>
        <w:tblLook w:val="0000"/>
      </w:tblPr>
      <w:tblGrid>
        <w:gridCol w:w="8522"/>
      </w:tblGrid>
      <w:tr w:rsidTr="002326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REQUIRED SKILLS AND KNOWLEDGE</w:t>
            </w:r>
          </w:p>
        </w:tc>
      </w:tr>
      <w:tr w:rsidTr="002326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t>This section describes t</w:t>
            </w:r>
            <w:r w:rsidRPr="00AE62BE">
              <w:t>he skills and knowledge required for this unit.</w:t>
            </w:r>
          </w:p>
        </w:tc>
      </w:tr>
      <w:tr w:rsidTr="00232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Required skills</w:t>
            </w:r>
          </w:p>
        </w:tc>
      </w:tr>
      <w:tr w:rsidTr="00232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Required skills include:</w:t>
            </w:r>
          </w:p>
          <w:p w:rsidR="00000000" w:rsidRPr="00AE62BE" w:rsidP="00AE62BE">
            <w:pPr>
              <w:pStyle w:val="ListBullet"/>
            </w:pPr>
            <w:r w:rsidRPr="00AE62BE">
              <w:t>solving problems</w:t>
            </w:r>
          </w:p>
          <w:p w:rsidR="00000000" w:rsidRPr="00AE62BE" w:rsidP="00AE62BE">
            <w:pPr>
              <w:pStyle w:val="ListBullet"/>
            </w:pPr>
            <w:r w:rsidRPr="00AE62BE">
              <w:t>communicating at all levels</w:t>
            </w:r>
          </w:p>
          <w:p w:rsidR="00000000" w:rsidRPr="00AE62BE" w:rsidP="00AE62BE">
            <w:pPr>
              <w:pStyle w:val="ListBullet"/>
            </w:pPr>
            <w:r w:rsidRPr="00AE62BE">
              <w:t>using organisation knowledge system</w:t>
            </w:r>
          </w:p>
          <w:p w:rsidR="00000000" w:rsidRPr="00AE62BE" w:rsidP="00AE62BE">
            <w:pPr>
              <w:pStyle w:val="ListBullet"/>
            </w:pPr>
            <w:r w:rsidRPr="00AE62BE">
              <w:t>investigating</w:t>
            </w:r>
          </w:p>
          <w:p w:rsidR="00000000" w:rsidRPr="00AE62BE" w:rsidP="00AE62BE">
            <w:pPr>
              <w:pStyle w:val="ListBullet"/>
            </w:pPr>
            <w:r w:rsidRPr="00AE62BE">
              <w:t>analysing</w:t>
            </w:r>
          </w:p>
          <w:p w:rsidR="00000000" w:rsidRPr="00AE62BE" w:rsidP="00AE62BE">
            <w:pPr>
              <w:pStyle w:val="ListBullet"/>
            </w:pPr>
            <w:r w:rsidRPr="00AE62BE">
              <w:t>interpreting data</w:t>
            </w:r>
          </w:p>
          <w:p w:rsidR="00000000" w:rsidRPr="00AE62BE" w:rsidP="00AE62BE">
            <w:pPr>
              <w:pStyle w:val="ListBullet"/>
            </w:pPr>
            <w:r w:rsidRPr="00AE62BE">
              <w:t>negotiating</w:t>
            </w:r>
          </w:p>
          <w:p w:rsidR="00000000" w:rsidP="00AE62BE">
            <w:pPr>
              <w:pStyle w:val="ListBullet"/>
              <w:rPr>
                <w:lang w:val="en-NZ"/>
              </w:rPr>
            </w:pPr>
            <w:r w:rsidRPr="00AE62BE">
              <w:t>technical reporting</w:t>
            </w:r>
          </w:p>
        </w:tc>
      </w:tr>
      <w:tr w:rsidTr="00232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Required knowledge</w:t>
            </w:r>
          </w:p>
        </w:tc>
      </w:tr>
      <w:tr w:rsidTr="00232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Required knowledge includes:</w:t>
            </w:r>
          </w:p>
          <w:p w:rsidR="00000000" w:rsidRPr="00AE62BE" w:rsidP="00AE62BE">
            <w:pPr>
              <w:pStyle w:val="ListBullet"/>
            </w:pPr>
            <w:r w:rsidRPr="00AE62BE">
              <w:t>properties of all common refractory materials</w:t>
            </w:r>
          </w:p>
          <w:p w:rsidR="00000000" w:rsidRPr="00AE62BE" w:rsidP="00AE62BE">
            <w:pPr>
              <w:pStyle w:val="ListBullet"/>
            </w:pPr>
            <w:r w:rsidRPr="00AE62BE">
              <w:t>block/precast installation methods</w:t>
            </w:r>
          </w:p>
          <w:p w:rsidR="00000000" w:rsidRPr="00AE62BE" w:rsidP="00AE62BE">
            <w:pPr>
              <w:pStyle w:val="ListBullet"/>
            </w:pPr>
            <w:r w:rsidRPr="00AE62BE">
              <w:t>installing for:</w:t>
            </w:r>
          </w:p>
          <w:p w:rsidR="00000000" w:rsidRPr="00AE62BE" w:rsidP="00AE62BE">
            <w:pPr>
              <w:pStyle w:val="ListBullet2"/>
            </w:pPr>
            <w:r w:rsidRPr="00AE62BE">
              <w:t>straight walls</w:t>
            </w:r>
          </w:p>
          <w:p w:rsidR="00000000" w:rsidRPr="00AE62BE" w:rsidP="00AE62BE">
            <w:pPr>
              <w:pStyle w:val="ListBullet2"/>
            </w:pPr>
            <w:r w:rsidRPr="00AE62BE">
              <w:t>corners</w:t>
            </w:r>
          </w:p>
          <w:p w:rsidR="00000000" w:rsidRPr="00AE62BE" w:rsidP="00AE62BE">
            <w:pPr>
              <w:pStyle w:val="ListBullet2"/>
            </w:pPr>
            <w:r w:rsidRPr="00AE62BE">
              <w:t>curves</w:t>
            </w:r>
          </w:p>
          <w:p w:rsidR="00000000" w:rsidRPr="00AE62BE" w:rsidP="00AE62BE">
            <w:pPr>
              <w:pStyle w:val="ListBullet2"/>
            </w:pPr>
            <w:r w:rsidRPr="00AE62BE">
              <w:t>roofs</w:t>
            </w:r>
          </w:p>
          <w:p w:rsidR="00000000" w:rsidRPr="00AE62BE" w:rsidP="00AE62BE">
            <w:pPr>
              <w:pStyle w:val="ListBullet2"/>
            </w:pPr>
            <w:r w:rsidRPr="00AE62BE">
              <w:t>arches</w:t>
            </w:r>
          </w:p>
          <w:p w:rsidR="00000000" w:rsidRPr="00AE62BE" w:rsidP="00AE62BE">
            <w:pPr>
              <w:pStyle w:val="ListBullet"/>
            </w:pPr>
            <w:r w:rsidRPr="00AE62BE">
              <w:t>anchors and anchoring systems</w:t>
            </w:r>
          </w:p>
          <w:p w:rsidR="00000000" w:rsidRPr="00AE62BE" w:rsidP="00AE62BE">
            <w:pPr>
              <w:pStyle w:val="ListBullet"/>
            </w:pPr>
            <w:r w:rsidRPr="00AE62BE">
              <w:t>installation equipment such as lifting and placement aids</w:t>
            </w:r>
          </w:p>
          <w:p w:rsidR="00000000" w:rsidRPr="00AE62BE" w:rsidP="00AE62BE">
            <w:pPr>
              <w:pStyle w:val="ListBullet"/>
            </w:pPr>
            <w:r w:rsidRPr="00AE62BE">
              <w:t>post placement requirements for different mortars</w:t>
            </w:r>
          </w:p>
          <w:p w:rsidR="00000000" w:rsidRPr="00AE62BE" w:rsidP="00AE62BE">
            <w:pPr>
              <w:pStyle w:val="ListBullet"/>
            </w:pPr>
            <w:r w:rsidRPr="00AE62BE">
              <w:t>scaffolding design and construction</w:t>
            </w:r>
          </w:p>
          <w:p w:rsidR="00000000" w:rsidRPr="00AE62BE" w:rsidP="00AE62BE">
            <w:pPr>
              <w:pStyle w:val="ListBullet"/>
            </w:pPr>
            <w:r w:rsidRPr="00AE62BE">
              <w:t>relevant terms</w:t>
            </w:r>
          </w:p>
          <w:p w:rsidR="00000000" w:rsidRPr="00AE62BE" w:rsidP="00AE62BE">
            <w:pPr>
              <w:pStyle w:val="ListBullet"/>
            </w:pPr>
            <w:r w:rsidRPr="00AE62BE">
              <w:t>relevant calculations</w:t>
            </w:r>
          </w:p>
          <w:p w:rsidR="00000000" w:rsidRPr="00AE62BE" w:rsidP="00AE62BE">
            <w:pPr>
              <w:pStyle w:val="ListBullet"/>
            </w:pPr>
            <w:r w:rsidRPr="00AE62BE">
              <w:t>project planning and management</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10" w:name="O_110832"/>
      <w:bookmarkEnd w:id="10"/>
      <w:r w:rsidRPr="00AE62BE">
        <w:t>Evidence Guide</w:t>
      </w:r>
    </w:p>
    <w:tbl>
      <w:tblPr>
        <w:tblW w:w="9570" w:type="dxa"/>
        <w:tblLayout w:type="fixed"/>
        <w:tblCellMar>
          <w:left w:w="62" w:type="dxa"/>
          <w:right w:w="62" w:type="dxa"/>
        </w:tblCellMar>
        <w:tblLook w:val="0000"/>
      </w:tblPr>
      <w:tblGrid>
        <w:gridCol w:w="3908"/>
        <w:gridCol w:w="5662"/>
      </w:tblGrid>
      <w:tr w:rsidTr="002326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EVIDENCE GUIDE</w:t>
            </w:r>
          </w:p>
        </w:tc>
      </w:tr>
      <w:tr w:rsidTr="002326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t>The Evidence Guide provides advice on assessment and must be read in conjunction with the performance criteria, required skills and knowledge, range statement and the Assessment Guidelines for the Training Package.</w:t>
            </w:r>
          </w:p>
        </w:tc>
      </w:tr>
      <w:tr w:rsidTr="00232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Assessment of this unit should include demonstrated competence in a workplace based project or a simulated workplace project.</w:t>
            </w:r>
          </w:p>
          <w:p w:rsidR="00000000" w:rsidP="00AE62BE">
            <w:pPr>
              <w:pStyle w:val="BodyText"/>
              <w:rPr>
                <w:lang w:val="en-NZ"/>
              </w:rPr>
            </w:pPr>
            <w:r w:rsidRPr="00AE62BE">
              <w:t xml:space="preserve">Access should be available to all normally accessed tables, data etc which would be available to and used by a competent refractory specialist performing this assignment. </w:t>
            </w:r>
          </w:p>
        </w:tc>
      </w:tr>
      <w:tr w:rsidTr="00232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 xml:space="preserve">Critical aspects for assessment and evidence required to demonstrate competency in </w:t>
            </w:r>
            <w:r w:rsidRPr="00AE62BE">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t>Competence must be demonstrated in the ability to select an appropriate material and write the required specification.</w:t>
            </w:r>
          </w:p>
        </w:tc>
      </w:tr>
      <w:tr w:rsidTr="00232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Assessment may occur on the job or in an appropriately simulated environment.</w:t>
            </w:r>
            <w:r w:rsidRPr="00AE62BE">
              <w:t xml:space="preserve"> Access is required to real or appropriately simulated situations, including work areas, materials and equipment, and to information on workplace practices and OHS practices.</w:t>
            </w:r>
          </w:p>
          <w:p w:rsidR="00000000" w:rsidRPr="00AE62BE" w:rsidP="00AE62BE">
            <w:pPr>
              <w:pStyle w:val="BodyText"/>
            </w:pPr>
            <w:r w:rsidRPr="00AE62BE">
              <w:t>Where applicable, reasonable adjustment must be made to work environments and tra</w:t>
            </w:r>
            <w:r w:rsidRPr="00AE62BE">
              <w:t>ining situations to accommodate ethnicity, age, gender, demographics and disability.</w:t>
            </w:r>
          </w:p>
          <w:p w:rsidR="00000000" w:rsidP="00AE62BE">
            <w:pPr>
              <w:pStyle w:val="BodyText"/>
              <w:rPr>
                <w:lang w:val="en-NZ"/>
              </w:rPr>
            </w:pPr>
            <w:r w:rsidRPr="00AE62BE">
              <w:t xml:space="preserve">Access must be provided to appropriate learning and/or assessment support when required. Where applicable, physical resources should include equipment modified for people </w:t>
            </w:r>
            <w:r w:rsidRPr="00AE62BE">
              <w:t>with disabilities.</w:t>
            </w:r>
          </w:p>
        </w:tc>
      </w:tr>
      <w:tr w:rsidTr="00232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ListBullet"/>
            </w:pPr>
            <w:r w:rsidRPr="00AE62BE">
              <w:t>Assessment must satisfy the endorsed assessment guidelines of the Manufactured Mineral Products Training Package.</w:t>
            </w:r>
          </w:p>
          <w:p w:rsidR="00000000" w:rsidRPr="00AE62BE" w:rsidP="00AE62BE">
            <w:pPr>
              <w:pStyle w:val="ListBullet"/>
            </w:pPr>
            <w:r w:rsidRPr="00AE62BE">
              <w:t>Assessment methods must confirm consistency and accuracy of performance (over time and in a range of</w:t>
            </w:r>
            <w:r w:rsidRPr="00AE62BE">
              <w:t xml:space="preserve"> workplace relevant contexts) together with application of underpinning knowledge.</w:t>
            </w:r>
          </w:p>
          <w:p w:rsidR="00000000" w:rsidRPr="00AE62BE" w:rsidP="00AE62BE">
            <w:pPr>
              <w:pStyle w:val="ListBullet"/>
            </w:pPr>
            <w:r w:rsidRPr="00AE62BE">
              <w:t>Assessment methods which include direct observation of tasks should also include questioning on underpinning knowledge to ensure its correct interpretation and application.</w:t>
            </w:r>
          </w:p>
          <w:p w:rsidR="00000000" w:rsidRPr="00AE62BE" w:rsidP="00AE62BE">
            <w:pPr>
              <w:pStyle w:val="ListBullet"/>
            </w:pPr>
            <w:r w:rsidRPr="00AE62BE">
              <w:t>Assessment may be applied under project related conditions (real or simulated) and require evidence of process.</w:t>
            </w:r>
          </w:p>
          <w:p w:rsidR="00000000" w:rsidRPr="00AE62BE" w:rsidP="00AE62BE">
            <w:pPr>
              <w:pStyle w:val="ListBullet"/>
            </w:pPr>
            <w:r w:rsidRPr="00AE62BE">
              <w:t>Assessment must confirm a reasonable inference that competency is able not only to be satisfied under the particular circumstance, but is able t</w:t>
            </w:r>
            <w:r w:rsidRPr="00AE62BE">
              <w:t>o be transferred to other circumstances.</w:t>
            </w:r>
          </w:p>
          <w:p w:rsidR="00000000" w:rsidP="00AE62BE">
            <w:pPr>
              <w:pStyle w:val="ListBullet"/>
              <w:rPr>
                <w:lang w:val="en-NZ"/>
              </w:rPr>
            </w:pPr>
            <w:r w:rsidRPr="00AE62BE">
              <w:t>Assessment may be in conjunction with assessment of other units of competency where required.</w:t>
            </w:r>
          </w:p>
        </w:tc>
      </w:tr>
      <w:tr w:rsidTr="00232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Assessment processes and techniques must be culturally appropriate and appropriate t</w:t>
            </w:r>
            <w:r w:rsidRPr="00AE62BE">
              <w:t>o the language and literacy capacity of the candidate and the work being performed.</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11" w:name="O_110833"/>
      <w:bookmarkEnd w:id="11"/>
      <w:r w:rsidRPr="00AE62BE">
        <w:t>Range Statement</w:t>
      </w:r>
    </w:p>
    <w:tbl>
      <w:tblPr>
        <w:tblW w:w="0" w:type="auto"/>
        <w:tblLayout w:type="fixed"/>
        <w:tblCellMar>
          <w:left w:w="62" w:type="dxa"/>
          <w:right w:w="62" w:type="dxa"/>
        </w:tblCellMar>
        <w:tblLook w:val="0000"/>
      </w:tblPr>
      <w:tblGrid>
        <w:gridCol w:w="3500"/>
        <w:gridCol w:w="5022"/>
      </w:tblGrid>
      <w:tr w:rsidTr="002326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RANGE STATEMENT</w:t>
            </w:r>
          </w:p>
        </w:tc>
      </w:tr>
      <w:tr w:rsidTr="002326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t>The range statement relates to the unit of competency as a whole. It allows for different work environments an</w:t>
            </w:r>
            <w:r w:rsidRPr="00AE62BE">
              <w:t>d situations that may affect performance. Essential operating conditions that may be present with training and assessment (depending on the work situation, needs of the candidate, accessibility of the item, and local industry and regional contexts) may als</w:t>
            </w:r>
            <w:r w:rsidRPr="00AE62BE">
              <w:t>o be included.</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Refractory materials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Refractory materials may include one or more of:</w:t>
            </w:r>
          </w:p>
          <w:p w:rsidR="00000000" w:rsidRPr="00AE62BE" w:rsidP="00AE62BE">
            <w:pPr>
              <w:pStyle w:val="ListBullet"/>
            </w:pPr>
            <w:r w:rsidRPr="00AE62BE">
              <w:t>cementitious refractories</w:t>
            </w:r>
          </w:p>
          <w:p w:rsidR="00000000" w:rsidRPr="00AE62BE" w:rsidP="00AE62BE">
            <w:pPr>
              <w:pStyle w:val="ListBullet"/>
            </w:pPr>
            <w:r w:rsidRPr="00AE62BE">
              <w:t>clay refractories</w:t>
            </w:r>
          </w:p>
          <w:p w:rsidR="00000000" w:rsidP="00AE62BE">
            <w:pPr>
              <w:pStyle w:val="ListBullet"/>
              <w:rPr>
                <w:lang w:val="en-NZ"/>
              </w:rPr>
            </w:pPr>
            <w:r w:rsidRPr="00AE62BE">
              <w:t>other refractories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Bond forms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Bond forms include:</w:t>
            </w:r>
          </w:p>
          <w:p w:rsidR="00000000" w:rsidRPr="00AE62BE" w:rsidP="00AE62BE">
            <w:pPr>
              <w:pStyle w:val="ListBullet"/>
            </w:pPr>
            <w:r w:rsidRPr="00AE62BE">
              <w:t>stretcher bond</w:t>
            </w:r>
          </w:p>
          <w:p w:rsidR="00000000" w:rsidRPr="00AE62BE" w:rsidP="00AE62BE">
            <w:pPr>
              <w:pStyle w:val="ListBullet"/>
            </w:pPr>
            <w:r w:rsidRPr="00AE62BE">
              <w:t>header bond</w:t>
            </w:r>
          </w:p>
          <w:p w:rsidR="00000000" w:rsidRPr="00AE62BE" w:rsidP="00AE62BE">
            <w:pPr>
              <w:pStyle w:val="ListBullet"/>
            </w:pPr>
            <w:r w:rsidRPr="00AE62BE">
              <w:t>English bond</w:t>
            </w:r>
          </w:p>
          <w:p w:rsidR="00000000" w:rsidRPr="00AE62BE" w:rsidP="00AE62BE">
            <w:pPr>
              <w:pStyle w:val="ListBullet"/>
            </w:pPr>
            <w:r w:rsidRPr="00AE62BE">
              <w:t>English garden wall bond</w:t>
            </w:r>
          </w:p>
          <w:p w:rsidR="00000000" w:rsidRPr="00AE62BE" w:rsidP="00AE62BE">
            <w:pPr>
              <w:pStyle w:val="ListBullet"/>
            </w:pPr>
            <w:r w:rsidRPr="00AE62BE">
              <w:t>reverse bond</w:t>
            </w:r>
          </w:p>
          <w:p w:rsidR="00000000" w:rsidP="00AE62BE">
            <w:pPr>
              <w:pStyle w:val="ListBullet"/>
              <w:rPr>
                <w:lang w:val="en-NZ"/>
              </w:rPr>
            </w:pPr>
            <w:r w:rsidRPr="00AE62BE">
              <w:t>broken bond</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Junctions and piers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Junctions include:</w:t>
            </w:r>
          </w:p>
          <w:p w:rsidR="00000000" w:rsidRPr="00AE62BE" w:rsidP="00AE62BE">
            <w:pPr>
              <w:pStyle w:val="ListBullet"/>
            </w:pPr>
            <w:r w:rsidRPr="00AE62BE">
              <w:t>tie brick</w:t>
            </w:r>
          </w:p>
          <w:p w:rsidR="00000000" w:rsidRPr="00AE62BE" w:rsidP="00AE62BE">
            <w:pPr>
              <w:pStyle w:val="ListBullet"/>
            </w:pPr>
            <w:r w:rsidRPr="00AE62BE">
              <w:t>special brick</w:t>
            </w:r>
          </w:p>
          <w:p w:rsidR="00000000" w:rsidRPr="00AE62BE" w:rsidP="00AE62BE">
            <w:pPr>
              <w:pStyle w:val="ListBullet"/>
            </w:pPr>
            <w:r w:rsidRPr="00AE62BE">
              <w:t>squint brick</w:t>
            </w:r>
          </w:p>
          <w:p w:rsidR="00000000" w:rsidRPr="00AE62BE" w:rsidP="00AE62BE">
            <w:pPr>
              <w:pStyle w:val="BodyText"/>
            </w:pPr>
            <w:r w:rsidRPr="00AE62BE">
              <w:t>Piers may be:</w:t>
            </w:r>
          </w:p>
          <w:p w:rsidR="00000000" w:rsidRPr="00AE62BE" w:rsidP="00AE62BE">
            <w:pPr>
              <w:pStyle w:val="ListBullet"/>
            </w:pPr>
            <w:r w:rsidRPr="00AE62BE">
              <w:t>attached</w:t>
            </w:r>
          </w:p>
          <w:p w:rsidR="00000000" w:rsidRPr="00AE62BE" w:rsidP="00AE62BE">
            <w:pPr>
              <w:pStyle w:val="ListBullet"/>
            </w:pPr>
            <w:r w:rsidRPr="00AE62BE">
              <w:t>detached</w:t>
            </w:r>
          </w:p>
          <w:p w:rsidR="00000000" w:rsidRPr="00AE62BE" w:rsidP="00AE62BE">
            <w:pPr>
              <w:pStyle w:val="ListBullet"/>
            </w:pPr>
            <w:r w:rsidRPr="00AE62BE">
              <w:t>not needed</w:t>
            </w:r>
          </w:p>
          <w:p w:rsidR="00000000" w:rsidP="00AE62BE">
            <w:pPr>
              <w:pStyle w:val="BodyText"/>
              <w:rPr>
                <w:lang w:val="en-NZ"/>
              </w:rPr>
            </w:pPr>
            <w:r w:rsidRPr="00AE62BE">
              <w:t>Note: feather edge refractory bricks are not normally included</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Mortar</w:t>
            </w:r>
            <w:r w:rsidRPr="00AE62BE">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Mortar includes:</w:t>
            </w:r>
          </w:p>
          <w:p w:rsidR="00000000" w:rsidRPr="00AE62BE" w:rsidP="00AE62BE">
            <w:pPr>
              <w:pStyle w:val="ListBullet"/>
            </w:pPr>
            <w:r w:rsidRPr="00AE62BE">
              <w:t>hydraulic setting dry mixes</w:t>
            </w:r>
          </w:p>
          <w:p w:rsidR="00000000" w:rsidRPr="00AE62BE" w:rsidP="00AE62BE">
            <w:pPr>
              <w:pStyle w:val="ListBullet"/>
            </w:pPr>
            <w:r w:rsidRPr="00AE62BE">
              <w:t>air setting dry mixes</w:t>
            </w:r>
          </w:p>
          <w:p w:rsidR="00000000" w:rsidRPr="00AE62BE" w:rsidP="00AE62BE">
            <w:pPr>
              <w:pStyle w:val="ListBullet"/>
            </w:pPr>
            <w:r w:rsidRPr="00AE62BE">
              <w:t>heat setting dry mixes</w:t>
            </w:r>
          </w:p>
          <w:p w:rsidR="00000000" w:rsidRPr="00AE62BE" w:rsidP="00AE62BE">
            <w:pPr>
              <w:pStyle w:val="BodyText"/>
            </w:pPr>
            <w:r w:rsidRPr="00AE62BE">
              <w:t>and may be:</w:t>
            </w:r>
          </w:p>
          <w:p w:rsidR="00000000" w:rsidRPr="00AE62BE" w:rsidP="00AE62BE">
            <w:pPr>
              <w:pStyle w:val="ListBullet"/>
            </w:pPr>
            <w:r w:rsidRPr="00AE62BE">
              <w:t>clay</w:t>
            </w:r>
          </w:p>
          <w:p w:rsidR="00000000" w:rsidRPr="00AE62BE" w:rsidP="00AE62BE">
            <w:pPr>
              <w:pStyle w:val="ListBullet"/>
            </w:pPr>
            <w:r w:rsidRPr="00AE62BE">
              <w:t>fireclay</w:t>
            </w:r>
          </w:p>
          <w:p w:rsidR="00000000" w:rsidRPr="00AE62BE" w:rsidP="00AE62BE">
            <w:pPr>
              <w:pStyle w:val="ListBullet"/>
            </w:pPr>
            <w:r w:rsidRPr="00AE62BE">
              <w:t>chamotte</w:t>
            </w:r>
          </w:p>
          <w:p w:rsidR="00000000" w:rsidP="00AE62BE">
            <w:pPr>
              <w:pStyle w:val="ListBullet"/>
              <w:rPr>
                <w:lang w:val="en-NZ"/>
              </w:rPr>
            </w:pPr>
            <w:r w:rsidRPr="00AE62BE">
              <w:t>mortar</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Installation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Installation equipment may include one or more of:</w:t>
            </w:r>
          </w:p>
          <w:p w:rsidR="00000000" w:rsidRPr="00AE62BE" w:rsidP="00AE62BE">
            <w:pPr>
              <w:pStyle w:val="ListBullet"/>
            </w:pPr>
            <w:r w:rsidRPr="00AE62BE">
              <w:t>equipment for lifting and placing precast blocks</w:t>
            </w:r>
          </w:p>
          <w:p w:rsidR="00000000" w:rsidRPr="00AE62BE" w:rsidP="00AE62BE">
            <w:pPr>
              <w:pStyle w:val="ListBullet"/>
            </w:pPr>
            <w:r w:rsidRPr="00AE62BE">
              <w:t>temporary support for roofs and arches</w:t>
            </w:r>
          </w:p>
          <w:p w:rsidR="00000000" w:rsidP="00AE62BE">
            <w:pPr>
              <w:pStyle w:val="ListBullet"/>
              <w:rPr>
                <w:lang w:val="en-NZ"/>
              </w:rPr>
            </w:pPr>
            <w:r w:rsidRPr="00AE62BE">
              <w:t>spreader jacks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Anchors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Types of anchors may include:</w:t>
            </w:r>
          </w:p>
          <w:p w:rsidR="00000000" w:rsidRPr="00AE62BE" w:rsidP="00AE62BE">
            <w:pPr>
              <w:pStyle w:val="ListBullet"/>
            </w:pPr>
            <w:r w:rsidRPr="00AE62BE">
              <w:t>anchor bolts</w:t>
            </w:r>
          </w:p>
          <w:p w:rsidR="00000000" w:rsidRPr="00AE62BE" w:rsidP="00AE62BE">
            <w:pPr>
              <w:pStyle w:val="ListBullet"/>
            </w:pPr>
            <w:r w:rsidRPr="00AE62BE">
              <w:t>anchor mesh</w:t>
            </w:r>
          </w:p>
          <w:p w:rsidR="00000000" w:rsidP="00AE62BE">
            <w:pPr>
              <w:pStyle w:val="ListBullet"/>
              <w:rPr>
                <w:lang w:val="en-NZ"/>
              </w:rPr>
            </w:pPr>
            <w:r w:rsidRPr="00AE62BE">
              <w:t>retention clips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Post laying 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Post laying requirements may include:</w:t>
            </w:r>
          </w:p>
          <w:p w:rsidR="00000000" w:rsidRPr="00AE62BE" w:rsidP="00AE62BE">
            <w:pPr>
              <w:pStyle w:val="ListBullet"/>
            </w:pPr>
            <w:r w:rsidRPr="00AE62BE">
              <w:t>drying</w:t>
            </w:r>
          </w:p>
          <w:p w:rsidR="00000000" w:rsidRPr="00AE62BE" w:rsidP="00AE62BE">
            <w:pPr>
              <w:pStyle w:val="ListBullet"/>
            </w:pPr>
            <w:r w:rsidRPr="00AE62BE">
              <w:t>control of moisture and or temperature</w:t>
            </w:r>
          </w:p>
          <w:p w:rsidR="00000000" w:rsidP="00AE62BE">
            <w:pPr>
              <w:pStyle w:val="ListBullet"/>
              <w:rPr>
                <w:lang w:val="en-NZ"/>
              </w:rPr>
            </w:pPr>
            <w:r w:rsidRPr="00AE62BE">
              <w:t>removal of scaffolding or other access/egress provisions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HSE hazards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HSE hazards may include:</w:t>
            </w:r>
          </w:p>
          <w:p w:rsidR="00000000" w:rsidRPr="00AE62BE" w:rsidP="00AE62BE">
            <w:pPr>
              <w:pStyle w:val="ListBullet"/>
            </w:pPr>
            <w:r w:rsidRPr="00AE62BE">
              <w:t>exposure to heat</w:t>
            </w:r>
          </w:p>
          <w:p w:rsidR="00000000" w:rsidRPr="00AE62BE" w:rsidP="00AE62BE">
            <w:pPr>
              <w:pStyle w:val="ListBullet"/>
            </w:pPr>
            <w:r w:rsidRPr="00AE62BE">
              <w:t>exposure to dust</w:t>
            </w:r>
          </w:p>
          <w:p w:rsidR="00000000" w:rsidRPr="00AE62BE" w:rsidP="00AE62BE">
            <w:pPr>
              <w:pStyle w:val="ListBullet"/>
            </w:pPr>
            <w:r w:rsidRPr="00AE62BE">
              <w:t>exposure to refractory materials</w:t>
            </w:r>
          </w:p>
          <w:p w:rsidR="00000000" w:rsidRPr="00AE62BE" w:rsidP="00AE62BE">
            <w:pPr>
              <w:pStyle w:val="ListBullet"/>
            </w:pPr>
            <w:r w:rsidRPr="00AE62BE">
              <w:t>confined space entry</w:t>
            </w:r>
          </w:p>
          <w:p w:rsidR="00000000" w:rsidRPr="00AE62BE" w:rsidP="00AE62BE">
            <w:pPr>
              <w:pStyle w:val="ListBullet"/>
            </w:pPr>
            <w:r w:rsidRPr="00AE62BE">
              <w:t>working with equipment</w:t>
            </w:r>
          </w:p>
          <w:p w:rsidR="00000000" w:rsidRPr="00AE62BE" w:rsidP="00AE62BE">
            <w:pPr>
              <w:pStyle w:val="ListBullet"/>
            </w:pPr>
            <w:r w:rsidRPr="00AE62BE">
              <w:t>working at heights</w:t>
            </w:r>
          </w:p>
          <w:p w:rsidR="00000000" w:rsidRPr="00AE62BE" w:rsidP="00AE62BE">
            <w:pPr>
              <w:pStyle w:val="ListBullet"/>
            </w:pPr>
            <w:r w:rsidRPr="00AE62BE">
              <w:t>ultra-violet (UV) and other we</w:t>
            </w:r>
            <w:r w:rsidRPr="00AE62BE">
              <w:t>lding hazards</w:t>
            </w:r>
          </w:p>
          <w:p w:rsidR="00000000" w:rsidRPr="00AE62BE" w:rsidP="00AE62BE">
            <w:pPr>
              <w:pStyle w:val="ListBullet"/>
            </w:pPr>
            <w:r w:rsidRPr="00AE62BE">
              <w:t>disposal of waste, scrap and excess materials</w:t>
            </w:r>
          </w:p>
          <w:p w:rsidR="00000000" w:rsidP="00AE62BE">
            <w:pPr>
              <w:pStyle w:val="ListBullet"/>
              <w:rPr>
                <w:lang w:val="en-NZ"/>
              </w:rPr>
            </w:pPr>
            <w:r w:rsidRPr="00AE62BE">
              <w:t>manual handling hazards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Hazard control</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Appropriate hazard control should be determined by:</w:t>
            </w:r>
          </w:p>
          <w:p w:rsidR="00000000" w:rsidP="00AE62BE">
            <w:pPr>
              <w:pStyle w:val="ListBullet"/>
              <w:rPr>
                <w:lang w:val="en-NZ"/>
              </w:rPr>
            </w:pPr>
            <w:r w:rsidRPr="00AE62BE">
              <w:t>applying the hierarchy of control</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Stakeholders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Stakeholders may include:</w:t>
            </w:r>
          </w:p>
          <w:p w:rsidR="00000000" w:rsidRPr="00AE62BE" w:rsidP="00AE62BE">
            <w:pPr>
              <w:pStyle w:val="ListBullet"/>
            </w:pPr>
            <w:r w:rsidRPr="00AE62BE">
              <w:t>customer representatives</w:t>
            </w:r>
          </w:p>
          <w:p w:rsidR="00000000" w:rsidRPr="00AE62BE" w:rsidP="00AE62BE">
            <w:pPr>
              <w:pStyle w:val="ListBullet"/>
            </w:pPr>
            <w:r w:rsidRPr="00AE62BE">
              <w:t>technical experts</w:t>
            </w:r>
          </w:p>
          <w:p w:rsidR="00000000" w:rsidRPr="00AE62BE" w:rsidP="00AE62BE">
            <w:pPr>
              <w:pStyle w:val="ListBullet"/>
            </w:pPr>
            <w:r w:rsidRPr="00AE62BE">
              <w:t>regulators</w:t>
            </w:r>
          </w:p>
          <w:p w:rsidR="00000000" w:rsidRPr="00AE62BE" w:rsidP="00AE62BE">
            <w:pPr>
              <w:pStyle w:val="ListBullet"/>
            </w:pPr>
            <w:r w:rsidRPr="00AE62BE">
              <w:t>refractory designer</w:t>
            </w:r>
          </w:p>
          <w:p w:rsidR="00000000" w:rsidRPr="00AE62BE" w:rsidP="00AE62BE">
            <w:pPr>
              <w:pStyle w:val="ListBullet"/>
            </w:pPr>
            <w:r w:rsidRPr="00AE62BE">
              <w:t>materials and equipment suppliers</w:t>
            </w:r>
          </w:p>
          <w:p w:rsidR="00000000" w:rsidP="00AE62BE">
            <w:pPr>
              <w:pStyle w:val="ListBullet"/>
              <w:rPr>
                <w:lang w:val="en-NZ"/>
              </w:rPr>
            </w:pPr>
            <w:r w:rsidRPr="00AE62BE">
              <w:t>contractors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Requirements include:</w:t>
            </w:r>
          </w:p>
          <w:p w:rsidR="00000000" w:rsidRPr="00AE62BE" w:rsidP="00AE62BE">
            <w:pPr>
              <w:pStyle w:val="ListBullet"/>
            </w:pPr>
            <w:r w:rsidRPr="00AE62BE">
              <w:t>materials</w:t>
            </w:r>
          </w:p>
          <w:p w:rsidR="00000000" w:rsidRPr="00AE62BE" w:rsidP="00AE62BE">
            <w:pPr>
              <w:pStyle w:val="ListBullet"/>
            </w:pPr>
            <w:r w:rsidRPr="00AE62BE">
              <w:t>equipment</w:t>
            </w:r>
          </w:p>
          <w:p w:rsidR="00000000" w:rsidP="00AE62BE">
            <w:pPr>
              <w:pStyle w:val="ListBullet"/>
              <w:rPr>
                <w:lang w:val="en-NZ"/>
              </w:rPr>
            </w:pPr>
            <w:r w:rsidRPr="00AE62BE">
              <w:t>contractors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Time critical items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Time critical items are those items which if not completed on time will cause the project to run overtime and may be determined from:</w:t>
            </w:r>
          </w:p>
          <w:p w:rsidR="00000000" w:rsidRPr="00AE62BE" w:rsidP="00AE62BE">
            <w:pPr>
              <w:pStyle w:val="ListBullet"/>
            </w:pPr>
            <w:r w:rsidRPr="00AE62BE">
              <w:t>critical path analysis</w:t>
            </w:r>
          </w:p>
          <w:p w:rsidR="00000000" w:rsidRPr="00AE62BE" w:rsidP="00AE62BE">
            <w:pPr>
              <w:pStyle w:val="ListBullet"/>
            </w:pPr>
            <w:r w:rsidRPr="00AE62BE">
              <w:t>long lead time items</w:t>
            </w:r>
          </w:p>
          <w:p w:rsidR="00000000" w:rsidP="00AE62BE">
            <w:pPr>
              <w:pStyle w:val="ListBullet"/>
              <w:rPr>
                <w:lang w:val="en-NZ"/>
              </w:rPr>
            </w:pPr>
            <w:r w:rsidRPr="00AE62BE">
              <w:t>other techniques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Installation specification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Installation specification shoul</w:t>
            </w:r>
            <w:r w:rsidRPr="00AE62BE">
              <w:t>d include:</w:t>
            </w:r>
          </w:p>
          <w:p w:rsidR="00000000" w:rsidRPr="00AE62BE" w:rsidP="00AE62BE">
            <w:pPr>
              <w:pStyle w:val="ListBullet"/>
            </w:pPr>
            <w:r w:rsidRPr="00AE62BE">
              <w:t>technical specification</w:t>
            </w:r>
          </w:p>
          <w:p w:rsidR="00000000" w:rsidRPr="00AE62BE" w:rsidP="00AE62BE">
            <w:pPr>
              <w:pStyle w:val="ListBullet"/>
            </w:pPr>
            <w:r w:rsidRPr="00AE62BE">
              <w:t>hazard controls and residual hazards</w:t>
            </w:r>
          </w:p>
          <w:p w:rsidR="00000000" w:rsidRPr="00AE62BE" w:rsidP="00AE62BE">
            <w:pPr>
              <w:pStyle w:val="ListBullet"/>
            </w:pPr>
            <w:r w:rsidRPr="00AE62BE">
              <w:t>installation schedule</w:t>
            </w:r>
          </w:p>
          <w:p w:rsidR="00000000" w:rsidP="00AE62BE">
            <w:pPr>
              <w:pStyle w:val="ListBullet"/>
              <w:rPr>
                <w:lang w:val="en-NZ"/>
              </w:rPr>
            </w:pPr>
            <w:r w:rsidRPr="00AE62BE">
              <w:t>measures monitoring critical items</w:t>
            </w:r>
          </w:p>
        </w:tc>
      </w:tr>
      <w:tr w:rsidTr="0023260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End of project documentation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End of project documentation may include:</w:t>
            </w:r>
          </w:p>
          <w:p w:rsidR="00000000" w:rsidRPr="00AE62BE" w:rsidP="00AE62BE">
            <w:pPr>
              <w:pStyle w:val="ListBullet"/>
            </w:pPr>
            <w:r w:rsidRPr="00AE62BE">
              <w:t>operating and/or maintenance procedures</w:t>
            </w:r>
          </w:p>
          <w:p w:rsidR="00000000" w:rsidRPr="00AE62BE" w:rsidP="00AE62BE">
            <w:pPr>
              <w:pStyle w:val="ListBullet"/>
            </w:pPr>
            <w:r w:rsidRPr="00AE62BE">
              <w:t>technical specification</w:t>
            </w:r>
          </w:p>
          <w:p w:rsidR="00000000" w:rsidRPr="00AE62BE" w:rsidP="00AE62BE">
            <w:pPr>
              <w:pStyle w:val="ListBullet"/>
            </w:pPr>
            <w:r w:rsidRPr="00AE62BE">
              <w:t>routine monitoring requirements</w:t>
            </w:r>
          </w:p>
          <w:p w:rsidR="00000000" w:rsidRPr="00AE62BE" w:rsidP="00AE62BE">
            <w:pPr>
              <w:pStyle w:val="ListBullet"/>
            </w:pPr>
            <w:r w:rsidRPr="00AE62BE">
              <w:t>project review report:</w:t>
            </w:r>
          </w:p>
          <w:p w:rsidR="00000000" w:rsidRPr="00AE62BE" w:rsidP="00AE62BE">
            <w:pPr>
              <w:pStyle w:val="ListBullet2"/>
            </w:pPr>
            <w:r w:rsidRPr="00AE62BE">
              <w:t>what was intended</w:t>
            </w:r>
          </w:p>
          <w:p w:rsidR="00000000" w:rsidRPr="00AE62BE" w:rsidP="00AE62BE">
            <w:pPr>
              <w:pStyle w:val="ListBullet2"/>
            </w:pPr>
            <w:r w:rsidRPr="00AE62BE">
              <w:t>what was achieved</w:t>
            </w:r>
          </w:p>
          <w:p w:rsidR="00000000" w:rsidRPr="00AE62BE" w:rsidP="00AE62BE">
            <w:pPr>
              <w:pStyle w:val="ListBullet2"/>
            </w:pPr>
            <w:r w:rsidRPr="00AE62BE">
              <w:t>achieved costs</w:t>
            </w:r>
          </w:p>
          <w:p w:rsidR="00000000" w:rsidRPr="00AE62BE" w:rsidP="00AE62BE">
            <w:pPr>
              <w:pStyle w:val="ListBullet2"/>
            </w:pPr>
            <w:r w:rsidRPr="00AE62BE">
              <w:t>achieved timing</w:t>
            </w:r>
          </w:p>
          <w:p w:rsidR="00000000" w:rsidRPr="00AE62BE" w:rsidP="00AE62BE">
            <w:pPr>
              <w:pStyle w:val="ListBullet2"/>
            </w:pPr>
            <w:r w:rsidRPr="00AE62BE">
              <w:t>significant project issues</w:t>
            </w:r>
          </w:p>
          <w:p w:rsidR="00000000" w:rsidRPr="00AE62BE" w:rsidP="00AE62BE">
            <w:pPr>
              <w:pStyle w:val="ListBullet2"/>
            </w:pPr>
            <w:r w:rsidRPr="00AE62BE">
              <w:t>possible improvements</w:t>
            </w:r>
          </w:p>
        </w:tc>
      </w:tr>
    </w:tbl>
    <w:p w:rsidR="00232606" w:rsidP="00AE62BE">
      <w:pPr>
        <w:pStyle w:val="BodyText"/>
      </w:pPr>
    </w:p>
    <w:p w:rsidR="00232606" w:rsidP="00AE62BE">
      <w:pPr>
        <w:pStyle w:val="BodyText"/>
      </w:pPr>
    </w:p>
    <w:p w:rsidR="00000000" w:rsidRPr="00AE62BE" w:rsidP="00AE62BE">
      <w:pPr>
        <w:pStyle w:val="Heading1"/>
      </w:pPr>
      <w:bookmarkStart w:id="12" w:name="O_110834"/>
      <w:bookmarkEnd w:id="12"/>
      <w:r w:rsidRPr="00AE62BE">
        <w:t>Unit Sector(s)</w:t>
      </w:r>
    </w:p>
    <w:tbl>
      <w:tblPr>
        <w:tblW w:w="0" w:type="auto"/>
        <w:tblLayout w:type="fixed"/>
        <w:tblCellMar>
          <w:left w:w="62" w:type="dxa"/>
          <w:right w:w="62" w:type="dxa"/>
        </w:tblCellMar>
        <w:tblLook w:val="0000"/>
      </w:tblPr>
      <w:tblGrid>
        <w:gridCol w:w="2567"/>
        <w:gridCol w:w="5955"/>
      </w:tblGrid>
      <w:tr w:rsidTr="0023260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r w:rsidRPr="00AE62BE">
              <w:t>Operational/technical</w:t>
            </w: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13" w:name="O_160239"/>
      <w:bookmarkEnd w:id="13"/>
      <w:r w:rsidRPr="00AE62BE">
        <w:t>Competency field</w:t>
      </w:r>
    </w:p>
    <w:tbl>
      <w:tblPr>
        <w:tblW w:w="0" w:type="auto"/>
        <w:tblLayout w:type="fixed"/>
        <w:tblCellMar>
          <w:left w:w="62" w:type="dxa"/>
          <w:right w:w="62" w:type="dxa"/>
        </w:tblCellMar>
        <w:tblLook w:val="0000"/>
      </w:tblPr>
      <w:tblGrid>
        <w:gridCol w:w="2784"/>
        <w:gridCol w:w="5738"/>
      </w:tblGrid>
      <w:tr w:rsidTr="002326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p>
        </w:tc>
      </w:tr>
    </w:tbl>
    <w:p w:rsidR="00000000" w:rsidRPr="00AE62BE" w:rsidP="00AE62BE">
      <w:pPr>
        <w:pStyle w:val="BodyText"/>
      </w:pPr>
    </w:p>
    <w:p w:rsidR="00000000" w:rsidRPr="00AE62BE" w:rsidP="00AE62BE">
      <w:pPr>
        <w:pStyle w:val="AllowPageBreak"/>
      </w:pPr>
    </w:p>
    <w:p w:rsidR="00000000" w:rsidRPr="00AE62BE" w:rsidP="00AE62BE">
      <w:pPr>
        <w:pStyle w:val="Heading1"/>
      </w:pPr>
      <w:bookmarkStart w:id="14" w:name="O_160238"/>
      <w:bookmarkEnd w:id="14"/>
      <w:r w:rsidRPr="00AE62BE">
        <w:t>Co-requisite units</w:t>
      </w:r>
    </w:p>
    <w:tbl>
      <w:tblPr>
        <w:tblW w:w="0" w:type="auto"/>
        <w:tblLayout w:type="fixed"/>
        <w:tblCellMar>
          <w:left w:w="62" w:type="dxa"/>
          <w:right w:w="62" w:type="dxa"/>
        </w:tblCellMar>
        <w:tblLook w:val="0000"/>
      </w:tblPr>
      <w:tblGrid>
        <w:gridCol w:w="2641"/>
        <w:gridCol w:w="1322"/>
        <w:gridCol w:w="4559"/>
      </w:tblGrid>
      <w:tr w:rsidTr="002326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r w:rsidRPr="00AE62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p>
        </w:tc>
      </w:tr>
      <w:tr w:rsidTr="002326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2BE">
            <w:pPr>
              <w:pStyle w:val="BodyText"/>
              <w:rPr>
                <w:lang w:val="en-NZ"/>
              </w:rPr>
            </w:pPr>
          </w:p>
        </w:tc>
      </w:tr>
      <w:tr w:rsidTr="002326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2BE" w:rsidP="00AE62BE">
            <w:pPr>
              <w:pStyle w:val="BodyText"/>
            </w:pPr>
          </w:p>
        </w:tc>
      </w:tr>
    </w:tbl>
    <w:p w:rsidR="00000000" w:rsidRPr="00AE62BE" w:rsidP="00AE62BE">
      <w:pPr>
        <w:pStyle w:val="BodyText"/>
      </w:pPr>
    </w:p>
    <w:p w:rsidR="00000000" w:rsidRPr="00AE62BE" w:rsidP="00AE62BE"/>
    <w:sectPr w:rsidSect="00AE6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BE" w:rsidRPr="00232606" w:rsidP="00232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06" w:rsidP="00AE6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2606" w:rsidP="00AE62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2606" w:rsidP="00AE6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BE" w:rsidRPr="00232606" w:rsidP="002326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606" w:rsidRPr="002D2AF8" w:rsidP="00AE62BE">
    <w:pPr>
      <w:pStyle w:val="Header"/>
      <w:framePr w:wrap="around"/>
    </w:pPr>
    <w:r>
      <w:fldChar w:fldCharType="begin"/>
    </w:r>
    <w:r>
      <w:instrText xml:space="preserve"> TITLE   \* MERGEFORMAT </w:instrText>
    </w:r>
    <w:r>
      <w:fldChar w:fldCharType="separate"/>
    </w:r>
    <w:r>
      <w:t>PMC557096A Specify and monitor the installation of block/precast refractories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32606" w:rsidP="00AE6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4C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0E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943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2BE"/>
    <w:pPr>
      <w:spacing w:before="360" w:after="60"/>
      <w:outlineLvl w:val="0"/>
    </w:pPr>
    <w:rPr>
      <w:sz w:val="32"/>
    </w:rPr>
  </w:style>
  <w:style w:type="paragraph" w:styleId="Heading2">
    <w:name w:val="heading 2"/>
    <w:basedOn w:val="HeadingBase"/>
    <w:next w:val="BodyText"/>
    <w:link w:val="Heading2Char"/>
    <w:qFormat/>
    <w:rsid w:val="00AE62BE"/>
    <w:pPr>
      <w:keepLines/>
      <w:spacing w:before="240" w:after="120"/>
      <w:outlineLvl w:val="1"/>
    </w:pPr>
    <w:rPr>
      <w:sz w:val="28"/>
      <w:szCs w:val="40"/>
    </w:rPr>
  </w:style>
  <w:style w:type="paragraph" w:styleId="Heading3">
    <w:name w:val="heading 3"/>
    <w:basedOn w:val="HeadingBase"/>
    <w:next w:val="BodyText"/>
    <w:link w:val="Heading3Char"/>
    <w:qFormat/>
    <w:rsid w:val="00AE62BE"/>
    <w:pPr>
      <w:spacing w:before="180" w:after="120"/>
      <w:outlineLvl w:val="2"/>
    </w:pPr>
    <w:rPr>
      <w:spacing w:val="-10"/>
      <w:kern w:val="32"/>
    </w:rPr>
  </w:style>
  <w:style w:type="paragraph" w:styleId="Heading4">
    <w:name w:val="heading 4"/>
    <w:basedOn w:val="HeadingBase"/>
    <w:next w:val="BodyText"/>
    <w:link w:val="Heading4Char"/>
    <w:qFormat/>
    <w:rsid w:val="00AE62BE"/>
    <w:pPr>
      <w:spacing w:before="160" w:after="120"/>
      <w:outlineLvl w:val="3"/>
    </w:pPr>
    <w:rPr>
      <w:sz w:val="22"/>
    </w:rPr>
  </w:style>
  <w:style w:type="paragraph" w:styleId="Heading5">
    <w:name w:val="heading 5"/>
    <w:basedOn w:val="HeadingBase"/>
    <w:next w:val="Normal"/>
    <w:link w:val="Heading5Char"/>
    <w:qFormat/>
    <w:rsid w:val="00AE62BE"/>
    <w:pPr>
      <w:spacing w:before="80"/>
      <w:outlineLvl w:val="4"/>
    </w:pPr>
    <w:rPr>
      <w:color w:val="918585"/>
      <w:sz w:val="20"/>
    </w:rPr>
  </w:style>
  <w:style w:type="paragraph" w:styleId="Heading6">
    <w:name w:val="heading 6"/>
    <w:basedOn w:val="HeadingBase"/>
    <w:next w:val="Normal"/>
    <w:link w:val="Heading6Char"/>
    <w:qFormat/>
    <w:rsid w:val="00AE62BE"/>
    <w:pPr>
      <w:spacing w:before="60"/>
      <w:outlineLvl w:val="5"/>
    </w:pPr>
    <w:rPr>
      <w:color w:val="918585"/>
      <w:sz w:val="20"/>
    </w:rPr>
  </w:style>
  <w:style w:type="paragraph" w:styleId="Heading7">
    <w:name w:val="heading 7"/>
    <w:basedOn w:val="Normal"/>
    <w:next w:val="Normal"/>
    <w:link w:val="Heading7Char"/>
    <w:qFormat/>
    <w:rsid w:val="00AE62BE"/>
    <w:pPr>
      <w:ind w:left="720"/>
      <w:outlineLvl w:val="6"/>
    </w:pPr>
    <w:rPr>
      <w:i/>
    </w:rPr>
  </w:style>
  <w:style w:type="paragraph" w:styleId="Heading8">
    <w:name w:val="heading 8"/>
    <w:basedOn w:val="Normal"/>
    <w:next w:val="Normal"/>
    <w:link w:val="Heading8Char"/>
    <w:qFormat/>
    <w:rsid w:val="00AE62BE"/>
    <w:pPr>
      <w:ind w:left="720"/>
      <w:outlineLvl w:val="7"/>
    </w:pPr>
    <w:rPr>
      <w:i/>
    </w:rPr>
  </w:style>
  <w:style w:type="paragraph" w:styleId="Heading9">
    <w:name w:val="heading 9"/>
    <w:basedOn w:val="Normal"/>
    <w:next w:val="Normal"/>
    <w:link w:val="Heading9Char"/>
    <w:qFormat/>
    <w:rsid w:val="00AE62BE"/>
    <w:pPr>
      <w:ind w:left="720"/>
      <w:outlineLvl w:val="8"/>
    </w:pPr>
    <w:rPr>
      <w:i/>
    </w:rPr>
  </w:style>
  <w:style w:type="character" w:default="1" w:styleId="DefaultParagraphFont">
    <w:name w:val="Default Paragraph Font"/>
    <w:uiPriority w:val="1"/>
    <w:unhideWhenUsed/>
    <w:rsid w:val="00AE6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2BE"/>
  </w:style>
  <w:style w:type="character" w:customStyle="1" w:styleId="Heading1Char">
    <w:name w:val="Heading 1 Char"/>
    <w:basedOn w:val="DefaultParagraphFont"/>
    <w:link w:val="Heading1"/>
    <w:rsid w:val="00AE62BE"/>
    <w:rPr>
      <w:rFonts w:ascii="Times New Roman" w:eastAsia="Times New Roman" w:hAnsi="Times New Roman" w:cs="Times New Roman"/>
      <w:b/>
      <w:sz w:val="32"/>
      <w:szCs w:val="20"/>
      <w:lang w:eastAsia="en-US"/>
    </w:rPr>
  </w:style>
  <w:style w:type="paragraph" w:styleId="BodyText">
    <w:name w:val="Body Text"/>
    <w:basedOn w:val="Normal"/>
    <w:link w:val="BodyTextChar"/>
    <w:rsid w:val="00AE6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2BE"/>
    <w:rPr>
      <w:rFonts w:ascii="Times New Roman" w:eastAsia="Times New Roman" w:hAnsi="Times New Roman" w:cs="Times New Roman"/>
      <w:sz w:val="24"/>
      <w:lang w:eastAsia="en-US"/>
    </w:rPr>
  </w:style>
  <w:style w:type="paragraph" w:styleId="List">
    <w:name w:val="List"/>
    <w:basedOn w:val="BodyText"/>
    <w:next w:val="BodyText"/>
    <w:rsid w:val="00AE62BE"/>
    <w:pPr>
      <w:tabs>
        <w:tab w:val="left" w:pos="340"/>
      </w:tabs>
      <w:spacing w:before="60" w:after="60"/>
      <w:ind w:left="340" w:hanging="340"/>
    </w:pPr>
  </w:style>
  <w:style w:type="paragraph" w:styleId="ListBullet">
    <w:name w:val="List Bullet"/>
    <w:basedOn w:val="List"/>
    <w:rsid w:val="00AE62BE"/>
    <w:pPr>
      <w:numPr>
        <w:numId w:val="13"/>
      </w:numPr>
      <w:tabs>
        <w:tab w:val="clear" w:pos="340"/>
      </w:tabs>
      <w:spacing w:before="40" w:after="40"/>
    </w:pPr>
  </w:style>
  <w:style w:type="character" w:customStyle="1" w:styleId="SpecialBold">
    <w:name w:val="Special Bold"/>
    <w:basedOn w:val="DefaultParagraphFont"/>
    <w:rsid w:val="00AE62BE"/>
    <w:rPr>
      <w:b/>
      <w:spacing w:val="0"/>
    </w:rPr>
  </w:style>
  <w:style w:type="paragraph" w:styleId="ListBullet2">
    <w:name w:val="List Bullet 2"/>
    <w:basedOn w:val="List2"/>
    <w:rsid w:val="00AE62BE"/>
    <w:pPr>
      <w:numPr>
        <w:numId w:val="14"/>
      </w:numPr>
      <w:tabs>
        <w:tab w:val="clear" w:pos="680"/>
      </w:tabs>
    </w:pPr>
  </w:style>
  <w:style w:type="character" w:styleId="Emphasis">
    <w:name w:val="Emphasis"/>
    <w:basedOn w:val="DefaultParagraphFont"/>
    <w:qFormat/>
    <w:rsid w:val="00AE62BE"/>
    <w:rPr>
      <w:i/>
    </w:rPr>
  </w:style>
  <w:style w:type="paragraph" w:customStyle="1" w:styleId="SuperHeading">
    <w:name w:val="SuperHeading"/>
    <w:basedOn w:val="Normal"/>
    <w:rsid w:val="00AE62BE"/>
    <w:pPr>
      <w:spacing w:before="240" w:after="120"/>
      <w:outlineLvl w:val="0"/>
    </w:pPr>
    <w:rPr>
      <w:rFonts w:ascii="Times New Roman" w:hAnsi="Times New Roman"/>
      <w:b/>
      <w:sz w:val="32"/>
    </w:rPr>
  </w:style>
  <w:style w:type="paragraph" w:customStyle="1" w:styleId="AllowPageBreak">
    <w:name w:val="AllowPageBreak"/>
    <w:rsid w:val="00AE62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62BE"/>
    <w:pPr>
      <w:tabs>
        <w:tab w:val="left" w:pos="680"/>
      </w:tabs>
      <w:spacing w:before="60" w:after="60"/>
      <w:ind w:left="680" w:hanging="340"/>
    </w:pPr>
  </w:style>
  <w:style w:type="character" w:customStyle="1" w:styleId="Heading2Char">
    <w:name w:val="Heading 2 Char"/>
    <w:basedOn w:val="DefaultParagraphFont"/>
    <w:link w:val="Heading2"/>
    <w:rsid w:val="00AE6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2BE"/>
    <w:rPr>
      <w:rFonts w:ascii="Courier New" w:eastAsia="Times New Roman" w:hAnsi="Courier New" w:cs="Times New Roman"/>
      <w:i/>
      <w:szCs w:val="20"/>
      <w:lang w:eastAsia="en-US"/>
    </w:rPr>
  </w:style>
  <w:style w:type="paragraph" w:customStyle="1" w:styleId="HeadingBase">
    <w:name w:val="Heading Base"/>
    <w:rsid w:val="00AE6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2BE"/>
    <w:pPr>
      <w:tabs>
        <w:tab w:val="right" w:leader="dot" w:pos="9072"/>
      </w:tabs>
      <w:ind w:left="567"/>
    </w:pPr>
    <w:rPr>
      <w:szCs w:val="22"/>
    </w:rPr>
  </w:style>
  <w:style w:type="paragraph" w:customStyle="1" w:styleId="TOCBase">
    <w:name w:val="TOC Base"/>
    <w:rsid w:val="00AE6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2BE"/>
    <w:pPr>
      <w:tabs>
        <w:tab w:val="right" w:leader="dot" w:pos="9072"/>
      </w:tabs>
      <w:spacing w:before="40" w:after="40"/>
      <w:ind w:left="284"/>
    </w:pPr>
    <w:rPr>
      <w:rFonts w:ascii="Times New Roman" w:hAnsi="Times New Roman"/>
    </w:rPr>
  </w:style>
  <w:style w:type="paragraph" w:styleId="TOC1">
    <w:name w:val="toc 1"/>
    <w:basedOn w:val="TOCBase"/>
    <w:next w:val="Normal"/>
    <w:rsid w:val="00AE6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2BE"/>
    <w:rPr>
      <w:rFonts w:ascii="Times New Roman" w:eastAsia="Times New Roman" w:hAnsi="Times New Roman" w:cs="Times New Roman"/>
      <w:sz w:val="16"/>
      <w:lang w:eastAsia="en-US"/>
    </w:rPr>
  </w:style>
  <w:style w:type="paragraph" w:styleId="Title">
    <w:name w:val="Title"/>
    <w:basedOn w:val="HeadingBase"/>
    <w:link w:val="TitleChar"/>
    <w:qFormat/>
    <w:rsid w:val="00AE62BE"/>
    <w:pPr>
      <w:spacing w:before="5040"/>
      <w:jc w:val="center"/>
    </w:pPr>
    <w:rPr>
      <w:sz w:val="48"/>
      <w:szCs w:val="72"/>
      <w:lang w:val="en-US"/>
    </w:rPr>
  </w:style>
  <w:style w:type="character" w:customStyle="1" w:styleId="TitleChar">
    <w:name w:val="Title Char"/>
    <w:basedOn w:val="DefaultParagraphFont"/>
    <w:link w:val="Title"/>
    <w:rsid w:val="00AE6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2BE"/>
    <w:pPr>
      <w:tabs>
        <w:tab w:val="left" w:pos="3600"/>
        <w:tab w:val="left" w:pos="3958"/>
      </w:tabs>
    </w:pPr>
  </w:style>
  <w:style w:type="paragraph" w:customStyle="1" w:styleId="Note">
    <w:name w:val="Note"/>
    <w:basedOn w:val="BodyText"/>
    <w:rsid w:val="00AE6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2BE"/>
    <w:pPr>
      <w:framePr w:wrap="auto" w:hAnchor="text" w:y="6049"/>
    </w:pPr>
    <w:rPr>
      <w:color w:val="000000"/>
      <w:sz w:val="40"/>
    </w:rPr>
  </w:style>
  <w:style w:type="paragraph" w:customStyle="1" w:styleId="TOCTitle">
    <w:name w:val="TOCTitle"/>
    <w:basedOn w:val="Heading1"/>
    <w:rsid w:val="00AE62BE"/>
    <w:pPr>
      <w:spacing w:after="240"/>
      <w:jc w:val="center"/>
      <w:outlineLvl w:val="9"/>
    </w:pPr>
    <w:rPr>
      <w:caps/>
    </w:rPr>
  </w:style>
  <w:style w:type="paragraph" w:customStyle="1" w:styleId="Version">
    <w:name w:val="Version"/>
    <w:rsid w:val="00AE6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2BE"/>
    <w:pPr>
      <w:keepNext w:val="0"/>
      <w:tabs>
        <w:tab w:val="right" w:pos="4176"/>
      </w:tabs>
      <w:ind w:left="198" w:hanging="198"/>
    </w:pPr>
    <w:rPr>
      <w:rFonts w:ascii="Garamond" w:hAnsi="Garamond"/>
    </w:rPr>
  </w:style>
  <w:style w:type="paragraph" w:styleId="IndexHeading">
    <w:name w:val="index heading"/>
    <w:basedOn w:val="Normal"/>
    <w:next w:val="Index1"/>
    <w:semiHidden/>
    <w:rsid w:val="00AE62BE"/>
    <w:pPr>
      <w:spacing w:before="120" w:after="120"/>
    </w:pPr>
    <w:rPr>
      <w:rFonts w:ascii="Arial" w:hAnsi="Arial"/>
      <w:b/>
      <w:color w:val="918585"/>
      <w:sz w:val="24"/>
    </w:rPr>
  </w:style>
  <w:style w:type="paragraph" w:styleId="Header">
    <w:name w:val="header"/>
    <w:basedOn w:val="Normal"/>
    <w:link w:val="HeaderChar"/>
    <w:rsid w:val="00AE6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2BE"/>
    <w:rPr>
      <w:rFonts w:ascii="Times New Roman" w:eastAsia="Times New Roman" w:hAnsi="Times New Roman" w:cs="Times New Roman"/>
      <w:sz w:val="16"/>
      <w:szCs w:val="20"/>
      <w:lang w:val="en-GB" w:eastAsia="en-US"/>
    </w:rPr>
  </w:style>
  <w:style w:type="paragraph" w:customStyle="1" w:styleId="Chapter">
    <w:name w:val="Chapter"/>
    <w:basedOn w:val="Normal"/>
    <w:rsid w:val="00AE62BE"/>
    <w:pPr>
      <w:spacing w:before="240"/>
    </w:pPr>
    <w:rPr>
      <w:rFonts w:ascii="Times New Roman" w:hAnsi="Times New Roman"/>
      <w:smallCaps/>
      <w:spacing w:val="80"/>
      <w:sz w:val="28"/>
    </w:rPr>
  </w:style>
  <w:style w:type="paragraph" w:customStyle="1" w:styleId="InChapter">
    <w:name w:val="InChapter"/>
    <w:basedOn w:val="Heading3"/>
    <w:rsid w:val="00AE62BE"/>
    <w:pPr>
      <w:spacing w:after="240"/>
      <w:outlineLvl w:val="9"/>
    </w:pPr>
    <w:rPr>
      <w:noProof/>
    </w:rPr>
  </w:style>
  <w:style w:type="paragraph" w:styleId="Index2">
    <w:name w:val="index 2"/>
    <w:basedOn w:val="Normal"/>
    <w:next w:val="Normal"/>
    <w:semiHidden/>
    <w:rsid w:val="00AE62BE"/>
    <w:pPr>
      <w:tabs>
        <w:tab w:val="right" w:pos="4176"/>
      </w:tabs>
      <w:ind w:left="568" w:hanging="284"/>
    </w:pPr>
    <w:rPr>
      <w:rFonts w:ascii="Garamond" w:hAnsi="Garamond"/>
    </w:rPr>
  </w:style>
  <w:style w:type="paragraph" w:customStyle="1" w:styleId="Byline">
    <w:name w:val="Byline"/>
    <w:rsid w:val="00AE6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2BE"/>
    <w:pPr>
      <w:tabs>
        <w:tab w:val="clear" w:pos="3600"/>
        <w:tab w:val="clear" w:pos="3958"/>
      </w:tabs>
      <w:jc w:val="right"/>
    </w:pPr>
  </w:style>
  <w:style w:type="paragraph" w:styleId="Caption">
    <w:name w:val="caption"/>
    <w:basedOn w:val="BodyText"/>
    <w:next w:val="Normal"/>
    <w:qFormat/>
    <w:rsid w:val="00AE62BE"/>
    <w:pPr>
      <w:framePr w:w="2268" w:hSpace="181" w:vSpace="181" w:wrap="around" w:vAnchor="text" w:hAnchor="page" w:x="1135" w:y="285" w:anchorLock="1"/>
    </w:pPr>
    <w:rPr>
      <w:i/>
    </w:rPr>
  </w:style>
  <w:style w:type="paragraph" w:customStyle="1" w:styleId="MiniTOCTitle">
    <w:name w:val="MiniTOCTitle"/>
    <w:basedOn w:val="Heading4"/>
    <w:rsid w:val="00AE62BE"/>
    <w:pPr>
      <w:spacing w:before="240"/>
      <w:outlineLvl w:val="9"/>
    </w:pPr>
    <w:rPr>
      <w:noProof/>
      <w:sz w:val="24"/>
    </w:rPr>
  </w:style>
  <w:style w:type="paragraph" w:customStyle="1" w:styleId="MiniTOCItem">
    <w:name w:val="MiniTOCItem"/>
    <w:basedOn w:val="ListBullet"/>
    <w:rsid w:val="00AE62BE"/>
    <w:pPr>
      <w:numPr>
        <w:numId w:val="0"/>
      </w:numPr>
      <w:tabs>
        <w:tab w:val="right" w:leader="dot" w:pos="6521"/>
      </w:tabs>
      <w:spacing w:before="0" w:after="0"/>
    </w:pPr>
  </w:style>
  <w:style w:type="paragraph" w:customStyle="1" w:styleId="TOFTitle">
    <w:name w:val="TOFTitle"/>
    <w:basedOn w:val="TOCTitle"/>
    <w:rsid w:val="00AE62BE"/>
  </w:style>
  <w:style w:type="paragraph" w:styleId="TableofFigures">
    <w:name w:val="table of figures"/>
    <w:basedOn w:val="Normal"/>
    <w:next w:val="Normal"/>
    <w:semiHidden/>
    <w:rsid w:val="00AE62BE"/>
    <w:pPr>
      <w:tabs>
        <w:tab w:val="right" w:leader="dot" w:pos="9072"/>
      </w:tabs>
      <w:ind w:left="970" w:hanging="403"/>
    </w:pPr>
    <w:rPr>
      <w:rFonts w:ascii="Times New Roman" w:hAnsi="Times New Roman"/>
      <w:b/>
    </w:rPr>
  </w:style>
  <w:style w:type="paragraph" w:styleId="ListNumber">
    <w:name w:val="List Number"/>
    <w:basedOn w:val="List"/>
    <w:rsid w:val="00AE62BE"/>
    <w:pPr>
      <w:numPr>
        <w:numId w:val="11"/>
      </w:numPr>
    </w:pPr>
  </w:style>
  <w:style w:type="character" w:customStyle="1" w:styleId="WingdingSymbols">
    <w:name w:val="Wingding Symbols"/>
    <w:rsid w:val="00AE62BE"/>
    <w:rPr>
      <w:rFonts w:ascii="Wingdings" w:hAnsi="Wingdings"/>
    </w:rPr>
  </w:style>
  <w:style w:type="paragraph" w:customStyle="1" w:styleId="TableHeading">
    <w:name w:val="Table Heading"/>
    <w:basedOn w:val="HeadingBase"/>
    <w:rsid w:val="00AE62BE"/>
    <w:pPr>
      <w:keepLines/>
      <w:pBdr>
        <w:bottom w:val="single" w:sz="6" w:space="1" w:color="918585"/>
      </w:pBdr>
      <w:spacing w:before="240"/>
    </w:pPr>
  </w:style>
  <w:style w:type="character" w:customStyle="1" w:styleId="HotSpot">
    <w:name w:val="HotSpot"/>
    <w:rsid w:val="00AE62BE"/>
    <w:rPr>
      <w:color w:val="0033CC"/>
      <w:u w:val="none"/>
    </w:rPr>
  </w:style>
  <w:style w:type="paragraph" w:customStyle="1" w:styleId="BodyTextRight">
    <w:name w:val="Body Text Right"/>
    <w:basedOn w:val="BodyText"/>
    <w:rsid w:val="00AE62BE"/>
    <w:pPr>
      <w:spacing w:before="0" w:after="0"/>
      <w:jc w:val="right"/>
    </w:pPr>
  </w:style>
  <w:style w:type="paragraph" w:styleId="Index3">
    <w:name w:val="index 3"/>
    <w:basedOn w:val="ListNumber2"/>
    <w:next w:val="Normal"/>
    <w:semiHidden/>
    <w:rsid w:val="00AE62BE"/>
    <w:pPr>
      <w:numPr>
        <w:numId w:val="0"/>
      </w:numPr>
      <w:tabs>
        <w:tab w:val="right" w:leader="dot" w:pos="4176"/>
      </w:tabs>
    </w:pPr>
  </w:style>
  <w:style w:type="paragraph" w:styleId="ListNumber2">
    <w:name w:val="List Number 2"/>
    <w:basedOn w:val="List2"/>
    <w:rsid w:val="00AE62BE"/>
    <w:pPr>
      <w:numPr>
        <w:numId w:val="10"/>
      </w:numPr>
      <w:tabs>
        <w:tab w:val="clear" w:pos="1060"/>
      </w:tabs>
    </w:pPr>
  </w:style>
  <w:style w:type="paragraph" w:customStyle="1" w:styleId="MarginNote">
    <w:name w:val="Margin Note"/>
    <w:basedOn w:val="BodyText"/>
    <w:rsid w:val="00AE6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2BE"/>
    <w:rPr>
      <w:sz w:val="32"/>
    </w:rPr>
  </w:style>
  <w:style w:type="paragraph" w:customStyle="1" w:styleId="HeadingProcedure">
    <w:name w:val="Heading Procedure"/>
    <w:basedOn w:val="HeadingBase"/>
    <w:next w:val="Normal"/>
    <w:rsid w:val="00AE62BE"/>
    <w:pPr>
      <w:tabs>
        <w:tab w:val="left" w:pos="0"/>
      </w:tabs>
      <w:spacing w:before="120" w:after="60"/>
    </w:pPr>
    <w:rPr>
      <w:i/>
      <w:color w:val="918585"/>
      <w:sz w:val="22"/>
    </w:rPr>
  </w:style>
  <w:style w:type="paragraph" w:customStyle="1" w:styleId="TableBodyText">
    <w:name w:val="Table Body Text"/>
    <w:basedOn w:val="BodyText"/>
    <w:rsid w:val="00AE62BE"/>
    <w:pPr>
      <w:spacing w:before="60" w:after="60"/>
    </w:pPr>
  </w:style>
  <w:style w:type="paragraph" w:styleId="ListContinue">
    <w:name w:val="List Continue"/>
    <w:basedOn w:val="List"/>
    <w:rsid w:val="00AE62BE"/>
    <w:pPr>
      <w:ind w:firstLine="0"/>
    </w:pPr>
  </w:style>
  <w:style w:type="paragraph" w:customStyle="1" w:styleId="ListNote">
    <w:name w:val="List Note"/>
    <w:basedOn w:val="List"/>
    <w:rsid w:val="00AE62BE"/>
    <w:pPr>
      <w:pBdr>
        <w:top w:val="single" w:sz="6" w:space="2" w:color="918585"/>
        <w:bottom w:val="single" w:sz="6" w:space="2" w:color="918585"/>
      </w:pBdr>
      <w:tabs>
        <w:tab w:val="left" w:pos="1021"/>
      </w:tabs>
      <w:ind w:firstLine="0"/>
    </w:pPr>
  </w:style>
  <w:style w:type="paragraph" w:customStyle="1" w:styleId="Warning">
    <w:name w:val="Warning"/>
    <w:basedOn w:val="BodyText"/>
    <w:rsid w:val="00AE62BE"/>
    <w:pPr>
      <w:shd w:val="clear" w:color="auto" w:fill="D9D9D9"/>
      <w:tabs>
        <w:tab w:val="left" w:pos="992"/>
      </w:tabs>
      <w:ind w:left="119" w:right="119"/>
    </w:pPr>
    <w:rPr>
      <w:sz w:val="20"/>
    </w:rPr>
  </w:style>
  <w:style w:type="paragraph" w:customStyle="1" w:styleId="MarginIcons">
    <w:name w:val="Margin Icons"/>
    <w:basedOn w:val="BodyText"/>
    <w:rsid w:val="00AE6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2BE"/>
    <w:rPr>
      <w:rFonts w:ascii="Courier New" w:hAnsi="Courier New"/>
    </w:rPr>
  </w:style>
  <w:style w:type="paragraph" w:customStyle="1" w:styleId="NoteBullet">
    <w:name w:val="Note Bullet"/>
    <w:basedOn w:val="Note"/>
    <w:rsid w:val="00AE62BE"/>
    <w:pPr>
      <w:tabs>
        <w:tab w:val="clear" w:pos="680"/>
      </w:tabs>
      <w:spacing w:before="60" w:after="60"/>
    </w:pPr>
  </w:style>
  <w:style w:type="paragraph" w:customStyle="1" w:styleId="SubHeading2">
    <w:name w:val="SubHeading2"/>
    <w:basedOn w:val="HeadingBase"/>
    <w:rsid w:val="00AE62BE"/>
    <w:pPr>
      <w:spacing w:before="240" w:after="60"/>
    </w:pPr>
    <w:rPr>
      <w:sz w:val="20"/>
    </w:rPr>
  </w:style>
  <w:style w:type="paragraph" w:customStyle="1" w:styleId="SubHeading1">
    <w:name w:val="SubHeading1"/>
    <w:basedOn w:val="HeadingBase"/>
    <w:rsid w:val="00AE62BE"/>
    <w:pPr>
      <w:spacing w:before="240" w:after="60"/>
    </w:pPr>
    <w:rPr>
      <w:color w:val="918585"/>
      <w:sz w:val="22"/>
    </w:rPr>
  </w:style>
  <w:style w:type="paragraph" w:customStyle="1" w:styleId="SideHeading">
    <w:name w:val="Side Heading"/>
    <w:basedOn w:val="HeadingBase"/>
    <w:rsid w:val="00AE6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2BE"/>
    <w:pPr>
      <w:numPr>
        <w:numId w:val="12"/>
      </w:numPr>
    </w:pPr>
  </w:style>
  <w:style w:type="paragraph" w:styleId="PlainText">
    <w:name w:val="Plain Text"/>
    <w:basedOn w:val="Normal"/>
    <w:link w:val="PlainTextChar"/>
    <w:rsid w:val="00AE62BE"/>
    <w:rPr>
      <w:sz w:val="20"/>
    </w:rPr>
  </w:style>
  <w:style w:type="character" w:customStyle="1" w:styleId="PlainTextChar">
    <w:name w:val="Plain Text Char"/>
    <w:basedOn w:val="DefaultParagraphFont"/>
    <w:link w:val="PlainText"/>
    <w:rsid w:val="00AE62BE"/>
    <w:rPr>
      <w:rFonts w:ascii="Courier New" w:eastAsia="Times New Roman" w:hAnsi="Courier New" w:cs="Times New Roman"/>
      <w:sz w:val="20"/>
      <w:szCs w:val="20"/>
      <w:lang w:eastAsia="en-US"/>
    </w:rPr>
  </w:style>
  <w:style w:type="character" w:customStyle="1" w:styleId="MenuOption">
    <w:name w:val="Menu Option"/>
    <w:basedOn w:val="DefaultParagraphFont"/>
    <w:rsid w:val="00AE62BE"/>
    <w:rPr>
      <w:b/>
      <w:smallCaps/>
    </w:rPr>
  </w:style>
  <w:style w:type="paragraph" w:customStyle="1" w:styleId="TableListNumber">
    <w:name w:val="Table List Number"/>
    <w:basedOn w:val="ListNumber"/>
    <w:rsid w:val="00AE62BE"/>
    <w:pPr>
      <w:numPr>
        <w:numId w:val="0"/>
      </w:numPr>
    </w:pPr>
  </w:style>
  <w:style w:type="paragraph" w:styleId="TOC4">
    <w:name w:val="toc 4"/>
    <w:basedOn w:val="TOCBase"/>
    <w:next w:val="Normal"/>
    <w:semiHidden/>
    <w:rsid w:val="00AE62BE"/>
    <w:pPr>
      <w:tabs>
        <w:tab w:val="right" w:leader="dot" w:pos="9071"/>
      </w:tabs>
      <w:ind w:left="1701"/>
    </w:pPr>
  </w:style>
  <w:style w:type="paragraph" w:customStyle="1" w:styleId="ListAlpha">
    <w:name w:val="List Alpha"/>
    <w:basedOn w:val="List"/>
    <w:rsid w:val="00AE62BE"/>
    <w:pPr>
      <w:numPr>
        <w:numId w:val="9"/>
      </w:numPr>
    </w:pPr>
  </w:style>
  <w:style w:type="paragraph" w:customStyle="1" w:styleId="ListAlpha2">
    <w:name w:val="List Alpha 2"/>
    <w:basedOn w:val="List2"/>
    <w:rsid w:val="00AE62BE"/>
    <w:pPr>
      <w:numPr>
        <w:numId w:val="8"/>
      </w:numPr>
    </w:pPr>
  </w:style>
  <w:style w:type="paragraph" w:styleId="List3">
    <w:name w:val="List 3"/>
    <w:basedOn w:val="BodyText"/>
    <w:rsid w:val="00AE62BE"/>
    <w:pPr>
      <w:tabs>
        <w:tab w:val="left" w:pos="1021"/>
      </w:tabs>
      <w:spacing w:before="60" w:after="60"/>
      <w:ind w:left="1020" w:hanging="340"/>
    </w:pPr>
  </w:style>
  <w:style w:type="paragraph" w:styleId="List4">
    <w:name w:val="List 4"/>
    <w:basedOn w:val="BodyText"/>
    <w:rsid w:val="00AE62BE"/>
    <w:pPr>
      <w:tabs>
        <w:tab w:val="left" w:pos="1361"/>
      </w:tabs>
      <w:spacing w:before="60" w:after="60"/>
      <w:ind w:left="1361" w:hanging="340"/>
    </w:pPr>
  </w:style>
  <w:style w:type="paragraph" w:styleId="List5">
    <w:name w:val="List 5"/>
    <w:basedOn w:val="BodyText"/>
    <w:rsid w:val="00AE62BE"/>
    <w:pPr>
      <w:tabs>
        <w:tab w:val="left" w:pos="1701"/>
      </w:tabs>
      <w:spacing w:before="60" w:after="60"/>
      <w:ind w:left="1701" w:hanging="340"/>
    </w:pPr>
  </w:style>
  <w:style w:type="paragraph" w:styleId="ListBullet3">
    <w:name w:val="List Bullet 3"/>
    <w:basedOn w:val="List3"/>
    <w:rsid w:val="00AE62BE"/>
    <w:pPr>
      <w:numPr>
        <w:numId w:val="15"/>
      </w:numPr>
      <w:tabs>
        <w:tab w:val="clear" w:pos="1021"/>
      </w:tabs>
      <w:ind w:left="1037" w:hanging="357"/>
    </w:pPr>
  </w:style>
  <w:style w:type="paragraph" w:styleId="ListBullet4">
    <w:name w:val="List Bullet 4"/>
    <w:basedOn w:val="List4"/>
    <w:rsid w:val="00AE62BE"/>
    <w:pPr>
      <w:numPr>
        <w:numId w:val="3"/>
      </w:numPr>
    </w:pPr>
  </w:style>
  <w:style w:type="paragraph" w:styleId="ListBullet5">
    <w:name w:val="List Bullet 5"/>
    <w:basedOn w:val="List5"/>
    <w:rsid w:val="00AE62BE"/>
    <w:pPr>
      <w:numPr>
        <w:numId w:val="4"/>
      </w:numPr>
    </w:pPr>
  </w:style>
  <w:style w:type="paragraph" w:styleId="ListContinue2">
    <w:name w:val="List Continue 2"/>
    <w:basedOn w:val="List2"/>
    <w:rsid w:val="00AE62BE"/>
    <w:pPr>
      <w:ind w:firstLine="0"/>
    </w:pPr>
  </w:style>
  <w:style w:type="paragraph" w:styleId="ListContinue3">
    <w:name w:val="List Continue 3"/>
    <w:basedOn w:val="List3"/>
    <w:rsid w:val="00AE62BE"/>
    <w:pPr>
      <w:ind w:left="1021" w:firstLine="0"/>
    </w:pPr>
  </w:style>
  <w:style w:type="paragraph" w:styleId="ListContinue4">
    <w:name w:val="List Continue 4"/>
    <w:basedOn w:val="List4"/>
    <w:rsid w:val="00AE62BE"/>
    <w:pPr>
      <w:ind w:firstLine="0"/>
    </w:pPr>
  </w:style>
  <w:style w:type="paragraph" w:styleId="ListContinue5">
    <w:name w:val="List Continue 5"/>
    <w:basedOn w:val="List5"/>
    <w:rsid w:val="00AE62BE"/>
    <w:pPr>
      <w:ind w:firstLine="0"/>
    </w:pPr>
  </w:style>
  <w:style w:type="paragraph" w:styleId="ListNumber3">
    <w:name w:val="List Number 3"/>
    <w:basedOn w:val="List3"/>
    <w:rsid w:val="00AE62BE"/>
    <w:pPr>
      <w:numPr>
        <w:numId w:val="5"/>
      </w:numPr>
    </w:pPr>
  </w:style>
  <w:style w:type="paragraph" w:styleId="ListNumber4">
    <w:name w:val="List Number 4"/>
    <w:basedOn w:val="List4"/>
    <w:rsid w:val="00AE62BE"/>
    <w:pPr>
      <w:numPr>
        <w:numId w:val="6"/>
      </w:numPr>
    </w:pPr>
  </w:style>
  <w:style w:type="paragraph" w:styleId="ListNumber5">
    <w:name w:val="List Number 5"/>
    <w:basedOn w:val="List5"/>
    <w:rsid w:val="00AE62BE"/>
    <w:pPr>
      <w:numPr>
        <w:numId w:val="7"/>
      </w:numPr>
    </w:pPr>
  </w:style>
  <w:style w:type="paragraph" w:styleId="BlockText">
    <w:name w:val="Block Text"/>
    <w:basedOn w:val="Normal"/>
    <w:rsid w:val="00AE62BE"/>
    <w:pPr>
      <w:spacing w:after="120"/>
      <w:ind w:left="1440" w:right="1440"/>
    </w:pPr>
  </w:style>
  <w:style w:type="character" w:customStyle="1" w:styleId="Subscript">
    <w:name w:val="Subscript"/>
    <w:basedOn w:val="DefaultParagraphFont"/>
    <w:rsid w:val="00AE62BE"/>
    <w:rPr>
      <w:sz w:val="16"/>
      <w:vertAlign w:val="subscript"/>
    </w:rPr>
  </w:style>
  <w:style w:type="character" w:customStyle="1" w:styleId="Superscript">
    <w:name w:val="Superscript"/>
    <w:basedOn w:val="DefaultParagraphFont"/>
    <w:rsid w:val="00AE62BE"/>
    <w:rPr>
      <w:sz w:val="16"/>
      <w:vertAlign w:val="superscript"/>
    </w:rPr>
  </w:style>
  <w:style w:type="character" w:customStyle="1" w:styleId="Symbols">
    <w:name w:val="Symbols"/>
    <w:basedOn w:val="DefaultParagraphFont"/>
    <w:rsid w:val="00AE62BE"/>
    <w:rPr>
      <w:rFonts w:ascii="Symbol" w:hAnsi="Symbol"/>
    </w:rPr>
  </w:style>
  <w:style w:type="character" w:customStyle="1" w:styleId="MenuOptions">
    <w:name w:val="Menu Options"/>
    <w:basedOn w:val="DefaultParagraphFont"/>
    <w:rsid w:val="00AE62BE"/>
    <w:rPr>
      <w:rFonts w:ascii="Arial Narrow" w:hAnsi="Arial Narrow"/>
      <w:smallCaps/>
    </w:rPr>
  </w:style>
  <w:style w:type="character" w:customStyle="1" w:styleId="Buttons">
    <w:name w:val="Buttons"/>
    <w:basedOn w:val="DefaultParagraphFont"/>
    <w:rsid w:val="00AE62BE"/>
    <w:rPr>
      <w:b/>
    </w:rPr>
  </w:style>
  <w:style w:type="character" w:customStyle="1" w:styleId="Underlined">
    <w:name w:val="Underlined"/>
    <w:basedOn w:val="DefaultParagraphFont"/>
    <w:rsid w:val="00AE62BE"/>
    <w:rPr>
      <w:u w:val="single"/>
    </w:rPr>
  </w:style>
  <w:style w:type="paragraph" w:customStyle="1" w:styleId="TableBodyTextRight">
    <w:name w:val="Table Body Text Right"/>
    <w:basedOn w:val="TableBodyText"/>
    <w:rsid w:val="00AE62BE"/>
    <w:pPr>
      <w:widowControl w:val="0"/>
      <w:autoSpaceDE w:val="0"/>
      <w:autoSpaceDN w:val="0"/>
      <w:adjustRightInd w:val="0"/>
      <w:jc w:val="right"/>
    </w:pPr>
    <w:rPr>
      <w:rFonts w:cs="Arial"/>
      <w:szCs w:val="18"/>
    </w:rPr>
  </w:style>
  <w:style w:type="paragraph" w:customStyle="1" w:styleId="CopyrightText">
    <w:name w:val="Copyright Text"/>
    <w:basedOn w:val="BodyText"/>
    <w:rsid w:val="00AE62BE"/>
    <w:rPr>
      <w:sz w:val="18"/>
    </w:rPr>
  </w:style>
  <w:style w:type="paragraph" w:customStyle="1" w:styleId="BodySmallRight">
    <w:name w:val="Body Small Right"/>
    <w:basedOn w:val="BodyTextRight"/>
    <w:rsid w:val="00AE62BE"/>
    <w:rPr>
      <w:sz w:val="18"/>
      <w:szCs w:val="18"/>
    </w:rPr>
  </w:style>
  <w:style w:type="paragraph" w:customStyle="1" w:styleId="MarginEdition">
    <w:name w:val="Margin Edition"/>
    <w:basedOn w:val="MarginNote"/>
    <w:rsid w:val="00AE62BE"/>
    <w:pPr>
      <w:spacing w:before="0" w:after="0"/>
    </w:pPr>
    <w:rPr>
      <w:rFonts w:ascii="Times New Roman" w:hAnsi="Times New Roman"/>
      <w:color w:val="999999"/>
    </w:rPr>
  </w:style>
  <w:style w:type="paragraph" w:customStyle="1" w:styleId="Spacer">
    <w:name w:val="Spacer"/>
    <w:basedOn w:val="Normal"/>
    <w:rsid w:val="00AE62BE"/>
    <w:rPr>
      <w:sz w:val="2"/>
      <w:szCs w:val="2"/>
    </w:rPr>
  </w:style>
  <w:style w:type="character" w:customStyle="1" w:styleId="Small">
    <w:name w:val="Small"/>
    <w:basedOn w:val="DefaultParagraphFont"/>
    <w:rsid w:val="00AE62BE"/>
    <w:rPr>
      <w:sz w:val="16"/>
    </w:rPr>
  </w:style>
  <w:style w:type="paragraph" w:customStyle="1" w:styleId="WideTable">
    <w:name w:val="Wide Table"/>
    <w:basedOn w:val="Normal"/>
    <w:rsid w:val="00AE62BE"/>
    <w:pPr>
      <w:ind w:left="-1418"/>
    </w:pPr>
    <w:rPr>
      <w:sz w:val="2"/>
      <w:szCs w:val="2"/>
    </w:rPr>
  </w:style>
  <w:style w:type="character" w:styleId="PageNumber">
    <w:name w:val="page number"/>
    <w:basedOn w:val="DefaultParagraphFont"/>
    <w:rsid w:val="00AE62BE"/>
  </w:style>
  <w:style w:type="paragraph" w:styleId="Quote">
    <w:name w:val="Quote"/>
    <w:basedOn w:val="Heading1"/>
    <w:link w:val="QuoteChar"/>
    <w:qFormat/>
    <w:rsid w:val="00AE62BE"/>
    <w:rPr>
      <w:b w:val="0"/>
      <w:sz w:val="72"/>
      <w:szCs w:val="72"/>
      <w:lang w:val="en-NZ"/>
    </w:rPr>
  </w:style>
  <w:style w:type="character" w:customStyle="1" w:styleId="QuoteChar">
    <w:name w:val="Quote Char"/>
    <w:basedOn w:val="DefaultParagraphFont"/>
    <w:link w:val="Quote"/>
    <w:rsid w:val="00AE6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2BE"/>
    <w:pPr>
      <w:pageBreakBefore/>
    </w:pPr>
  </w:style>
  <w:style w:type="paragraph" w:customStyle="1" w:styleId="Border">
    <w:name w:val="Border"/>
    <w:basedOn w:val="Normal"/>
    <w:qFormat/>
    <w:rsid w:val="00AE6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2BE"/>
    <w:rPr>
      <w:b/>
      <w:bCs/>
      <w:i/>
      <w:iCs/>
      <w:color w:val="auto"/>
    </w:rPr>
  </w:style>
  <w:style w:type="paragraph" w:styleId="IntenseQuote">
    <w:name w:val="Intense Quote"/>
    <w:basedOn w:val="Normal"/>
    <w:next w:val="Normal"/>
    <w:link w:val="IntenseQuoteChar"/>
    <w:uiPriority w:val="30"/>
    <w:qFormat/>
    <w:rsid w:val="00AE6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2BE"/>
    <w:rPr>
      <w:smallCaps/>
      <w:color w:val="auto"/>
      <w:u w:val="single"/>
    </w:rPr>
  </w:style>
  <w:style w:type="character" w:styleId="IntenseReference">
    <w:name w:val="Intense Reference"/>
    <w:basedOn w:val="DefaultParagraphFont"/>
    <w:uiPriority w:val="32"/>
    <w:qFormat/>
    <w:rsid w:val="00AE62BE"/>
    <w:rPr>
      <w:b/>
      <w:bCs/>
      <w:smallCaps/>
      <w:color w:val="auto"/>
      <w:spacing w:val="5"/>
      <w:u w:val="single"/>
    </w:rPr>
  </w:style>
  <w:style w:type="paragraph" w:customStyle="1" w:styleId="2ColumnHeading">
    <w:name w:val="2Column Heading"/>
    <w:basedOn w:val="BodyText"/>
    <w:qFormat/>
    <w:rsid w:val="00AE62BE"/>
    <w:pPr>
      <w:spacing w:after="60"/>
      <w:ind w:left="-2268"/>
    </w:pPr>
    <w:rPr>
      <w:b/>
    </w:rPr>
  </w:style>
  <w:style w:type="paragraph" w:customStyle="1" w:styleId="Heading1TOC">
    <w:name w:val="Heading1 TOC"/>
    <w:basedOn w:val="Normal"/>
    <w:qFormat/>
    <w:rsid w:val="00AE62BE"/>
    <w:pPr>
      <w:spacing w:before="240" w:after="120"/>
    </w:pPr>
    <w:rPr>
      <w:rFonts w:ascii="Times New Roman" w:hAnsi="Times New Roman"/>
      <w:b/>
      <w:sz w:val="32"/>
    </w:rPr>
  </w:style>
  <w:style w:type="paragraph" w:customStyle="1" w:styleId="Heading2TOC">
    <w:name w:val="Heading2 TOC"/>
    <w:basedOn w:val="Normal"/>
    <w:qFormat/>
    <w:rsid w:val="00AE62BE"/>
    <w:pPr>
      <w:spacing w:before="240" w:after="60"/>
    </w:pPr>
    <w:rPr>
      <w:rFonts w:ascii="Times New Roman" w:hAnsi="Times New Roman"/>
      <w:b/>
      <w:sz w:val="28"/>
    </w:rPr>
  </w:style>
  <w:style w:type="character" w:customStyle="1" w:styleId="Underline">
    <w:name w:val="Underline"/>
    <w:basedOn w:val="DefaultParagraphFont"/>
    <w:qFormat/>
    <w:rsid w:val="00AE62BE"/>
    <w:rPr>
      <w:u w:val="single"/>
    </w:rPr>
  </w:style>
  <w:style w:type="character" w:customStyle="1" w:styleId="BoldandItalics">
    <w:name w:val="Bold and Italics"/>
    <w:qFormat/>
    <w:rsid w:val="00AE62BE"/>
    <w:rPr>
      <w:b/>
      <w:i/>
      <w:u w:val="none"/>
    </w:rPr>
  </w:style>
  <w:style w:type="paragraph" w:styleId="BalloonText">
    <w:name w:val="Balloon Text"/>
    <w:basedOn w:val="Normal"/>
    <w:link w:val="BalloonTextChar"/>
    <w:rsid w:val="00AE62BE"/>
    <w:rPr>
      <w:rFonts w:ascii="Tahoma" w:hAnsi="Tahoma" w:cs="Tahoma"/>
      <w:sz w:val="16"/>
      <w:szCs w:val="16"/>
    </w:rPr>
  </w:style>
  <w:style w:type="character" w:customStyle="1" w:styleId="BalloonTextChar">
    <w:name w:val="Balloon Text Char"/>
    <w:basedOn w:val="DefaultParagraphFont"/>
    <w:link w:val="BalloonText"/>
    <w:rsid w:val="00AE6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2BE"/>
    <w:rPr>
      <w:b/>
      <w:color w:val="660033"/>
      <w:spacing w:val="0"/>
    </w:rPr>
  </w:style>
  <w:style w:type="paragraph" w:customStyle="1" w:styleId="Nameditemlist">
    <w:name w:val="Named item list"/>
    <w:basedOn w:val="BodyText"/>
    <w:qFormat/>
    <w:rsid w:val="00AE62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1373</Words>
  <Characters>8853</Characters>
  <Application>Microsoft Office Word</Application>
  <DocSecurity>0</DocSecurity>
  <Lines>355</Lines>
  <Paragraphs>222</Paragraphs>
  <ScaleCrop>false</ScaleCrop>
  <Company>Author-it Software Corporation Ltd.</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PMC557096A Specify and monitor the installation of block/precast refractories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2013-10-25T06:07:00Z</dcterms:created>
  <dcterms:modified xsi:type="dcterms:W3CDTF">2013-10-25T06:07:00Z</dcterms:modified>
</cp:coreProperties>
</file>