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8BE" w:rsidP="006148BE">
      <w:pPr>
        <w:pStyle w:val="Title"/>
      </w:pPr>
      <w:r>
        <w:fldChar w:fldCharType="begin"/>
      </w:r>
      <w:r>
        <w:instrText xml:space="preserve"> TITLE   \* MERGEFORMAT </w:instrText>
      </w:r>
      <w:r>
        <w:fldChar w:fldCharType="separate"/>
      </w:r>
      <w:r>
        <w:t>PMC557091A Design a refractory lining</w:t>
      </w:r>
      <w:r>
        <w:fldChar w:fldCharType="end"/>
      </w:r>
    </w:p>
    <w:p w:rsidR="006148BE" w:rsidP="006148BE">
      <w:pPr>
        <w:pStyle w:val="Version"/>
        <w:sectPr w:rsidSect="001F2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2CC6" w:rsidP="001F2CC6">
      <w:pPr>
        <w:pStyle w:val="SuperHeading"/>
      </w:pPr>
      <w:r w:rsidRPr="001F2CC6">
        <w:t>PMC557091A Design a refractory lining</w:t>
      </w:r>
    </w:p>
    <w:p w:rsidR="00000000" w:rsidRPr="001F2CC6" w:rsidP="001F2CC6">
      <w:pPr>
        <w:pStyle w:val="SuperHeading"/>
      </w:pPr>
    </w:p>
    <w:p w:rsidR="00000000" w:rsidRPr="001F2CC6" w:rsidP="001F2CC6">
      <w:pPr>
        <w:pStyle w:val="Heading1"/>
      </w:pPr>
      <w:bookmarkStart w:id="1" w:name="O_110763"/>
      <w:bookmarkEnd w:id="1"/>
      <w:r w:rsidRPr="001F2CC6">
        <w:t>Modification History</w:t>
      </w:r>
    </w:p>
    <w:p w:rsidR="00000000" w:rsidRPr="001F2CC6" w:rsidP="001F2CC6">
      <w:pPr>
        <w:pStyle w:val="BodyText"/>
      </w:pPr>
      <w:r w:rsidRPr="001F2CC6">
        <w:t>Not applicable.</w:t>
      </w:r>
    </w:p>
    <w:p w:rsidR="00000000" w:rsidRPr="001F2CC6" w:rsidP="001F2CC6">
      <w:pPr>
        <w:pStyle w:val="AllowPageBreak"/>
      </w:pPr>
    </w:p>
    <w:p w:rsidR="00000000" w:rsidRPr="001F2CC6" w:rsidP="001F2CC6">
      <w:pPr>
        <w:pStyle w:val="Heading1"/>
      </w:pPr>
      <w:bookmarkStart w:id="2" w:name="O_110764"/>
      <w:bookmarkEnd w:id="2"/>
      <w:r w:rsidRPr="001F2CC6">
        <w:t>Unit Descriptor</w:t>
      </w:r>
    </w:p>
    <w:tbl>
      <w:tblPr>
        <w:tblW w:w="0" w:type="auto"/>
        <w:tblLayout w:type="fixed"/>
        <w:tblCellMar>
          <w:left w:w="62" w:type="dxa"/>
          <w:right w:w="62" w:type="dxa"/>
        </w:tblCellMar>
        <w:tblLook w:val="0000"/>
      </w:tblPr>
      <w:tblGrid>
        <w:gridCol w:w="2668"/>
        <w:gridCol w:w="5854"/>
      </w:tblGrid>
      <w:tr w:rsidTr="006148B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This unit of competency covers confirming the application and conditions of use of the proposed refractory and t</w:t>
            </w:r>
            <w:r w:rsidRPr="001F2CC6">
              <w:t>hen designing the most appropriate refractory system for that use. It is intended for refractory experts who will most likely also have some management responsibility.</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3" w:name="O_110765"/>
      <w:bookmarkEnd w:id="3"/>
      <w:r w:rsidRPr="001F2CC6">
        <w:t>Application of the Unit</w:t>
      </w:r>
    </w:p>
    <w:tbl>
      <w:tblPr>
        <w:tblW w:w="0" w:type="auto"/>
        <w:tblLayout w:type="fixed"/>
        <w:tblCellMar>
          <w:left w:w="62" w:type="dxa"/>
          <w:right w:w="62" w:type="dxa"/>
        </w:tblCellMar>
        <w:tblLook w:val="0000"/>
      </w:tblPr>
      <w:tblGrid>
        <w:gridCol w:w="2746"/>
        <w:gridCol w:w="5776"/>
      </w:tblGrid>
      <w:tr w:rsidTr="006148BE">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This un</w:t>
            </w:r>
            <w:r w:rsidRPr="001F2CC6">
              <w:t xml:space="preserve">it of competency requires the application of knowledge about types of refractories, refractory properties and uses to the design of an appropriate refractory system for a specified end use. This unit does not cover the selection of the refractory material </w:t>
            </w:r>
            <w:r w:rsidRPr="001F2CC6">
              <w:t xml:space="preserve">which is covered by </w:t>
            </w:r>
            <w:r w:rsidRPr="001F2CC6">
              <w:rPr>
                <w:rStyle w:val="Emphasis"/>
              </w:rPr>
              <w:t>PMC557090A Select refractory materials for an application</w:t>
            </w:r>
            <w:r w:rsidRPr="001F2CC6">
              <w:t>. The units are obviously related and it may be appropriate to consider both concurrently.</w:t>
            </w:r>
          </w:p>
          <w:p w:rsidR="00000000" w:rsidRPr="001F2CC6" w:rsidP="001F2CC6">
            <w:pPr>
              <w:pStyle w:val="BodyText"/>
            </w:pPr>
            <w:r w:rsidRPr="001F2CC6">
              <w:t>This unit applies to individuals who will be designing a refrac</w:t>
            </w:r>
            <w:r w:rsidRPr="001F2CC6">
              <w:t>tory installation and may also be monitoring the installation of the refractory. They may be working in liaison with other refractory specialists or they may be the sole refractory specialist for this job/in their organisation. They will typically be liais</w:t>
            </w:r>
            <w:r w:rsidRPr="001F2CC6">
              <w:t>ing with a range of other technical experts as well as management and maybe accounts.</w:t>
            </w:r>
          </w:p>
          <w:p w:rsidR="00000000" w:rsidRPr="001F2CC6" w:rsidP="001F2CC6">
            <w:pPr>
              <w:pStyle w:val="BodyText"/>
            </w:pPr>
            <w:r w:rsidRPr="001F2CC6">
              <w:t xml:space="preserve">This unit may apply to individuals working for an organisation which supplies and installs refractories, is a refractory consulting organisation or a client organisation </w:t>
            </w:r>
            <w:r w:rsidRPr="001F2CC6">
              <w:t>which buys and uses the refractory.</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4" w:name="O_110766"/>
      <w:bookmarkEnd w:id="4"/>
      <w:r w:rsidRPr="001F2CC6">
        <w:t>Licensing/Regulatory Information</w:t>
      </w:r>
    </w:p>
    <w:p w:rsidR="00000000" w:rsidRPr="001F2CC6" w:rsidP="001F2CC6">
      <w:pPr>
        <w:pStyle w:val="BodyText"/>
      </w:pPr>
      <w:r w:rsidRPr="001F2CC6">
        <w:t>Not applicable.</w:t>
      </w:r>
    </w:p>
    <w:p w:rsidR="00000000" w:rsidRPr="001F2CC6" w:rsidP="001F2CC6">
      <w:pPr>
        <w:pStyle w:val="AllowPageBreak"/>
      </w:pPr>
    </w:p>
    <w:p w:rsidR="00000000" w:rsidRPr="001F2CC6" w:rsidP="001F2CC6">
      <w:pPr>
        <w:pStyle w:val="Heading1"/>
      </w:pPr>
      <w:bookmarkStart w:id="5" w:name="O_110767"/>
      <w:bookmarkEnd w:id="5"/>
      <w:r w:rsidRPr="001F2CC6">
        <w:t>Pre-Requisites</w:t>
      </w:r>
    </w:p>
    <w:tbl>
      <w:tblPr>
        <w:tblW w:w="0" w:type="auto"/>
        <w:tblLayout w:type="fixed"/>
        <w:tblCellMar>
          <w:left w:w="62" w:type="dxa"/>
          <w:right w:w="62" w:type="dxa"/>
        </w:tblCellMar>
        <w:tblLook w:val="0000"/>
      </w:tblPr>
      <w:tblGrid>
        <w:gridCol w:w="2775"/>
        <w:gridCol w:w="1295"/>
        <w:gridCol w:w="4452"/>
      </w:tblGrid>
      <w:tr w:rsidTr="006148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p>
        </w:tc>
      </w:tr>
      <w:tr w:rsidTr="00614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p>
        </w:tc>
      </w:tr>
      <w:tr w:rsidTr="00614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6" w:name="O_110768"/>
      <w:bookmarkEnd w:id="6"/>
      <w:r w:rsidRPr="001F2CC6">
        <w:t>Employability Skills Information</w:t>
      </w:r>
    </w:p>
    <w:tbl>
      <w:tblPr>
        <w:tblW w:w="0" w:type="auto"/>
        <w:tblLayout w:type="fixed"/>
        <w:tblCellMar>
          <w:left w:w="62" w:type="dxa"/>
          <w:right w:w="62" w:type="dxa"/>
        </w:tblCellMar>
        <w:tblLook w:val="0000"/>
      </w:tblPr>
      <w:tblGrid>
        <w:gridCol w:w="2802"/>
        <w:gridCol w:w="5720"/>
      </w:tblGrid>
      <w:tr w:rsidTr="006148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This unit contains employability skills.</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7" w:name="O_110769"/>
      <w:bookmarkEnd w:id="7"/>
      <w:r w:rsidRPr="001F2CC6">
        <w:t>Elements and Performance Criteria Pre-Content</w:t>
      </w:r>
    </w:p>
    <w:tbl>
      <w:tblPr>
        <w:tblW w:w="0" w:type="auto"/>
        <w:tblLayout w:type="fixed"/>
        <w:tblCellMar>
          <w:left w:w="62" w:type="dxa"/>
          <w:right w:w="62" w:type="dxa"/>
        </w:tblCellMar>
        <w:tblLook w:val="0000"/>
      </w:tblPr>
      <w:tblGrid>
        <w:gridCol w:w="2575"/>
        <w:gridCol w:w="5947"/>
      </w:tblGrid>
      <w:tr w:rsidTr="006148B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Performance criteria describe the performance needed to demonstrate achievement of t</w:t>
            </w:r>
            <w:r w:rsidRPr="001F2CC6">
              <w:t>he element. Assessment of performance is to be consistent with the evidence guide.</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8" w:name="O_110770"/>
      <w:bookmarkEnd w:id="8"/>
      <w:r w:rsidRPr="001F2CC6">
        <w:t>Elements and Performance Criteria</w:t>
      </w:r>
    </w:p>
    <w:tbl>
      <w:tblPr>
        <w:tblW w:w="0" w:type="auto"/>
        <w:tblLayout w:type="fixed"/>
        <w:tblCellMar>
          <w:left w:w="62" w:type="dxa"/>
          <w:right w:w="62" w:type="dxa"/>
        </w:tblCellMar>
        <w:tblLook w:val="0000"/>
      </w:tblPr>
      <w:tblGrid>
        <w:gridCol w:w="2575"/>
        <w:gridCol w:w="5947"/>
      </w:tblGrid>
      <w:tr w:rsidTr="006148BE">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PERFORMANCE CRITERIA</w:t>
            </w:r>
          </w:p>
        </w:tc>
      </w:tr>
      <w:tr w:rsidTr="006148B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List"/>
              <w:rPr>
                <w:lang w:val="en-NZ"/>
              </w:rPr>
            </w:pPr>
            <w:r w:rsidRPr="001F2CC6">
              <w:t>1.</w:t>
            </w:r>
            <w:r w:rsidRPr="001F2CC6">
              <w:tab/>
              <w:t>Confirm required end use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List2"/>
            </w:pPr>
            <w:r w:rsidRPr="001F2CC6">
              <w:t>1.1.</w:t>
            </w:r>
            <w:r w:rsidRPr="001F2CC6">
              <w:tab/>
              <w:t>Liaise with relevant stakeholders</w:t>
            </w:r>
          </w:p>
          <w:p w:rsidR="00000000" w:rsidRPr="001F2CC6" w:rsidP="001F2CC6">
            <w:pPr>
              <w:pStyle w:val="List2"/>
            </w:pPr>
            <w:r w:rsidRPr="001F2CC6">
              <w:t>1.2.</w:t>
            </w:r>
            <w:r w:rsidRPr="001F2CC6">
              <w:tab/>
            </w:r>
            <w:r w:rsidRPr="001F2CC6">
              <w:t>Confirm the end use conditions for the refractory</w:t>
            </w:r>
          </w:p>
          <w:p w:rsidR="00000000" w:rsidRPr="001F2CC6" w:rsidP="001F2CC6">
            <w:pPr>
              <w:pStyle w:val="List2"/>
            </w:pPr>
            <w:r w:rsidRPr="001F2CC6">
              <w:t>1.3.</w:t>
            </w:r>
            <w:r w:rsidRPr="001F2CC6">
              <w:tab/>
              <w:t>Identify discrepancies or conflicts in requirements</w:t>
            </w:r>
          </w:p>
          <w:p w:rsidR="00000000" w:rsidP="001F2CC6">
            <w:pPr>
              <w:pStyle w:val="List2"/>
              <w:rPr>
                <w:lang w:val="en-NZ"/>
              </w:rPr>
            </w:pPr>
            <w:r w:rsidRPr="001F2CC6">
              <w:t>1.4.</w:t>
            </w:r>
            <w:r w:rsidRPr="001F2CC6">
              <w:tab/>
              <w:t>Negotiate a consistent set of requirements for the refractory installation</w:t>
            </w:r>
          </w:p>
        </w:tc>
      </w:tr>
      <w:tr w:rsidTr="006148B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List"/>
              <w:rPr>
                <w:lang w:val="en-NZ"/>
              </w:rPr>
            </w:pPr>
            <w:r w:rsidRPr="001F2CC6">
              <w:t>2.</w:t>
            </w:r>
            <w:r w:rsidRPr="001F2CC6">
              <w:tab/>
              <w:t>Undertake preliminary design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List2"/>
            </w:pPr>
            <w:r w:rsidRPr="001F2CC6">
              <w:t>2.1.</w:t>
            </w:r>
            <w:r w:rsidRPr="001F2CC6">
              <w:tab/>
              <w:t>Compare the benefits of differe</w:t>
            </w:r>
            <w:r w:rsidRPr="001F2CC6">
              <w:t>nt types of refractory installations</w:t>
            </w:r>
          </w:p>
          <w:p w:rsidR="00000000" w:rsidRPr="001F2CC6" w:rsidP="001F2CC6">
            <w:pPr>
              <w:pStyle w:val="List2"/>
            </w:pPr>
            <w:r w:rsidRPr="001F2CC6">
              <w:t>2.2.</w:t>
            </w:r>
            <w:r w:rsidRPr="001F2CC6">
              <w:tab/>
              <w:t>Undertake required structural design calculations</w:t>
            </w:r>
          </w:p>
          <w:p w:rsidR="00000000" w:rsidRPr="001F2CC6" w:rsidP="001F2CC6">
            <w:pPr>
              <w:pStyle w:val="List2"/>
            </w:pPr>
            <w:r w:rsidRPr="001F2CC6">
              <w:t>2.3.</w:t>
            </w:r>
            <w:r w:rsidRPr="001F2CC6">
              <w:tab/>
              <w:t>Undertake the required heat transfer calculations</w:t>
            </w:r>
          </w:p>
          <w:p w:rsidR="00000000" w:rsidRPr="001F2CC6" w:rsidP="001F2CC6">
            <w:pPr>
              <w:pStyle w:val="List2"/>
            </w:pPr>
            <w:r w:rsidRPr="001F2CC6">
              <w:t>2.4.</w:t>
            </w:r>
            <w:r w:rsidRPr="001F2CC6">
              <w:tab/>
              <w:t>Undertake relevant thermal expansion calculations</w:t>
            </w:r>
          </w:p>
          <w:p w:rsidR="00000000" w:rsidRPr="001F2CC6" w:rsidP="001F2CC6">
            <w:pPr>
              <w:pStyle w:val="List2"/>
            </w:pPr>
            <w:r w:rsidRPr="001F2CC6">
              <w:t>2.5.</w:t>
            </w:r>
            <w:r w:rsidRPr="001F2CC6">
              <w:tab/>
              <w:t>Determine implications for refractory material se</w:t>
            </w:r>
            <w:r w:rsidRPr="001F2CC6">
              <w:t>lection</w:t>
            </w:r>
          </w:p>
          <w:p w:rsidR="00000000" w:rsidP="001F2CC6">
            <w:pPr>
              <w:pStyle w:val="List2"/>
              <w:rPr>
                <w:lang w:val="en-NZ"/>
              </w:rPr>
            </w:pPr>
            <w:r w:rsidRPr="001F2CC6">
              <w:t>2.6.</w:t>
            </w:r>
            <w:r w:rsidRPr="001F2CC6">
              <w:tab/>
              <w:t>Liaise with refractory material selector</w:t>
            </w:r>
          </w:p>
        </w:tc>
      </w:tr>
      <w:tr w:rsidTr="006148B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List"/>
              <w:rPr>
                <w:lang w:val="en-NZ"/>
              </w:rPr>
            </w:pPr>
            <w:r w:rsidRPr="001F2CC6">
              <w:t>3.</w:t>
            </w:r>
            <w:r w:rsidRPr="001F2CC6">
              <w:tab/>
              <w:t>Compare possible design solutions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List2"/>
            </w:pPr>
            <w:r w:rsidRPr="001F2CC6">
              <w:t>3.1.</w:t>
            </w:r>
            <w:r w:rsidRPr="001F2CC6">
              <w:tab/>
              <w:t xml:space="preserve">Compare the refractory systems with the set of requirements </w:t>
            </w:r>
          </w:p>
          <w:p w:rsidR="00000000" w:rsidRPr="001F2CC6" w:rsidP="001F2CC6">
            <w:pPr>
              <w:pStyle w:val="List2"/>
            </w:pPr>
            <w:r w:rsidRPr="001F2CC6">
              <w:t>3.2.</w:t>
            </w:r>
            <w:r w:rsidRPr="001F2CC6">
              <w:tab/>
              <w:t>Rank possible refractory system solutions</w:t>
            </w:r>
          </w:p>
          <w:p w:rsidR="00000000" w:rsidRPr="001F2CC6" w:rsidP="001F2CC6">
            <w:pPr>
              <w:pStyle w:val="List2"/>
            </w:pPr>
            <w:r w:rsidRPr="001F2CC6">
              <w:t>3.3.</w:t>
            </w:r>
            <w:r w:rsidRPr="001F2CC6">
              <w:tab/>
            </w:r>
            <w:r w:rsidRPr="001F2CC6">
              <w:t>Identify health, safety and environment (HSE) risks of top ranked possible refractory system solutions</w:t>
            </w:r>
          </w:p>
          <w:p w:rsidR="00000000" w:rsidP="001F2CC6">
            <w:pPr>
              <w:pStyle w:val="List2"/>
              <w:rPr>
                <w:lang w:val="en-NZ"/>
              </w:rPr>
            </w:pPr>
            <w:r w:rsidRPr="001F2CC6">
              <w:t>3.4.</w:t>
            </w:r>
            <w:r w:rsidRPr="001F2CC6">
              <w:tab/>
              <w:t>Estimate the cost of top ranked possible refractory system solutions</w:t>
            </w:r>
          </w:p>
        </w:tc>
      </w:tr>
      <w:tr w:rsidTr="006148B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List"/>
              <w:rPr>
                <w:lang w:val="en-NZ"/>
              </w:rPr>
            </w:pPr>
            <w:r w:rsidRPr="001F2CC6">
              <w:t>4.</w:t>
            </w:r>
            <w:r w:rsidRPr="001F2CC6">
              <w:tab/>
              <w:t>Design refractory system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List2"/>
            </w:pPr>
            <w:r w:rsidRPr="001F2CC6">
              <w:t>4.1.</w:t>
            </w:r>
            <w:r w:rsidRPr="001F2CC6">
              <w:tab/>
              <w:t>Liaise with relevant stakeholders</w:t>
            </w:r>
          </w:p>
          <w:p w:rsidR="00000000" w:rsidRPr="001F2CC6" w:rsidP="001F2CC6">
            <w:pPr>
              <w:pStyle w:val="List2"/>
            </w:pPr>
            <w:r w:rsidRPr="001F2CC6">
              <w:t>4.2.</w:t>
            </w:r>
            <w:r w:rsidRPr="001F2CC6">
              <w:tab/>
              <w:t>Determ</w:t>
            </w:r>
            <w:r w:rsidRPr="001F2CC6">
              <w:t>ine installation, repair or removal issues of relevance to the refractory systems</w:t>
            </w:r>
          </w:p>
          <w:p w:rsidR="00000000" w:rsidRPr="001F2CC6" w:rsidP="001F2CC6">
            <w:pPr>
              <w:pStyle w:val="List2"/>
            </w:pPr>
            <w:r w:rsidRPr="001F2CC6">
              <w:t>4.3.</w:t>
            </w:r>
            <w:r w:rsidRPr="001F2CC6">
              <w:tab/>
              <w:t>Review short list ranking</w:t>
            </w:r>
          </w:p>
          <w:p w:rsidR="00000000" w:rsidP="001F2CC6">
            <w:pPr>
              <w:pStyle w:val="List2"/>
              <w:rPr>
                <w:lang w:val="en-NZ"/>
              </w:rPr>
            </w:pPr>
            <w:r w:rsidRPr="001F2CC6">
              <w:t>4.4.</w:t>
            </w:r>
            <w:r w:rsidRPr="001F2CC6">
              <w:tab/>
              <w:t>Recommend optimum refractory system for the end use</w:t>
            </w:r>
          </w:p>
        </w:tc>
      </w:tr>
      <w:tr w:rsidTr="006148B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List"/>
              <w:rPr>
                <w:lang w:val="en-NZ"/>
              </w:rPr>
            </w:pPr>
            <w:r w:rsidRPr="001F2CC6">
              <w:t>5.</w:t>
            </w:r>
            <w:r w:rsidRPr="001F2CC6">
              <w:tab/>
              <w:t>Develop design and technical specification for recommended refractory system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List2"/>
            </w:pPr>
            <w:r w:rsidRPr="001F2CC6">
              <w:t>5.1.</w:t>
            </w:r>
            <w:r w:rsidRPr="001F2CC6">
              <w:tab/>
            </w:r>
            <w:r w:rsidRPr="001F2CC6">
              <w:t>Determine suitable format for design and specification</w:t>
            </w:r>
          </w:p>
          <w:p w:rsidR="00000000" w:rsidRPr="001F2CC6" w:rsidP="001F2CC6">
            <w:pPr>
              <w:pStyle w:val="List2"/>
            </w:pPr>
            <w:r w:rsidRPr="001F2CC6">
              <w:t>5.2.</w:t>
            </w:r>
            <w:r w:rsidRPr="001F2CC6">
              <w:tab/>
              <w:t>Prepare design and specification</w:t>
            </w:r>
          </w:p>
          <w:p w:rsidR="00000000" w:rsidRPr="001F2CC6" w:rsidP="001F2CC6">
            <w:pPr>
              <w:pStyle w:val="List2"/>
            </w:pPr>
            <w:r w:rsidRPr="001F2CC6">
              <w:t>5.3.</w:t>
            </w:r>
            <w:r w:rsidRPr="001F2CC6">
              <w:tab/>
              <w:t>Review specification with refractory material selector and installer</w:t>
            </w:r>
          </w:p>
          <w:p w:rsidR="00000000" w:rsidRPr="001F2CC6" w:rsidP="001F2CC6">
            <w:pPr>
              <w:pStyle w:val="List2"/>
            </w:pPr>
            <w:r w:rsidRPr="001F2CC6">
              <w:t>5.4.</w:t>
            </w:r>
            <w:r w:rsidRPr="001F2CC6">
              <w:tab/>
              <w:t>Modify design and specification if required</w:t>
            </w:r>
          </w:p>
          <w:p w:rsidR="00000000" w:rsidRPr="001F2CC6" w:rsidP="001F2CC6">
            <w:pPr>
              <w:pStyle w:val="List2"/>
            </w:pPr>
            <w:r w:rsidRPr="001F2CC6">
              <w:t>5.5.</w:t>
            </w:r>
            <w:r w:rsidRPr="001F2CC6">
              <w:tab/>
              <w:t>Publish design and specification in</w:t>
            </w:r>
            <w:r w:rsidRPr="001F2CC6">
              <w:t xml:space="preserve"> required format to required people/organisations</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9" w:name="O_110771"/>
      <w:bookmarkEnd w:id="9"/>
      <w:r w:rsidRPr="001F2CC6">
        <w:t>Required Skills and Knowledge</w:t>
      </w:r>
    </w:p>
    <w:tbl>
      <w:tblPr>
        <w:tblW w:w="0" w:type="auto"/>
        <w:tblLayout w:type="fixed"/>
        <w:tblCellMar>
          <w:left w:w="62" w:type="dxa"/>
          <w:right w:w="62" w:type="dxa"/>
        </w:tblCellMar>
        <w:tblLook w:val="0000"/>
      </w:tblPr>
      <w:tblGrid>
        <w:gridCol w:w="8522"/>
      </w:tblGrid>
      <w:tr w:rsidTr="006148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REQUIRED SKILLS AND KNOWLEDGE</w:t>
            </w:r>
          </w:p>
        </w:tc>
      </w:tr>
      <w:tr w:rsidTr="006148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t>This section describes the skills and knowledge required for this unit.</w:t>
            </w:r>
          </w:p>
        </w:tc>
      </w:tr>
      <w:tr w:rsidTr="00614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Required skills</w:t>
            </w:r>
          </w:p>
        </w:tc>
      </w:tr>
      <w:tr w:rsidTr="00614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Required skills include:</w:t>
            </w:r>
          </w:p>
          <w:p w:rsidR="00000000" w:rsidRPr="001F2CC6" w:rsidP="001F2CC6">
            <w:pPr>
              <w:pStyle w:val="ListBullet"/>
            </w:pPr>
            <w:r w:rsidRPr="001F2CC6">
              <w:t>solving problems</w:t>
            </w:r>
          </w:p>
          <w:p w:rsidR="00000000" w:rsidRPr="001F2CC6" w:rsidP="001F2CC6">
            <w:pPr>
              <w:pStyle w:val="ListBullet"/>
            </w:pPr>
            <w:r w:rsidRPr="001F2CC6">
              <w:t>communicating at all levels</w:t>
            </w:r>
          </w:p>
          <w:p w:rsidR="00000000" w:rsidRPr="001F2CC6" w:rsidP="001F2CC6">
            <w:pPr>
              <w:pStyle w:val="ListBullet"/>
            </w:pPr>
            <w:r w:rsidRPr="001F2CC6">
              <w:t>using organisation knowledge system</w:t>
            </w:r>
          </w:p>
          <w:p w:rsidR="00000000" w:rsidRPr="001F2CC6" w:rsidP="001F2CC6">
            <w:pPr>
              <w:pStyle w:val="ListBullet"/>
            </w:pPr>
            <w:r w:rsidRPr="001F2CC6">
              <w:t>analysing</w:t>
            </w:r>
          </w:p>
          <w:p w:rsidR="00000000" w:rsidRPr="001F2CC6" w:rsidP="001F2CC6">
            <w:pPr>
              <w:pStyle w:val="ListBullet"/>
            </w:pPr>
            <w:r w:rsidRPr="001F2CC6">
              <w:t>interpreting data</w:t>
            </w:r>
          </w:p>
          <w:p w:rsidR="00000000" w:rsidRPr="001F2CC6" w:rsidP="001F2CC6">
            <w:pPr>
              <w:pStyle w:val="ListBullet"/>
            </w:pPr>
            <w:r w:rsidRPr="001F2CC6">
              <w:t>negotiating</w:t>
            </w:r>
          </w:p>
          <w:p w:rsidR="00000000" w:rsidRPr="001F2CC6" w:rsidP="001F2CC6">
            <w:pPr>
              <w:pStyle w:val="ListBullet"/>
            </w:pPr>
            <w:r w:rsidRPr="001F2CC6">
              <w:t>technical reporting</w:t>
            </w:r>
          </w:p>
          <w:p w:rsidR="00000000" w:rsidP="001F2CC6">
            <w:pPr>
              <w:pStyle w:val="ListBullet"/>
              <w:rPr>
                <w:lang w:val="en-NZ"/>
              </w:rPr>
            </w:pPr>
            <w:r w:rsidRPr="001F2CC6">
              <w:t>technical drawing - possibly computer aided drafting (CAD)</w:t>
            </w:r>
          </w:p>
        </w:tc>
      </w:tr>
      <w:tr w:rsidTr="00614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Required knowledge</w:t>
            </w:r>
          </w:p>
        </w:tc>
      </w:tr>
      <w:tr w:rsidTr="00614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Required knowledge includes:</w:t>
            </w:r>
          </w:p>
          <w:p w:rsidR="00000000" w:rsidRPr="001F2CC6" w:rsidP="001F2CC6">
            <w:pPr>
              <w:pStyle w:val="ListBullet"/>
            </w:pPr>
            <w:r w:rsidRPr="001F2CC6">
              <w:t>prope</w:t>
            </w:r>
            <w:r w:rsidRPr="001F2CC6">
              <w:t>rties of all common refractory systems</w:t>
            </w:r>
          </w:p>
          <w:p w:rsidR="00000000" w:rsidRPr="001F2CC6" w:rsidP="001F2CC6">
            <w:pPr>
              <w:pStyle w:val="ListBullet"/>
            </w:pPr>
            <w:r w:rsidRPr="001F2CC6">
              <w:t>typical limitations and applications of all common refractory systems</w:t>
            </w:r>
          </w:p>
          <w:p w:rsidR="00000000" w:rsidRPr="001F2CC6" w:rsidP="001F2CC6">
            <w:pPr>
              <w:pStyle w:val="ListBullet"/>
            </w:pPr>
            <w:r w:rsidRPr="001F2CC6">
              <w:t>installation methods and their advantages, disadvantages, typical uses and limitations</w:t>
            </w:r>
          </w:p>
          <w:p w:rsidR="00000000" w:rsidRPr="001F2CC6" w:rsidP="001F2CC6">
            <w:pPr>
              <w:pStyle w:val="ListBullet"/>
            </w:pPr>
            <w:r w:rsidRPr="001F2CC6">
              <w:t>heat transfer calculations (resistances in series and parallel)</w:t>
            </w:r>
          </w:p>
          <w:p w:rsidR="00000000" w:rsidRPr="001F2CC6" w:rsidP="001F2CC6">
            <w:pPr>
              <w:pStyle w:val="ListBullet"/>
            </w:pPr>
            <w:r w:rsidRPr="001F2CC6">
              <w:t>structural calculations (beam, column, arch, strength of refractory materials, and physical properties of refractory materials)</w:t>
            </w:r>
          </w:p>
          <w:p w:rsidR="00000000" w:rsidRPr="001F2CC6" w:rsidP="001F2CC6">
            <w:pPr>
              <w:pStyle w:val="ListBullet"/>
            </w:pPr>
            <w:r w:rsidRPr="001F2CC6">
              <w:t>thermal expansion (calculation of and allowance for)</w:t>
            </w:r>
          </w:p>
          <w:p w:rsidR="00000000" w:rsidRPr="001F2CC6" w:rsidP="001F2CC6">
            <w:pPr>
              <w:pStyle w:val="ListBullet"/>
            </w:pPr>
            <w:r w:rsidRPr="001F2CC6">
              <w:t xml:space="preserve">refractory </w:t>
            </w:r>
            <w:r w:rsidRPr="001F2CC6">
              <w:t xml:space="preserve">anchors, types, uses and selection </w:t>
            </w:r>
          </w:p>
          <w:p w:rsidR="00000000" w:rsidRPr="001F2CC6" w:rsidP="001F2CC6">
            <w:pPr>
              <w:pStyle w:val="ListBullet"/>
            </w:pPr>
            <w:r w:rsidRPr="001F2CC6">
              <w:t>refractory installation methods and their impact on design</w:t>
            </w:r>
          </w:p>
          <w:p w:rsidR="00000000" w:rsidRPr="001F2CC6" w:rsidP="001F2CC6">
            <w:pPr>
              <w:pStyle w:val="ListBullet"/>
            </w:pPr>
            <w:r w:rsidRPr="001F2CC6">
              <w:t>common refractory repairs and their impacts on design</w:t>
            </w:r>
          </w:p>
          <w:p w:rsidR="00000000" w:rsidRPr="001F2CC6" w:rsidP="001F2CC6">
            <w:pPr>
              <w:pStyle w:val="ListBullet"/>
            </w:pPr>
            <w:r w:rsidRPr="001F2CC6">
              <w:t>methods of reuse, recycling and disposal of refractories at the end of their life and the differences for d</w:t>
            </w:r>
            <w:r w:rsidRPr="001F2CC6">
              <w:t>ifferent types of refractory systems</w:t>
            </w:r>
          </w:p>
          <w:p w:rsidR="00000000" w:rsidRPr="001F2CC6" w:rsidP="001F2CC6">
            <w:pPr>
              <w:pStyle w:val="ListBullet"/>
            </w:pPr>
            <w:r w:rsidRPr="001F2CC6">
              <w:t>critical refractory specifications</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10" w:name="O_110772"/>
      <w:bookmarkEnd w:id="10"/>
      <w:r w:rsidRPr="001F2CC6">
        <w:t>Evidence Guide</w:t>
      </w:r>
    </w:p>
    <w:tbl>
      <w:tblPr>
        <w:tblW w:w="9570" w:type="dxa"/>
        <w:tblLayout w:type="fixed"/>
        <w:tblCellMar>
          <w:left w:w="62" w:type="dxa"/>
          <w:right w:w="62" w:type="dxa"/>
        </w:tblCellMar>
        <w:tblLook w:val="0000"/>
      </w:tblPr>
      <w:tblGrid>
        <w:gridCol w:w="3908"/>
        <w:gridCol w:w="5662"/>
      </w:tblGrid>
      <w:tr w:rsidTr="006148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EVIDENCE GUIDE</w:t>
            </w:r>
          </w:p>
        </w:tc>
      </w:tr>
      <w:tr w:rsidTr="006148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t>The Evidence Guide provides advice on assessment and must be read in conjunction with the performance criteria, required skills and knowledge, range statement and the Assessment Guidelines for the Training Package.</w:t>
            </w:r>
          </w:p>
        </w:tc>
      </w:tr>
      <w:tr w:rsidTr="00614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Assessment of th</w:t>
            </w:r>
            <w:r w:rsidRPr="001F2CC6">
              <w:t>is unit should include demonstrated competence in a workplace based project or a simulated workplace project.</w:t>
            </w:r>
          </w:p>
          <w:p w:rsidR="00000000" w:rsidP="001F2CC6">
            <w:pPr>
              <w:pStyle w:val="BodyText"/>
              <w:rPr>
                <w:lang w:val="en-NZ"/>
              </w:rPr>
            </w:pPr>
            <w:r w:rsidRPr="001F2CC6">
              <w:t>Access should be available to all normally accessed tables, data etc which would be available to and used by a competent refractory specialist per</w:t>
            </w:r>
            <w:r w:rsidRPr="001F2CC6">
              <w:t>forming this assignment.</w:t>
            </w:r>
          </w:p>
        </w:tc>
      </w:tr>
      <w:tr w:rsidTr="00614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t>Competence must be demonstrated in the ability to design an appropriate refractory system and write the required specification.</w:t>
            </w:r>
          </w:p>
        </w:tc>
      </w:tr>
      <w:tr w:rsidTr="00614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Assessment may occur on the job or in an appropriately simulated environment. Access is required to real or appropriately simulated situations, including work areas, materials and equipment, and to informati</w:t>
            </w:r>
            <w:r w:rsidRPr="001F2CC6">
              <w:t>on on workplace practices and OHS practices.</w:t>
            </w:r>
          </w:p>
          <w:p w:rsidR="00000000" w:rsidRPr="001F2CC6" w:rsidP="001F2CC6">
            <w:pPr>
              <w:pStyle w:val="BodyText"/>
            </w:pPr>
            <w:r w:rsidRPr="001F2CC6">
              <w:t>Where applicable, reasonable adjustment must be made to work environments and training situations to accommodate ethnicity, age, gender, demographics and disability.</w:t>
            </w:r>
          </w:p>
          <w:p w:rsidR="00000000" w:rsidP="001F2CC6">
            <w:pPr>
              <w:pStyle w:val="BodyText"/>
              <w:rPr>
                <w:lang w:val="en-NZ"/>
              </w:rPr>
            </w:pPr>
            <w:r w:rsidRPr="001F2CC6">
              <w:t>Access must be provided to appropriate learni</w:t>
            </w:r>
            <w:r w:rsidRPr="001F2CC6">
              <w:t>ng and/or assessment support when required. Where applicable, physical resources should include equipment modified for people with disabilities.</w:t>
            </w:r>
          </w:p>
        </w:tc>
      </w:tr>
      <w:tr w:rsidTr="00614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ListBullet"/>
            </w:pPr>
            <w:r w:rsidRPr="001F2CC6">
              <w:t>Assessment must satisfy the endorsed assessment guidelines of the Manufactured Mineral P</w:t>
            </w:r>
            <w:r w:rsidRPr="001F2CC6">
              <w:t>roducts Training Package.</w:t>
            </w:r>
          </w:p>
          <w:p w:rsidR="00000000" w:rsidRPr="001F2CC6" w:rsidP="001F2CC6">
            <w:pPr>
              <w:pStyle w:val="ListBullet"/>
            </w:pPr>
            <w:r w:rsidRPr="001F2CC6">
              <w:t>Assessment methods must confirm consistency and accuracy of performance (over time and in a range of workplace relevant contexts) together with application of underpinning knowledge.</w:t>
            </w:r>
          </w:p>
          <w:p w:rsidR="00000000" w:rsidRPr="001F2CC6" w:rsidP="001F2CC6">
            <w:pPr>
              <w:pStyle w:val="ListBullet"/>
            </w:pPr>
            <w:r w:rsidRPr="001F2CC6">
              <w:t>Assessment methods which include direct observa</w:t>
            </w:r>
            <w:r w:rsidRPr="001F2CC6">
              <w:t>tion of tasks should also include questioning on underpinning knowledge to ensure its correct interpretation and application.</w:t>
            </w:r>
          </w:p>
          <w:p w:rsidR="00000000" w:rsidRPr="001F2CC6" w:rsidP="001F2CC6">
            <w:pPr>
              <w:pStyle w:val="ListBullet"/>
            </w:pPr>
            <w:r w:rsidRPr="001F2CC6">
              <w:t>Assessment may be applied under project related conditions (real or simulated) and require evidence of process.</w:t>
            </w:r>
          </w:p>
          <w:p w:rsidR="00000000" w:rsidRPr="001F2CC6" w:rsidP="001F2CC6">
            <w:pPr>
              <w:pStyle w:val="ListBullet"/>
            </w:pPr>
            <w:r w:rsidRPr="001F2CC6">
              <w:t>Assessment must co</w:t>
            </w:r>
            <w:r w:rsidRPr="001F2CC6">
              <w:t>nfirm a reasonable inference that competency is able not only to be satisfied under the particular circumstance, but is able to be transferred to other circumstances.</w:t>
            </w:r>
          </w:p>
          <w:p w:rsidR="00000000" w:rsidP="001F2CC6">
            <w:pPr>
              <w:pStyle w:val="ListBullet"/>
              <w:rPr>
                <w:lang w:val="en-NZ"/>
              </w:rPr>
            </w:pPr>
            <w:r w:rsidRPr="001F2CC6">
              <w:t>Assessment may be in conjunction with assessment of other units of competency where requi</w:t>
            </w:r>
            <w:r w:rsidRPr="001F2CC6">
              <w:t>red.</w:t>
            </w:r>
          </w:p>
        </w:tc>
      </w:tr>
      <w:tr w:rsidTr="00614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Assessment processes and techniques must be culturally appropriate and appropriate to the language and literacy capacity of the candidate and the work being performed.</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11" w:name="O_110773"/>
      <w:bookmarkEnd w:id="11"/>
      <w:r w:rsidRPr="001F2CC6">
        <w:t>Range Statement</w:t>
      </w:r>
    </w:p>
    <w:tbl>
      <w:tblPr>
        <w:tblW w:w="0" w:type="auto"/>
        <w:tblLayout w:type="fixed"/>
        <w:tblCellMar>
          <w:left w:w="62" w:type="dxa"/>
          <w:right w:w="62" w:type="dxa"/>
        </w:tblCellMar>
        <w:tblLook w:val="0000"/>
      </w:tblPr>
      <w:tblGrid>
        <w:gridCol w:w="3465"/>
        <w:gridCol w:w="5057"/>
      </w:tblGrid>
      <w:tr w:rsidTr="006148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RANGE STATEMENT</w:t>
            </w:r>
          </w:p>
        </w:tc>
      </w:tr>
      <w:tr w:rsidTr="006148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t>The range statement relates to the unit of competency as a whole. It allows for different work environments and situations that may affect performance. Essential operating conditions that may be present with training and assessment (depen</w:t>
            </w:r>
            <w:r w:rsidRPr="001F2CC6">
              <w:t>ding on the work situation, needs of the candidate, accessibility of the item, and local industry and regional contexts) may also be included.</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Stakeholders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Stakeholders may include:</w:t>
            </w:r>
          </w:p>
          <w:p w:rsidR="00000000" w:rsidRPr="001F2CC6" w:rsidP="001F2CC6">
            <w:pPr>
              <w:pStyle w:val="ListBullet"/>
            </w:pPr>
            <w:r w:rsidRPr="001F2CC6">
              <w:t>customer representatives</w:t>
            </w:r>
          </w:p>
          <w:p w:rsidR="00000000" w:rsidRPr="001F2CC6" w:rsidP="001F2CC6">
            <w:pPr>
              <w:pStyle w:val="ListBullet"/>
            </w:pPr>
            <w:r w:rsidRPr="001F2CC6">
              <w:t>technical experts</w:t>
            </w:r>
          </w:p>
          <w:p w:rsidR="00000000" w:rsidRPr="001F2CC6" w:rsidP="001F2CC6">
            <w:pPr>
              <w:pStyle w:val="ListBullet"/>
            </w:pPr>
            <w:r w:rsidRPr="001F2CC6">
              <w:t>regulators</w:t>
            </w:r>
          </w:p>
          <w:p w:rsidR="00000000" w:rsidRPr="001F2CC6" w:rsidP="001F2CC6">
            <w:pPr>
              <w:pStyle w:val="ListBullet"/>
            </w:pPr>
            <w:r w:rsidRPr="001F2CC6">
              <w:t>refractory designer</w:t>
            </w:r>
          </w:p>
          <w:p w:rsidR="00000000" w:rsidP="001F2CC6">
            <w:pPr>
              <w:pStyle w:val="ListBullet"/>
              <w:rPr>
                <w:lang w:val="en-NZ"/>
              </w:rPr>
            </w:pPr>
            <w:r w:rsidRPr="001F2CC6">
              <w:t>refractory installer</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End use conditions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End use conditions may include:</w:t>
            </w:r>
          </w:p>
          <w:p w:rsidR="00000000" w:rsidRPr="001F2CC6" w:rsidP="001F2CC6">
            <w:pPr>
              <w:pStyle w:val="ListBullet"/>
            </w:pPr>
            <w:r w:rsidRPr="001F2CC6">
              <w:t>surface temperature of refractory</w:t>
            </w:r>
          </w:p>
          <w:p w:rsidR="00000000" w:rsidRPr="001F2CC6" w:rsidP="001F2CC6">
            <w:pPr>
              <w:pStyle w:val="ListBullet"/>
            </w:pPr>
            <w:r w:rsidRPr="001F2CC6">
              <w:t>required temperature gradient through refractory/outside surface temperature</w:t>
            </w:r>
          </w:p>
          <w:p w:rsidR="00000000" w:rsidRPr="001F2CC6" w:rsidP="001F2CC6">
            <w:pPr>
              <w:pStyle w:val="ListBullet"/>
            </w:pPr>
            <w:r w:rsidRPr="001F2CC6">
              <w:t>chemical condition (e.g. pH)</w:t>
            </w:r>
          </w:p>
          <w:p w:rsidR="00000000" w:rsidRPr="001F2CC6" w:rsidP="001F2CC6">
            <w:pPr>
              <w:pStyle w:val="ListBullet"/>
            </w:pPr>
            <w:r w:rsidRPr="001F2CC6">
              <w:t>mechanical condition (e.g. impingement)</w:t>
            </w:r>
          </w:p>
          <w:p w:rsidR="00000000" w:rsidP="001F2CC6">
            <w:pPr>
              <w:pStyle w:val="ListBullet"/>
              <w:rPr>
                <w:lang w:val="en-NZ"/>
              </w:rPr>
            </w:pPr>
            <w:r w:rsidRPr="001F2CC6">
              <w:t>temperature or other cycling</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Types of refractory installations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Typical types of refractory installation include:</w:t>
            </w:r>
          </w:p>
          <w:p w:rsidR="00000000" w:rsidRPr="001F2CC6" w:rsidP="001F2CC6">
            <w:pPr>
              <w:pStyle w:val="ListBullet"/>
            </w:pPr>
            <w:r w:rsidRPr="001F2CC6">
              <w:t>block/precast</w:t>
            </w:r>
          </w:p>
          <w:p w:rsidR="00000000" w:rsidRPr="001F2CC6" w:rsidP="001F2CC6">
            <w:pPr>
              <w:pStyle w:val="ListBullet"/>
            </w:pPr>
            <w:r w:rsidRPr="001F2CC6">
              <w:t>monolithic/castable</w:t>
            </w:r>
          </w:p>
          <w:p w:rsidR="00000000" w:rsidRPr="001F2CC6" w:rsidP="001F2CC6">
            <w:pPr>
              <w:pStyle w:val="ListBullet"/>
            </w:pPr>
            <w:r w:rsidRPr="001F2CC6">
              <w:t>gunite/shotcrete</w:t>
            </w:r>
          </w:p>
          <w:p w:rsidR="00000000" w:rsidRPr="001F2CC6" w:rsidP="001F2CC6">
            <w:pPr>
              <w:pStyle w:val="ListBullet"/>
            </w:pPr>
            <w:r w:rsidRPr="001F2CC6">
              <w:t>refractory coating</w:t>
            </w:r>
          </w:p>
          <w:p w:rsidR="00000000" w:rsidP="001F2CC6">
            <w:pPr>
              <w:pStyle w:val="ListBullet"/>
              <w:rPr>
                <w:lang w:val="en-NZ"/>
              </w:rPr>
            </w:pPr>
            <w:r w:rsidRPr="001F2CC6">
              <w:t>multilayer refractory linings (</w:t>
            </w:r>
            <w:r w:rsidRPr="001F2CC6">
              <w:t>e.g. hard face over insulating refractory)</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Ranking of refractory system solution</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Ranking should be based on:</w:t>
            </w:r>
          </w:p>
          <w:p w:rsidR="00000000" w:rsidP="001F2CC6">
            <w:pPr>
              <w:pStyle w:val="ListBullet"/>
              <w:rPr>
                <w:lang w:val="en-NZ"/>
              </w:rPr>
            </w:pPr>
            <w:r w:rsidRPr="001F2CC6">
              <w:t>how well they meet the technical requirements of the end use</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HSE risks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HSE risks should include focus on the comparative health, safety and environmental risks of the refractory systems under consideration.</w:t>
            </w:r>
          </w:p>
          <w:p w:rsidR="00000000" w:rsidRPr="001F2CC6" w:rsidP="001F2CC6">
            <w:pPr>
              <w:pStyle w:val="BodyText"/>
            </w:pPr>
            <w:r w:rsidRPr="001F2CC6">
              <w:t>Risks would include risks during:</w:t>
            </w:r>
          </w:p>
          <w:p w:rsidR="00000000" w:rsidRPr="001F2CC6" w:rsidP="001F2CC6">
            <w:pPr>
              <w:pStyle w:val="ListBullet"/>
            </w:pPr>
            <w:r w:rsidRPr="001F2CC6">
              <w:t>installation</w:t>
            </w:r>
          </w:p>
          <w:p w:rsidR="00000000" w:rsidRPr="001F2CC6" w:rsidP="001F2CC6">
            <w:pPr>
              <w:pStyle w:val="ListBullet"/>
            </w:pPr>
            <w:r w:rsidRPr="001F2CC6">
              <w:t>use</w:t>
            </w:r>
          </w:p>
          <w:p w:rsidR="00000000" w:rsidRPr="001F2CC6" w:rsidP="001F2CC6">
            <w:pPr>
              <w:pStyle w:val="ListBullet"/>
            </w:pPr>
            <w:r w:rsidRPr="001F2CC6">
              <w:t>repair</w:t>
            </w:r>
          </w:p>
          <w:p w:rsidR="00000000" w:rsidP="001F2CC6">
            <w:pPr>
              <w:pStyle w:val="ListBullet"/>
              <w:rPr>
                <w:lang w:val="en-NZ"/>
              </w:rPr>
            </w:pPr>
            <w:r w:rsidRPr="001F2CC6">
              <w:t>removal and disposal at end of life</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Cost of refractory syste</w:t>
            </w:r>
            <w:r w:rsidRPr="001F2CC6">
              <w:rPr>
                <w:rStyle w:val="SpecialBold"/>
              </w:rPr>
              <w:t>ms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Cost of refractory systems should be total costs and should include:</w:t>
            </w:r>
          </w:p>
          <w:p w:rsidR="00000000" w:rsidRPr="001F2CC6" w:rsidP="001F2CC6">
            <w:pPr>
              <w:pStyle w:val="ListBullet"/>
            </w:pPr>
            <w:r w:rsidRPr="001F2CC6">
              <w:t>material costs</w:t>
            </w:r>
          </w:p>
          <w:p w:rsidR="00000000" w:rsidRPr="001F2CC6" w:rsidP="001F2CC6">
            <w:pPr>
              <w:pStyle w:val="ListBullet"/>
            </w:pPr>
            <w:r w:rsidRPr="001F2CC6">
              <w:t>installation costs</w:t>
            </w:r>
          </w:p>
          <w:p w:rsidR="00000000" w:rsidRPr="001F2CC6" w:rsidP="001F2CC6">
            <w:pPr>
              <w:pStyle w:val="ListBullet"/>
            </w:pPr>
            <w:r w:rsidRPr="001F2CC6">
              <w:t>repair costs</w:t>
            </w:r>
          </w:p>
          <w:p w:rsidR="00000000" w:rsidP="001F2CC6">
            <w:pPr>
              <w:pStyle w:val="ListBullet"/>
              <w:rPr>
                <w:lang w:val="en-NZ"/>
              </w:rPr>
            </w:pPr>
            <w:r w:rsidRPr="001F2CC6">
              <w:t>life cycle costs</w:t>
            </w:r>
          </w:p>
        </w:tc>
      </w:tr>
      <w:tr w:rsidTr="006148B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Optimum refractory system</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The optimum refractory system would be:</w:t>
            </w:r>
          </w:p>
          <w:p w:rsidR="00000000" w:rsidRPr="001F2CC6" w:rsidP="001F2CC6">
            <w:pPr>
              <w:pStyle w:val="ListBullet"/>
            </w:pPr>
            <w:r w:rsidRPr="001F2CC6">
              <w:t>that system which best delivers the technical requirement at the lowest cost and the least HSE risk</w:t>
            </w:r>
          </w:p>
        </w:tc>
      </w:tr>
    </w:tbl>
    <w:p w:rsidR="006148BE" w:rsidP="001F2CC6">
      <w:pPr>
        <w:pStyle w:val="BodyText"/>
      </w:pPr>
    </w:p>
    <w:p w:rsidR="006148BE" w:rsidP="001F2CC6">
      <w:pPr>
        <w:pStyle w:val="BodyText"/>
      </w:pPr>
    </w:p>
    <w:p w:rsidR="00000000" w:rsidRPr="001F2CC6" w:rsidP="001F2CC6">
      <w:pPr>
        <w:pStyle w:val="Heading1"/>
      </w:pPr>
      <w:bookmarkStart w:id="12" w:name="O_110774"/>
      <w:bookmarkEnd w:id="12"/>
      <w:r w:rsidRPr="001F2CC6">
        <w:t>Unit Sector(s)</w:t>
      </w:r>
    </w:p>
    <w:tbl>
      <w:tblPr>
        <w:tblW w:w="0" w:type="auto"/>
        <w:tblLayout w:type="fixed"/>
        <w:tblCellMar>
          <w:left w:w="62" w:type="dxa"/>
          <w:right w:w="62" w:type="dxa"/>
        </w:tblCellMar>
        <w:tblLook w:val="0000"/>
      </w:tblPr>
      <w:tblGrid>
        <w:gridCol w:w="2567"/>
        <w:gridCol w:w="5955"/>
      </w:tblGrid>
      <w:tr w:rsidTr="006148B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r w:rsidRPr="001F2CC6">
              <w:t>Operational/technical</w:t>
            </w: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13" w:name="O_160229"/>
      <w:bookmarkEnd w:id="13"/>
      <w:r w:rsidRPr="001F2CC6">
        <w:t>Competency field</w:t>
      </w:r>
    </w:p>
    <w:tbl>
      <w:tblPr>
        <w:tblW w:w="0" w:type="auto"/>
        <w:tblLayout w:type="fixed"/>
        <w:tblCellMar>
          <w:left w:w="62" w:type="dxa"/>
          <w:right w:w="62" w:type="dxa"/>
        </w:tblCellMar>
        <w:tblLook w:val="0000"/>
      </w:tblPr>
      <w:tblGrid>
        <w:gridCol w:w="2784"/>
        <w:gridCol w:w="5738"/>
      </w:tblGrid>
      <w:tr w:rsidTr="006148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p>
        </w:tc>
      </w:tr>
    </w:tbl>
    <w:p w:rsidR="00000000" w:rsidRPr="001F2CC6" w:rsidP="001F2CC6">
      <w:pPr>
        <w:pStyle w:val="BodyText"/>
      </w:pPr>
    </w:p>
    <w:p w:rsidR="00000000" w:rsidRPr="001F2CC6" w:rsidP="001F2CC6">
      <w:pPr>
        <w:pStyle w:val="AllowPageBreak"/>
      </w:pPr>
    </w:p>
    <w:p w:rsidR="00000000" w:rsidRPr="001F2CC6" w:rsidP="001F2CC6">
      <w:pPr>
        <w:pStyle w:val="Heading1"/>
      </w:pPr>
      <w:bookmarkStart w:id="14" w:name="O_160228"/>
      <w:bookmarkEnd w:id="14"/>
      <w:r w:rsidRPr="001F2CC6">
        <w:t>Co-requisite units</w:t>
      </w:r>
    </w:p>
    <w:tbl>
      <w:tblPr>
        <w:tblW w:w="0" w:type="auto"/>
        <w:tblLayout w:type="fixed"/>
        <w:tblCellMar>
          <w:left w:w="62" w:type="dxa"/>
          <w:right w:w="62" w:type="dxa"/>
        </w:tblCellMar>
        <w:tblLook w:val="0000"/>
      </w:tblPr>
      <w:tblGrid>
        <w:gridCol w:w="2641"/>
        <w:gridCol w:w="1322"/>
        <w:gridCol w:w="4559"/>
      </w:tblGrid>
      <w:tr w:rsidTr="006148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r w:rsidRPr="001F2C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p>
        </w:tc>
      </w:tr>
      <w:tr w:rsidTr="00614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C6">
            <w:pPr>
              <w:pStyle w:val="BodyText"/>
              <w:rPr>
                <w:lang w:val="en-NZ"/>
              </w:rPr>
            </w:pPr>
          </w:p>
        </w:tc>
      </w:tr>
      <w:tr w:rsidTr="00614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C6" w:rsidP="001F2CC6">
            <w:pPr>
              <w:pStyle w:val="BodyText"/>
            </w:pPr>
          </w:p>
        </w:tc>
      </w:tr>
    </w:tbl>
    <w:p w:rsidR="00000000" w:rsidRPr="001F2CC6" w:rsidP="001F2CC6">
      <w:pPr>
        <w:pStyle w:val="BodyText"/>
      </w:pPr>
    </w:p>
    <w:p w:rsidR="00000000" w:rsidRPr="001F2CC6" w:rsidP="001F2CC6"/>
    <w:sectPr w:rsidSect="001F2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8BE" w:rsidP="00614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BE" w:rsidP="001F2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48BE" w:rsidP="001F2C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48BE" w:rsidP="001F2C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8BE" w:rsidP="006148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BE" w:rsidP="001F2CC6">
    <w:pPr>
      <w:pStyle w:val="Header"/>
      <w:framePr w:wrap="around"/>
    </w:pPr>
    <w:r>
      <w:fldChar w:fldCharType="begin"/>
    </w:r>
    <w:r>
      <w:instrText xml:space="preserve"> TITLE   \* MERGEFORMAT </w:instrText>
    </w:r>
    <w:r>
      <w:fldChar w:fldCharType="separate"/>
    </w:r>
    <w:r>
      <w:t>PMC557091A Design a refractory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48BE" w:rsidP="001F2C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AED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6C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C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CC6"/>
    <w:pPr>
      <w:spacing w:before="360" w:after="60"/>
      <w:outlineLvl w:val="0"/>
    </w:pPr>
    <w:rPr>
      <w:sz w:val="32"/>
    </w:rPr>
  </w:style>
  <w:style w:type="paragraph" w:styleId="Heading2">
    <w:name w:val="heading 2"/>
    <w:basedOn w:val="HeadingBase"/>
    <w:next w:val="BodyText"/>
    <w:link w:val="Heading2Char"/>
    <w:qFormat/>
    <w:rsid w:val="001F2CC6"/>
    <w:pPr>
      <w:keepLines/>
      <w:spacing w:before="240" w:after="120"/>
      <w:outlineLvl w:val="1"/>
    </w:pPr>
    <w:rPr>
      <w:sz w:val="28"/>
      <w:szCs w:val="40"/>
    </w:rPr>
  </w:style>
  <w:style w:type="paragraph" w:styleId="Heading3">
    <w:name w:val="heading 3"/>
    <w:basedOn w:val="HeadingBase"/>
    <w:next w:val="BodyText"/>
    <w:link w:val="Heading3Char"/>
    <w:qFormat/>
    <w:rsid w:val="001F2CC6"/>
    <w:pPr>
      <w:spacing w:before="180" w:after="120"/>
      <w:outlineLvl w:val="2"/>
    </w:pPr>
    <w:rPr>
      <w:spacing w:val="-10"/>
      <w:kern w:val="32"/>
    </w:rPr>
  </w:style>
  <w:style w:type="paragraph" w:styleId="Heading4">
    <w:name w:val="heading 4"/>
    <w:basedOn w:val="HeadingBase"/>
    <w:next w:val="BodyText"/>
    <w:link w:val="Heading4Char"/>
    <w:qFormat/>
    <w:rsid w:val="001F2CC6"/>
    <w:pPr>
      <w:spacing w:before="160" w:after="120"/>
      <w:outlineLvl w:val="3"/>
    </w:pPr>
    <w:rPr>
      <w:sz w:val="22"/>
    </w:rPr>
  </w:style>
  <w:style w:type="paragraph" w:styleId="Heading5">
    <w:name w:val="heading 5"/>
    <w:basedOn w:val="HeadingBase"/>
    <w:next w:val="Normal"/>
    <w:link w:val="Heading5Char"/>
    <w:qFormat/>
    <w:rsid w:val="001F2CC6"/>
    <w:pPr>
      <w:spacing w:before="80"/>
      <w:outlineLvl w:val="4"/>
    </w:pPr>
    <w:rPr>
      <w:color w:val="918585"/>
      <w:sz w:val="20"/>
    </w:rPr>
  </w:style>
  <w:style w:type="paragraph" w:styleId="Heading6">
    <w:name w:val="heading 6"/>
    <w:basedOn w:val="HeadingBase"/>
    <w:next w:val="Normal"/>
    <w:link w:val="Heading6Char"/>
    <w:qFormat/>
    <w:rsid w:val="001F2CC6"/>
    <w:pPr>
      <w:spacing w:before="60"/>
      <w:outlineLvl w:val="5"/>
    </w:pPr>
    <w:rPr>
      <w:color w:val="918585"/>
      <w:sz w:val="20"/>
    </w:rPr>
  </w:style>
  <w:style w:type="paragraph" w:styleId="Heading7">
    <w:name w:val="heading 7"/>
    <w:basedOn w:val="Normal"/>
    <w:next w:val="Normal"/>
    <w:link w:val="Heading7Char"/>
    <w:qFormat/>
    <w:rsid w:val="001F2CC6"/>
    <w:pPr>
      <w:ind w:left="720"/>
      <w:outlineLvl w:val="6"/>
    </w:pPr>
    <w:rPr>
      <w:i/>
    </w:rPr>
  </w:style>
  <w:style w:type="paragraph" w:styleId="Heading8">
    <w:name w:val="heading 8"/>
    <w:basedOn w:val="Normal"/>
    <w:next w:val="Normal"/>
    <w:link w:val="Heading8Char"/>
    <w:qFormat/>
    <w:rsid w:val="001F2CC6"/>
    <w:pPr>
      <w:ind w:left="720"/>
      <w:outlineLvl w:val="7"/>
    </w:pPr>
    <w:rPr>
      <w:i/>
    </w:rPr>
  </w:style>
  <w:style w:type="paragraph" w:styleId="Heading9">
    <w:name w:val="heading 9"/>
    <w:basedOn w:val="Normal"/>
    <w:next w:val="Normal"/>
    <w:link w:val="Heading9Char"/>
    <w:qFormat/>
    <w:rsid w:val="001F2CC6"/>
    <w:pPr>
      <w:ind w:left="720"/>
      <w:outlineLvl w:val="8"/>
    </w:pPr>
    <w:rPr>
      <w:i/>
    </w:rPr>
  </w:style>
  <w:style w:type="character" w:default="1" w:styleId="DefaultParagraphFont">
    <w:name w:val="Default Paragraph Font"/>
    <w:uiPriority w:val="1"/>
    <w:unhideWhenUsed/>
    <w:rsid w:val="001F2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CC6"/>
  </w:style>
  <w:style w:type="character" w:customStyle="1" w:styleId="Heading1Char">
    <w:name w:val="Heading 1 Char"/>
    <w:basedOn w:val="DefaultParagraphFont"/>
    <w:link w:val="Heading1"/>
    <w:rsid w:val="001F2CC6"/>
    <w:rPr>
      <w:rFonts w:ascii="Times New Roman" w:eastAsia="Times New Roman" w:hAnsi="Times New Roman" w:cs="Times New Roman"/>
      <w:b/>
      <w:sz w:val="32"/>
      <w:szCs w:val="20"/>
      <w:lang w:eastAsia="en-US"/>
    </w:rPr>
  </w:style>
  <w:style w:type="paragraph" w:styleId="BodyText">
    <w:name w:val="Body Text"/>
    <w:basedOn w:val="Normal"/>
    <w:link w:val="BodyTextChar"/>
    <w:rsid w:val="001F2C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CC6"/>
    <w:rPr>
      <w:rFonts w:ascii="Times New Roman" w:eastAsia="Times New Roman" w:hAnsi="Times New Roman" w:cs="Times New Roman"/>
      <w:sz w:val="24"/>
      <w:lang w:val="en-US" w:eastAsia="en-US"/>
    </w:rPr>
  </w:style>
  <w:style w:type="paragraph" w:styleId="Footer">
    <w:name w:val="footer"/>
    <w:basedOn w:val="Normal"/>
    <w:link w:val="FooterChar"/>
    <w:rsid w:val="001F2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CC6"/>
    <w:rPr>
      <w:rFonts w:ascii="Times New Roman" w:eastAsia="Times New Roman" w:hAnsi="Times New Roman" w:cs="Times New Roman"/>
      <w:sz w:val="16"/>
      <w:lang w:val="en-US" w:eastAsia="en-US"/>
    </w:rPr>
  </w:style>
  <w:style w:type="paragraph" w:styleId="List">
    <w:name w:val="List"/>
    <w:basedOn w:val="BodyText"/>
    <w:next w:val="BodyText"/>
    <w:rsid w:val="001F2CC6"/>
    <w:pPr>
      <w:tabs>
        <w:tab w:val="left" w:pos="340"/>
      </w:tabs>
      <w:spacing w:before="60" w:after="60"/>
      <w:ind w:left="340" w:hanging="340"/>
    </w:pPr>
  </w:style>
  <w:style w:type="paragraph" w:styleId="ListBullet">
    <w:name w:val="List Bullet"/>
    <w:basedOn w:val="List"/>
    <w:rsid w:val="001F2CC6"/>
    <w:pPr>
      <w:numPr>
        <w:numId w:val="12"/>
      </w:numPr>
      <w:tabs>
        <w:tab w:val="clear" w:pos="340"/>
      </w:tabs>
      <w:spacing w:before="40" w:after="40"/>
    </w:pPr>
  </w:style>
  <w:style w:type="character" w:customStyle="1" w:styleId="SpecialBold">
    <w:name w:val="Special Bold"/>
    <w:basedOn w:val="DefaultParagraphFont"/>
    <w:rsid w:val="001F2CC6"/>
    <w:rPr>
      <w:b/>
      <w:spacing w:val="0"/>
    </w:rPr>
  </w:style>
  <w:style w:type="paragraph" w:styleId="Header">
    <w:name w:val="header"/>
    <w:basedOn w:val="Normal"/>
    <w:link w:val="HeaderChar"/>
    <w:rsid w:val="001F2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C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2CC6"/>
    <w:rPr>
      <w:i/>
    </w:rPr>
  </w:style>
  <w:style w:type="paragraph" w:customStyle="1" w:styleId="SuperHeading">
    <w:name w:val="SuperHeading"/>
    <w:basedOn w:val="Normal"/>
    <w:rsid w:val="001F2CC6"/>
    <w:pPr>
      <w:spacing w:before="240" w:after="120"/>
      <w:outlineLvl w:val="0"/>
    </w:pPr>
    <w:rPr>
      <w:rFonts w:ascii="Times New Roman" w:hAnsi="Times New Roman"/>
      <w:b/>
      <w:sz w:val="28"/>
    </w:rPr>
  </w:style>
  <w:style w:type="paragraph" w:customStyle="1" w:styleId="AllowPageBreak">
    <w:name w:val="AllowPageBreak"/>
    <w:rsid w:val="001F2C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CC6"/>
    <w:pPr>
      <w:tabs>
        <w:tab w:val="left" w:pos="680"/>
      </w:tabs>
      <w:spacing w:before="60" w:after="60"/>
      <w:ind w:left="680" w:hanging="340"/>
    </w:pPr>
  </w:style>
  <w:style w:type="character" w:customStyle="1" w:styleId="Heading2Char">
    <w:name w:val="Heading 2 Char"/>
    <w:basedOn w:val="DefaultParagraphFont"/>
    <w:link w:val="Heading2"/>
    <w:rsid w:val="001F2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C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C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CC6"/>
    <w:rPr>
      <w:rFonts w:ascii="Courier New" w:eastAsia="Times New Roman" w:hAnsi="Courier New" w:cs="Times New Roman"/>
      <w:i/>
      <w:szCs w:val="20"/>
      <w:lang w:val="en-US" w:eastAsia="en-US"/>
    </w:rPr>
  </w:style>
  <w:style w:type="paragraph" w:customStyle="1" w:styleId="HeadingBase">
    <w:name w:val="Heading Base"/>
    <w:rsid w:val="001F2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CC6"/>
    <w:pPr>
      <w:tabs>
        <w:tab w:val="right" w:leader="dot" w:pos="9072"/>
      </w:tabs>
      <w:ind w:left="567"/>
    </w:pPr>
    <w:rPr>
      <w:szCs w:val="22"/>
    </w:rPr>
  </w:style>
  <w:style w:type="paragraph" w:customStyle="1" w:styleId="TOCBase">
    <w:name w:val="TOC Base"/>
    <w:rsid w:val="001F2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CC6"/>
    <w:pPr>
      <w:tabs>
        <w:tab w:val="right" w:leader="dot" w:pos="9072"/>
      </w:tabs>
      <w:spacing w:before="40" w:after="40"/>
      <w:ind w:left="284"/>
    </w:pPr>
    <w:rPr>
      <w:rFonts w:ascii="Times New Roman" w:hAnsi="Times New Roman"/>
    </w:rPr>
  </w:style>
  <w:style w:type="paragraph" w:styleId="TOC1">
    <w:name w:val="toc 1"/>
    <w:basedOn w:val="TOCBase"/>
    <w:next w:val="Normal"/>
    <w:rsid w:val="001F2C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CC6"/>
    <w:pPr>
      <w:spacing w:before="5040"/>
      <w:jc w:val="center"/>
    </w:pPr>
    <w:rPr>
      <w:sz w:val="48"/>
      <w:szCs w:val="72"/>
      <w:lang w:val="en-US"/>
    </w:rPr>
  </w:style>
  <w:style w:type="character" w:customStyle="1" w:styleId="TitleChar">
    <w:name w:val="Title Char"/>
    <w:basedOn w:val="DefaultParagraphFont"/>
    <w:link w:val="Title"/>
    <w:rsid w:val="001F2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CC6"/>
    <w:pPr>
      <w:tabs>
        <w:tab w:val="left" w:pos="3600"/>
        <w:tab w:val="left" w:pos="3958"/>
      </w:tabs>
    </w:pPr>
  </w:style>
  <w:style w:type="paragraph" w:customStyle="1" w:styleId="Note">
    <w:name w:val="Note"/>
    <w:basedOn w:val="BodyText"/>
    <w:rsid w:val="001F2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CC6"/>
    <w:pPr>
      <w:framePr w:wrap="auto" w:hAnchor="text" w:y="6049"/>
    </w:pPr>
    <w:rPr>
      <w:color w:val="000000"/>
      <w:sz w:val="40"/>
    </w:rPr>
  </w:style>
  <w:style w:type="paragraph" w:customStyle="1" w:styleId="TOCTitle">
    <w:name w:val="TOCTitle"/>
    <w:basedOn w:val="Heading1"/>
    <w:rsid w:val="001F2CC6"/>
    <w:pPr>
      <w:spacing w:after="240"/>
      <w:jc w:val="center"/>
      <w:outlineLvl w:val="9"/>
    </w:pPr>
    <w:rPr>
      <w:caps/>
    </w:rPr>
  </w:style>
  <w:style w:type="paragraph" w:customStyle="1" w:styleId="Version">
    <w:name w:val="Version"/>
    <w:rsid w:val="001F2C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CC6"/>
    <w:pPr>
      <w:numPr>
        <w:numId w:val="13"/>
      </w:numPr>
      <w:tabs>
        <w:tab w:val="clear" w:pos="680"/>
      </w:tabs>
    </w:pPr>
  </w:style>
  <w:style w:type="paragraph" w:styleId="Index1">
    <w:name w:val="index 1"/>
    <w:basedOn w:val="Normal"/>
    <w:next w:val="Normal"/>
    <w:semiHidden/>
    <w:rsid w:val="001F2CC6"/>
    <w:pPr>
      <w:keepNext w:val="0"/>
      <w:tabs>
        <w:tab w:val="right" w:pos="4176"/>
      </w:tabs>
      <w:ind w:left="198" w:hanging="198"/>
    </w:pPr>
    <w:rPr>
      <w:rFonts w:ascii="Garamond" w:hAnsi="Garamond"/>
    </w:rPr>
  </w:style>
  <w:style w:type="paragraph" w:styleId="IndexHeading">
    <w:name w:val="index heading"/>
    <w:basedOn w:val="Normal"/>
    <w:next w:val="Index1"/>
    <w:semiHidden/>
    <w:rsid w:val="001F2CC6"/>
    <w:pPr>
      <w:spacing w:before="120" w:after="120"/>
    </w:pPr>
    <w:rPr>
      <w:rFonts w:ascii="Arial" w:hAnsi="Arial"/>
      <w:b/>
      <w:color w:val="918585"/>
      <w:sz w:val="24"/>
    </w:rPr>
  </w:style>
  <w:style w:type="paragraph" w:customStyle="1" w:styleId="Chapter">
    <w:name w:val="Chapter"/>
    <w:basedOn w:val="Normal"/>
    <w:rsid w:val="001F2CC6"/>
    <w:pPr>
      <w:spacing w:before="240"/>
    </w:pPr>
    <w:rPr>
      <w:rFonts w:ascii="Times New Roman" w:hAnsi="Times New Roman"/>
      <w:smallCaps/>
      <w:spacing w:val="80"/>
      <w:sz w:val="28"/>
    </w:rPr>
  </w:style>
  <w:style w:type="paragraph" w:customStyle="1" w:styleId="InChapter">
    <w:name w:val="InChapter"/>
    <w:basedOn w:val="Heading3"/>
    <w:rsid w:val="001F2CC6"/>
    <w:pPr>
      <w:spacing w:after="240"/>
      <w:outlineLvl w:val="9"/>
    </w:pPr>
    <w:rPr>
      <w:noProof/>
    </w:rPr>
  </w:style>
  <w:style w:type="paragraph" w:styleId="Index2">
    <w:name w:val="index 2"/>
    <w:basedOn w:val="Normal"/>
    <w:next w:val="Normal"/>
    <w:semiHidden/>
    <w:rsid w:val="001F2CC6"/>
    <w:pPr>
      <w:tabs>
        <w:tab w:val="right" w:pos="4176"/>
      </w:tabs>
      <w:ind w:left="568" w:hanging="284"/>
    </w:pPr>
    <w:rPr>
      <w:rFonts w:ascii="Garamond" w:hAnsi="Garamond"/>
    </w:rPr>
  </w:style>
  <w:style w:type="paragraph" w:customStyle="1" w:styleId="Byline">
    <w:name w:val="Byline"/>
    <w:rsid w:val="001F2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CC6"/>
    <w:pPr>
      <w:tabs>
        <w:tab w:val="clear" w:pos="3600"/>
        <w:tab w:val="clear" w:pos="3958"/>
      </w:tabs>
      <w:jc w:val="right"/>
    </w:pPr>
  </w:style>
  <w:style w:type="paragraph" w:styleId="Caption">
    <w:name w:val="caption"/>
    <w:basedOn w:val="BodyText"/>
    <w:next w:val="Normal"/>
    <w:qFormat/>
    <w:rsid w:val="001F2CC6"/>
    <w:pPr>
      <w:framePr w:w="2268" w:hSpace="181" w:vSpace="181" w:wrap="around" w:vAnchor="text" w:hAnchor="page" w:x="1135" w:y="285" w:anchorLock="1"/>
    </w:pPr>
    <w:rPr>
      <w:i/>
    </w:rPr>
  </w:style>
  <w:style w:type="paragraph" w:customStyle="1" w:styleId="MiniTOCTitle">
    <w:name w:val="MiniTOCTitle"/>
    <w:basedOn w:val="Heading4"/>
    <w:rsid w:val="001F2CC6"/>
    <w:pPr>
      <w:spacing w:before="240"/>
      <w:outlineLvl w:val="9"/>
    </w:pPr>
    <w:rPr>
      <w:noProof/>
      <w:sz w:val="24"/>
    </w:rPr>
  </w:style>
  <w:style w:type="paragraph" w:customStyle="1" w:styleId="MiniTOCItem">
    <w:name w:val="MiniTOCItem"/>
    <w:basedOn w:val="ListBullet"/>
    <w:rsid w:val="001F2CC6"/>
    <w:pPr>
      <w:numPr>
        <w:numId w:val="0"/>
      </w:numPr>
      <w:tabs>
        <w:tab w:val="right" w:leader="dot" w:pos="6521"/>
      </w:tabs>
      <w:spacing w:before="0" w:after="0"/>
    </w:pPr>
  </w:style>
  <w:style w:type="paragraph" w:customStyle="1" w:styleId="TOFTitle">
    <w:name w:val="TOFTitle"/>
    <w:basedOn w:val="TOCTitle"/>
    <w:rsid w:val="001F2CC6"/>
  </w:style>
  <w:style w:type="paragraph" w:styleId="TableofFigures">
    <w:name w:val="table of figures"/>
    <w:basedOn w:val="Normal"/>
    <w:next w:val="Normal"/>
    <w:semiHidden/>
    <w:rsid w:val="001F2CC6"/>
    <w:pPr>
      <w:tabs>
        <w:tab w:val="right" w:leader="dot" w:pos="9072"/>
      </w:tabs>
      <w:ind w:left="970" w:hanging="403"/>
    </w:pPr>
    <w:rPr>
      <w:rFonts w:ascii="Times New Roman" w:hAnsi="Times New Roman"/>
      <w:b/>
    </w:rPr>
  </w:style>
  <w:style w:type="paragraph" w:styleId="ListNumber">
    <w:name w:val="List Number"/>
    <w:basedOn w:val="List"/>
    <w:rsid w:val="001F2CC6"/>
    <w:pPr>
      <w:numPr>
        <w:numId w:val="10"/>
      </w:numPr>
    </w:pPr>
  </w:style>
  <w:style w:type="character" w:customStyle="1" w:styleId="WingdingSymbols">
    <w:name w:val="Wingding Symbols"/>
    <w:rsid w:val="001F2CC6"/>
    <w:rPr>
      <w:rFonts w:ascii="Wingdings" w:hAnsi="Wingdings"/>
    </w:rPr>
  </w:style>
  <w:style w:type="paragraph" w:customStyle="1" w:styleId="TableHeading">
    <w:name w:val="Table Heading"/>
    <w:basedOn w:val="HeadingBase"/>
    <w:rsid w:val="001F2CC6"/>
    <w:pPr>
      <w:keepLines/>
      <w:pBdr>
        <w:bottom w:val="single" w:sz="6" w:space="1" w:color="918585"/>
      </w:pBdr>
      <w:spacing w:before="240"/>
    </w:pPr>
  </w:style>
  <w:style w:type="character" w:customStyle="1" w:styleId="HotSpot">
    <w:name w:val="HotSpot"/>
    <w:rsid w:val="001F2CC6"/>
    <w:rPr>
      <w:color w:val="0033CC"/>
      <w:u w:val="none"/>
    </w:rPr>
  </w:style>
  <w:style w:type="paragraph" w:customStyle="1" w:styleId="BodyTextRight">
    <w:name w:val="Body Text Right"/>
    <w:basedOn w:val="BodyText"/>
    <w:rsid w:val="001F2CC6"/>
    <w:pPr>
      <w:spacing w:before="0" w:after="0"/>
      <w:jc w:val="right"/>
    </w:pPr>
  </w:style>
  <w:style w:type="paragraph" w:styleId="Index3">
    <w:name w:val="index 3"/>
    <w:basedOn w:val="ListNumber2"/>
    <w:next w:val="Normal"/>
    <w:semiHidden/>
    <w:rsid w:val="001F2CC6"/>
    <w:pPr>
      <w:numPr>
        <w:numId w:val="0"/>
      </w:numPr>
      <w:tabs>
        <w:tab w:val="right" w:leader="dot" w:pos="4176"/>
      </w:tabs>
    </w:pPr>
  </w:style>
  <w:style w:type="paragraph" w:styleId="ListNumber2">
    <w:name w:val="List Number 2"/>
    <w:basedOn w:val="List2"/>
    <w:rsid w:val="001F2CC6"/>
    <w:pPr>
      <w:numPr>
        <w:numId w:val="9"/>
      </w:numPr>
      <w:tabs>
        <w:tab w:val="clear" w:pos="1060"/>
      </w:tabs>
    </w:pPr>
  </w:style>
  <w:style w:type="paragraph" w:customStyle="1" w:styleId="MarginNote">
    <w:name w:val="Margin Note"/>
    <w:basedOn w:val="BodyText"/>
    <w:rsid w:val="001F2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C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CC6"/>
    <w:rPr>
      <w:sz w:val="32"/>
    </w:rPr>
  </w:style>
  <w:style w:type="paragraph" w:customStyle="1" w:styleId="HeadingProcedure">
    <w:name w:val="Heading Procedure"/>
    <w:basedOn w:val="HeadingBase"/>
    <w:next w:val="Normal"/>
    <w:rsid w:val="001F2CC6"/>
    <w:pPr>
      <w:tabs>
        <w:tab w:val="left" w:pos="0"/>
      </w:tabs>
      <w:spacing w:before="120" w:after="60"/>
    </w:pPr>
    <w:rPr>
      <w:i/>
      <w:color w:val="918585"/>
      <w:sz w:val="22"/>
    </w:rPr>
  </w:style>
  <w:style w:type="paragraph" w:customStyle="1" w:styleId="TableBodyText">
    <w:name w:val="Table Body Text"/>
    <w:basedOn w:val="BodyText"/>
    <w:rsid w:val="001F2CC6"/>
    <w:pPr>
      <w:spacing w:before="60" w:after="60"/>
    </w:pPr>
  </w:style>
  <w:style w:type="paragraph" w:styleId="ListContinue">
    <w:name w:val="List Continue"/>
    <w:basedOn w:val="List"/>
    <w:rsid w:val="001F2CC6"/>
    <w:pPr>
      <w:ind w:firstLine="0"/>
    </w:pPr>
  </w:style>
  <w:style w:type="paragraph" w:customStyle="1" w:styleId="ListNote">
    <w:name w:val="List Note"/>
    <w:basedOn w:val="List"/>
    <w:rsid w:val="001F2CC6"/>
    <w:pPr>
      <w:pBdr>
        <w:top w:val="single" w:sz="6" w:space="2" w:color="918585"/>
        <w:bottom w:val="single" w:sz="6" w:space="2" w:color="918585"/>
      </w:pBdr>
      <w:tabs>
        <w:tab w:val="left" w:pos="1021"/>
      </w:tabs>
      <w:ind w:firstLine="0"/>
    </w:pPr>
  </w:style>
  <w:style w:type="paragraph" w:customStyle="1" w:styleId="Warning">
    <w:name w:val="Warning"/>
    <w:basedOn w:val="BodyText"/>
    <w:rsid w:val="001F2CC6"/>
    <w:pPr>
      <w:shd w:val="clear" w:color="auto" w:fill="D9D9D9"/>
      <w:tabs>
        <w:tab w:val="left" w:pos="992"/>
      </w:tabs>
      <w:ind w:left="119" w:right="119"/>
    </w:pPr>
    <w:rPr>
      <w:sz w:val="20"/>
    </w:rPr>
  </w:style>
  <w:style w:type="paragraph" w:customStyle="1" w:styleId="MarginIcons">
    <w:name w:val="Margin Icons"/>
    <w:basedOn w:val="BodyText"/>
    <w:rsid w:val="001F2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CC6"/>
    <w:rPr>
      <w:rFonts w:ascii="Courier New" w:hAnsi="Courier New"/>
    </w:rPr>
  </w:style>
  <w:style w:type="paragraph" w:customStyle="1" w:styleId="NoteBullet">
    <w:name w:val="Note Bullet"/>
    <w:basedOn w:val="Note"/>
    <w:rsid w:val="001F2CC6"/>
    <w:pPr>
      <w:tabs>
        <w:tab w:val="clear" w:pos="680"/>
      </w:tabs>
      <w:spacing w:before="60" w:after="60"/>
    </w:pPr>
  </w:style>
  <w:style w:type="paragraph" w:customStyle="1" w:styleId="SubHeading2">
    <w:name w:val="SubHeading2"/>
    <w:basedOn w:val="HeadingBase"/>
    <w:rsid w:val="001F2CC6"/>
    <w:pPr>
      <w:spacing w:before="240" w:after="60"/>
    </w:pPr>
    <w:rPr>
      <w:sz w:val="20"/>
    </w:rPr>
  </w:style>
  <w:style w:type="paragraph" w:customStyle="1" w:styleId="SubHeading1">
    <w:name w:val="SubHeading1"/>
    <w:basedOn w:val="HeadingBase"/>
    <w:rsid w:val="001F2CC6"/>
    <w:pPr>
      <w:spacing w:before="240" w:after="60"/>
    </w:pPr>
    <w:rPr>
      <w:color w:val="918585"/>
      <w:sz w:val="22"/>
    </w:rPr>
  </w:style>
  <w:style w:type="paragraph" w:customStyle="1" w:styleId="SideHeading">
    <w:name w:val="Side Heading"/>
    <w:basedOn w:val="HeadingBase"/>
    <w:rsid w:val="001F2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CC6"/>
    <w:pPr>
      <w:tabs>
        <w:tab w:val="num" w:pos="360"/>
      </w:tabs>
    </w:pPr>
  </w:style>
  <w:style w:type="paragraph" w:styleId="PlainText">
    <w:name w:val="Plain Text"/>
    <w:basedOn w:val="Normal"/>
    <w:link w:val="PlainTextChar"/>
    <w:rsid w:val="001F2CC6"/>
    <w:rPr>
      <w:sz w:val="20"/>
    </w:rPr>
  </w:style>
  <w:style w:type="character" w:customStyle="1" w:styleId="PlainTextChar">
    <w:name w:val="Plain Text Char"/>
    <w:basedOn w:val="DefaultParagraphFont"/>
    <w:link w:val="PlainText"/>
    <w:rsid w:val="001F2C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2CC6"/>
    <w:rPr>
      <w:b/>
      <w:smallCaps/>
    </w:rPr>
  </w:style>
  <w:style w:type="paragraph" w:customStyle="1" w:styleId="TableListNumber">
    <w:name w:val="Table List Number"/>
    <w:basedOn w:val="ListNumber"/>
    <w:rsid w:val="001F2CC6"/>
    <w:pPr>
      <w:numPr>
        <w:numId w:val="0"/>
      </w:numPr>
    </w:pPr>
  </w:style>
  <w:style w:type="paragraph" w:styleId="TOC4">
    <w:name w:val="toc 4"/>
    <w:basedOn w:val="TOCBase"/>
    <w:next w:val="Normal"/>
    <w:semiHidden/>
    <w:rsid w:val="001F2CC6"/>
    <w:pPr>
      <w:tabs>
        <w:tab w:val="right" w:leader="dot" w:pos="9071"/>
      </w:tabs>
      <w:ind w:left="1701"/>
    </w:pPr>
  </w:style>
  <w:style w:type="paragraph" w:customStyle="1" w:styleId="ListAlpha">
    <w:name w:val="List Alpha"/>
    <w:basedOn w:val="List"/>
    <w:rsid w:val="001F2CC6"/>
    <w:pPr>
      <w:numPr>
        <w:numId w:val="8"/>
      </w:numPr>
    </w:pPr>
  </w:style>
  <w:style w:type="paragraph" w:customStyle="1" w:styleId="ListAlpha2">
    <w:name w:val="List Alpha 2"/>
    <w:basedOn w:val="List2"/>
    <w:rsid w:val="001F2CC6"/>
    <w:pPr>
      <w:numPr>
        <w:numId w:val="7"/>
      </w:numPr>
    </w:pPr>
  </w:style>
  <w:style w:type="paragraph" w:styleId="List3">
    <w:name w:val="List 3"/>
    <w:basedOn w:val="BodyText"/>
    <w:rsid w:val="001F2CC6"/>
    <w:pPr>
      <w:tabs>
        <w:tab w:val="left" w:pos="1021"/>
      </w:tabs>
      <w:spacing w:before="60" w:after="60"/>
      <w:ind w:left="1020" w:hanging="340"/>
    </w:pPr>
  </w:style>
  <w:style w:type="paragraph" w:styleId="List4">
    <w:name w:val="List 4"/>
    <w:basedOn w:val="BodyText"/>
    <w:rsid w:val="001F2CC6"/>
    <w:pPr>
      <w:tabs>
        <w:tab w:val="left" w:pos="1361"/>
      </w:tabs>
      <w:spacing w:before="60" w:after="60"/>
      <w:ind w:left="1361" w:hanging="340"/>
    </w:pPr>
  </w:style>
  <w:style w:type="paragraph" w:styleId="List5">
    <w:name w:val="List 5"/>
    <w:basedOn w:val="BodyText"/>
    <w:rsid w:val="001F2CC6"/>
    <w:pPr>
      <w:tabs>
        <w:tab w:val="left" w:pos="1701"/>
      </w:tabs>
      <w:spacing w:before="60" w:after="60"/>
      <w:ind w:left="1701" w:hanging="340"/>
    </w:pPr>
  </w:style>
  <w:style w:type="paragraph" w:styleId="ListBullet3">
    <w:name w:val="List Bullet 3"/>
    <w:basedOn w:val="List3"/>
    <w:rsid w:val="001F2CC6"/>
    <w:pPr>
      <w:numPr>
        <w:numId w:val="14"/>
      </w:numPr>
      <w:tabs>
        <w:tab w:val="clear" w:pos="1021"/>
      </w:tabs>
      <w:ind w:left="1037" w:hanging="357"/>
    </w:pPr>
  </w:style>
  <w:style w:type="paragraph" w:styleId="ListBullet4">
    <w:name w:val="List Bullet 4"/>
    <w:basedOn w:val="List4"/>
    <w:rsid w:val="001F2CC6"/>
    <w:pPr>
      <w:numPr>
        <w:numId w:val="2"/>
      </w:numPr>
    </w:pPr>
  </w:style>
  <w:style w:type="paragraph" w:styleId="ListBullet5">
    <w:name w:val="List Bullet 5"/>
    <w:basedOn w:val="List5"/>
    <w:rsid w:val="001F2CC6"/>
    <w:pPr>
      <w:numPr>
        <w:numId w:val="3"/>
      </w:numPr>
    </w:pPr>
  </w:style>
  <w:style w:type="paragraph" w:styleId="ListContinue2">
    <w:name w:val="List Continue 2"/>
    <w:basedOn w:val="List2"/>
    <w:rsid w:val="001F2CC6"/>
    <w:pPr>
      <w:ind w:firstLine="0"/>
    </w:pPr>
  </w:style>
  <w:style w:type="paragraph" w:styleId="ListContinue3">
    <w:name w:val="List Continue 3"/>
    <w:basedOn w:val="List3"/>
    <w:rsid w:val="001F2CC6"/>
    <w:pPr>
      <w:ind w:left="1021" w:firstLine="0"/>
    </w:pPr>
  </w:style>
  <w:style w:type="paragraph" w:styleId="ListContinue4">
    <w:name w:val="List Continue 4"/>
    <w:basedOn w:val="List4"/>
    <w:rsid w:val="001F2CC6"/>
    <w:pPr>
      <w:ind w:firstLine="0"/>
    </w:pPr>
  </w:style>
  <w:style w:type="paragraph" w:styleId="ListContinue5">
    <w:name w:val="List Continue 5"/>
    <w:basedOn w:val="List5"/>
    <w:rsid w:val="001F2CC6"/>
    <w:pPr>
      <w:ind w:firstLine="0"/>
    </w:pPr>
  </w:style>
  <w:style w:type="paragraph" w:styleId="ListNumber3">
    <w:name w:val="List Number 3"/>
    <w:basedOn w:val="List3"/>
    <w:rsid w:val="001F2CC6"/>
    <w:pPr>
      <w:numPr>
        <w:numId w:val="4"/>
      </w:numPr>
    </w:pPr>
  </w:style>
  <w:style w:type="paragraph" w:styleId="ListNumber4">
    <w:name w:val="List Number 4"/>
    <w:basedOn w:val="List4"/>
    <w:rsid w:val="001F2CC6"/>
    <w:pPr>
      <w:numPr>
        <w:numId w:val="5"/>
      </w:numPr>
    </w:pPr>
  </w:style>
  <w:style w:type="paragraph" w:styleId="ListNumber5">
    <w:name w:val="List Number 5"/>
    <w:basedOn w:val="List5"/>
    <w:rsid w:val="001F2CC6"/>
    <w:pPr>
      <w:numPr>
        <w:numId w:val="6"/>
      </w:numPr>
    </w:pPr>
  </w:style>
  <w:style w:type="paragraph" w:styleId="BlockText">
    <w:name w:val="Block Text"/>
    <w:basedOn w:val="Normal"/>
    <w:rsid w:val="001F2CC6"/>
    <w:pPr>
      <w:spacing w:after="120"/>
      <w:ind w:left="1440" w:right="1440"/>
    </w:pPr>
  </w:style>
  <w:style w:type="character" w:customStyle="1" w:styleId="Subscript">
    <w:name w:val="Subscript"/>
    <w:basedOn w:val="DefaultParagraphFont"/>
    <w:rsid w:val="001F2CC6"/>
    <w:rPr>
      <w:sz w:val="16"/>
      <w:vertAlign w:val="subscript"/>
    </w:rPr>
  </w:style>
  <w:style w:type="character" w:customStyle="1" w:styleId="Superscript">
    <w:name w:val="Superscript"/>
    <w:basedOn w:val="DefaultParagraphFont"/>
    <w:rsid w:val="001F2CC6"/>
    <w:rPr>
      <w:sz w:val="16"/>
      <w:vertAlign w:val="superscript"/>
    </w:rPr>
  </w:style>
  <w:style w:type="character" w:customStyle="1" w:styleId="Symbols">
    <w:name w:val="Symbols"/>
    <w:basedOn w:val="DefaultParagraphFont"/>
    <w:rsid w:val="001F2CC6"/>
    <w:rPr>
      <w:rFonts w:ascii="Symbol" w:hAnsi="Symbol"/>
    </w:rPr>
  </w:style>
  <w:style w:type="character" w:customStyle="1" w:styleId="MenuOptions">
    <w:name w:val="Menu Options"/>
    <w:basedOn w:val="DefaultParagraphFont"/>
    <w:rsid w:val="001F2CC6"/>
    <w:rPr>
      <w:rFonts w:ascii="Arial Narrow" w:hAnsi="Arial Narrow"/>
      <w:smallCaps/>
    </w:rPr>
  </w:style>
  <w:style w:type="character" w:customStyle="1" w:styleId="Buttons">
    <w:name w:val="Buttons"/>
    <w:basedOn w:val="DefaultParagraphFont"/>
    <w:rsid w:val="001F2CC6"/>
    <w:rPr>
      <w:b/>
    </w:rPr>
  </w:style>
  <w:style w:type="character" w:customStyle="1" w:styleId="Underlined">
    <w:name w:val="Underlined"/>
    <w:basedOn w:val="DefaultParagraphFont"/>
    <w:rsid w:val="001F2CC6"/>
    <w:rPr>
      <w:u w:val="single"/>
    </w:rPr>
  </w:style>
  <w:style w:type="paragraph" w:customStyle="1" w:styleId="TableBodyTextRight">
    <w:name w:val="Table Body Text Right"/>
    <w:basedOn w:val="TableBodyText"/>
    <w:rsid w:val="001F2CC6"/>
    <w:pPr>
      <w:widowControl w:val="0"/>
      <w:autoSpaceDE w:val="0"/>
      <w:autoSpaceDN w:val="0"/>
      <w:adjustRightInd w:val="0"/>
      <w:jc w:val="right"/>
    </w:pPr>
    <w:rPr>
      <w:rFonts w:cs="Arial"/>
      <w:szCs w:val="18"/>
    </w:rPr>
  </w:style>
  <w:style w:type="paragraph" w:customStyle="1" w:styleId="CopyrightText">
    <w:name w:val="Copyright Text"/>
    <w:basedOn w:val="BodyText"/>
    <w:rsid w:val="001F2CC6"/>
    <w:rPr>
      <w:sz w:val="18"/>
    </w:rPr>
  </w:style>
  <w:style w:type="paragraph" w:customStyle="1" w:styleId="BodySmallRight">
    <w:name w:val="Body Small Right"/>
    <w:basedOn w:val="BodyTextRight"/>
    <w:rsid w:val="001F2CC6"/>
    <w:rPr>
      <w:sz w:val="18"/>
      <w:szCs w:val="18"/>
    </w:rPr>
  </w:style>
  <w:style w:type="paragraph" w:customStyle="1" w:styleId="MarginEdition">
    <w:name w:val="Margin Edition"/>
    <w:basedOn w:val="MarginNote"/>
    <w:rsid w:val="001F2CC6"/>
    <w:pPr>
      <w:spacing w:before="0" w:after="0"/>
    </w:pPr>
    <w:rPr>
      <w:rFonts w:ascii="Times New Roman" w:hAnsi="Times New Roman"/>
      <w:color w:val="999999"/>
    </w:rPr>
  </w:style>
  <w:style w:type="paragraph" w:customStyle="1" w:styleId="Spacer">
    <w:name w:val="Spacer"/>
    <w:basedOn w:val="Normal"/>
    <w:rsid w:val="001F2CC6"/>
    <w:rPr>
      <w:sz w:val="2"/>
      <w:szCs w:val="2"/>
    </w:rPr>
  </w:style>
  <w:style w:type="character" w:customStyle="1" w:styleId="Small">
    <w:name w:val="Small"/>
    <w:basedOn w:val="DefaultParagraphFont"/>
    <w:rsid w:val="001F2CC6"/>
    <w:rPr>
      <w:sz w:val="16"/>
    </w:rPr>
  </w:style>
  <w:style w:type="paragraph" w:customStyle="1" w:styleId="WideTable">
    <w:name w:val="Wide Table"/>
    <w:basedOn w:val="Normal"/>
    <w:rsid w:val="001F2CC6"/>
    <w:pPr>
      <w:ind w:left="-1418"/>
    </w:pPr>
    <w:rPr>
      <w:sz w:val="2"/>
      <w:szCs w:val="2"/>
    </w:rPr>
  </w:style>
  <w:style w:type="character" w:styleId="PageNumber">
    <w:name w:val="page number"/>
    <w:basedOn w:val="DefaultParagraphFont"/>
    <w:rsid w:val="001F2CC6"/>
  </w:style>
  <w:style w:type="paragraph" w:styleId="Quote">
    <w:name w:val="Quote"/>
    <w:basedOn w:val="Heading1"/>
    <w:link w:val="QuoteChar"/>
    <w:qFormat/>
    <w:rsid w:val="001F2CC6"/>
    <w:rPr>
      <w:b w:val="0"/>
      <w:sz w:val="72"/>
      <w:szCs w:val="72"/>
      <w:lang w:val="en-NZ"/>
    </w:rPr>
  </w:style>
  <w:style w:type="character" w:customStyle="1" w:styleId="QuoteChar">
    <w:name w:val="Quote Char"/>
    <w:basedOn w:val="DefaultParagraphFont"/>
    <w:link w:val="Quote"/>
    <w:rsid w:val="001F2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CC6"/>
    <w:pPr>
      <w:pageBreakBefore/>
    </w:pPr>
  </w:style>
  <w:style w:type="paragraph" w:customStyle="1" w:styleId="Border">
    <w:name w:val="Border"/>
    <w:basedOn w:val="Normal"/>
    <w:qFormat/>
    <w:rsid w:val="001F2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CC6"/>
    <w:rPr>
      <w:b/>
      <w:bCs/>
      <w:i/>
      <w:iCs/>
      <w:color w:val="auto"/>
    </w:rPr>
  </w:style>
  <w:style w:type="paragraph" w:styleId="IntenseQuote">
    <w:name w:val="Intense Quote"/>
    <w:basedOn w:val="Normal"/>
    <w:next w:val="Normal"/>
    <w:link w:val="IntenseQuoteChar"/>
    <w:uiPriority w:val="30"/>
    <w:qFormat/>
    <w:rsid w:val="001F2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C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2CC6"/>
    <w:rPr>
      <w:smallCaps/>
      <w:color w:val="auto"/>
      <w:u w:val="single"/>
    </w:rPr>
  </w:style>
  <w:style w:type="character" w:styleId="IntenseReference">
    <w:name w:val="Intense Reference"/>
    <w:basedOn w:val="DefaultParagraphFont"/>
    <w:uiPriority w:val="32"/>
    <w:qFormat/>
    <w:rsid w:val="001F2CC6"/>
    <w:rPr>
      <w:b/>
      <w:bCs/>
      <w:smallCaps/>
      <w:color w:val="auto"/>
      <w:spacing w:val="5"/>
      <w:u w:val="single"/>
    </w:rPr>
  </w:style>
  <w:style w:type="paragraph" w:customStyle="1" w:styleId="2ColumnHeading">
    <w:name w:val="2Column Heading"/>
    <w:basedOn w:val="BodyText"/>
    <w:qFormat/>
    <w:rsid w:val="001F2CC6"/>
    <w:pPr>
      <w:spacing w:after="60"/>
      <w:ind w:left="-2268"/>
    </w:pPr>
    <w:rPr>
      <w:b/>
    </w:rPr>
  </w:style>
  <w:style w:type="paragraph" w:customStyle="1" w:styleId="Heading1TOC">
    <w:name w:val="Heading1 TOC"/>
    <w:basedOn w:val="Normal"/>
    <w:qFormat/>
    <w:rsid w:val="001F2CC6"/>
    <w:pPr>
      <w:spacing w:before="240" w:after="120"/>
    </w:pPr>
    <w:rPr>
      <w:rFonts w:ascii="Times New Roman" w:hAnsi="Times New Roman"/>
      <w:b/>
      <w:sz w:val="32"/>
    </w:rPr>
  </w:style>
  <w:style w:type="paragraph" w:customStyle="1" w:styleId="Heading2TOC">
    <w:name w:val="Heading2 TOC"/>
    <w:basedOn w:val="Normal"/>
    <w:qFormat/>
    <w:rsid w:val="001F2CC6"/>
    <w:pPr>
      <w:spacing w:before="240" w:after="60"/>
    </w:pPr>
    <w:rPr>
      <w:rFonts w:ascii="Times New Roman" w:hAnsi="Times New Roman"/>
      <w:b/>
      <w:sz w:val="28"/>
    </w:rPr>
  </w:style>
  <w:style w:type="character" w:customStyle="1" w:styleId="Underline">
    <w:name w:val="Underline"/>
    <w:basedOn w:val="DefaultParagraphFont"/>
    <w:qFormat/>
    <w:rsid w:val="001F2CC6"/>
    <w:rPr>
      <w:u w:val="single"/>
    </w:rPr>
  </w:style>
  <w:style w:type="character" w:customStyle="1" w:styleId="BoldandItalics">
    <w:name w:val="Bold and Italics"/>
    <w:qFormat/>
    <w:rsid w:val="001F2CC6"/>
    <w:rPr>
      <w:b/>
      <w:i/>
      <w:u w:val="none"/>
    </w:rPr>
  </w:style>
  <w:style w:type="paragraph" w:styleId="BalloonText">
    <w:name w:val="Balloon Text"/>
    <w:basedOn w:val="Normal"/>
    <w:link w:val="BalloonTextChar"/>
    <w:rsid w:val="001F2CC6"/>
    <w:rPr>
      <w:rFonts w:ascii="Tahoma" w:hAnsi="Tahoma" w:cs="Tahoma"/>
      <w:sz w:val="16"/>
      <w:szCs w:val="16"/>
    </w:rPr>
  </w:style>
  <w:style w:type="character" w:customStyle="1" w:styleId="BalloonTextChar">
    <w:name w:val="Balloon Text Char"/>
    <w:basedOn w:val="DefaultParagraphFont"/>
    <w:link w:val="BalloonText"/>
    <w:rsid w:val="001F2C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C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C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8028</Characters>
  <Application>Microsoft Office Word</Application>
  <DocSecurity>0</DocSecurity>
  <Lines>292</Lines>
  <Paragraphs>151</Paragraphs>
  <ScaleCrop>false</ScaleCrop>
  <Company>Author-it Software Corporation Ltd.</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PMC557091A Design a refractory lining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2012-05-26T19:12:00Z</dcterms:created>
  <dcterms:modified xsi:type="dcterms:W3CDTF">2012-05-26T19:12:00Z</dcterms:modified>
</cp:coreProperties>
</file>