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D88" w:rsidP="00EE1D88">
      <w:pPr>
        <w:pStyle w:val="Title"/>
      </w:pPr>
      <w:r>
        <w:fldChar w:fldCharType="begin"/>
      </w:r>
      <w:r>
        <w:instrText xml:space="preserve"> TITLE   \* MERGEFORMAT </w:instrText>
      </w:r>
      <w:r>
        <w:fldChar w:fldCharType="separate"/>
      </w:r>
      <w:r>
        <w:t>PMC557090A Select refractory materials for an application</w:t>
      </w:r>
      <w:r>
        <w:fldChar w:fldCharType="end"/>
      </w:r>
    </w:p>
    <w:p w:rsidR="00EE1D88" w:rsidP="00EE1D88">
      <w:pPr>
        <w:pStyle w:val="Version"/>
        <w:sectPr w:rsidSect="00DD32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323C" w:rsidP="00DD323C">
      <w:pPr>
        <w:pStyle w:val="SuperHeading"/>
      </w:pPr>
      <w:r w:rsidRPr="00DD323C">
        <w:t>PMC557090A Select refractory materials for an application</w:t>
      </w:r>
    </w:p>
    <w:p w:rsidR="00000000" w:rsidRPr="00DD323C" w:rsidP="00DD323C">
      <w:pPr>
        <w:pStyle w:val="SuperHeading"/>
      </w:pPr>
    </w:p>
    <w:p w:rsidR="00000000" w:rsidRPr="00DD323C" w:rsidP="00DD323C">
      <w:pPr>
        <w:pStyle w:val="Heading1"/>
      </w:pPr>
      <w:bookmarkStart w:id="1" w:name="O_110751"/>
      <w:bookmarkEnd w:id="1"/>
      <w:r w:rsidRPr="00DD323C">
        <w:t>Modification History</w:t>
      </w:r>
    </w:p>
    <w:p w:rsidR="00000000" w:rsidRPr="00DD323C" w:rsidP="00DD323C">
      <w:pPr>
        <w:pStyle w:val="BodyText"/>
      </w:pPr>
      <w:r w:rsidRPr="00DD323C">
        <w:t>Not applicable.</w:t>
      </w:r>
    </w:p>
    <w:p w:rsidR="00000000" w:rsidRPr="00DD323C" w:rsidP="00DD323C">
      <w:pPr>
        <w:pStyle w:val="AllowPageBreak"/>
      </w:pPr>
    </w:p>
    <w:p w:rsidR="00000000" w:rsidRPr="00DD323C" w:rsidP="00DD323C">
      <w:pPr>
        <w:pStyle w:val="Heading1"/>
      </w:pPr>
      <w:bookmarkStart w:id="2" w:name="O_110752"/>
      <w:bookmarkEnd w:id="2"/>
      <w:r w:rsidRPr="00DD323C">
        <w:t>Unit Descriptor</w:t>
      </w:r>
    </w:p>
    <w:tbl>
      <w:tblPr>
        <w:tblW w:w="0" w:type="auto"/>
        <w:tblLayout w:type="fixed"/>
        <w:tblCellMar>
          <w:left w:w="62" w:type="dxa"/>
          <w:right w:w="62" w:type="dxa"/>
        </w:tblCellMar>
        <w:tblLook w:val="0000"/>
      </w:tblPr>
      <w:tblGrid>
        <w:gridCol w:w="2668"/>
        <w:gridCol w:w="5854"/>
      </w:tblGrid>
      <w:tr w:rsidTr="00EE1D8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This unit of competency covers confirming the application and conditions of use of the prop</w:t>
            </w:r>
            <w:r w:rsidRPr="00DD323C">
              <w:t>osed refractory and then selecting the most appropriate materials for that use. It is intended for refractory experts who will most likely also have some management responsibility.</w:t>
            </w:r>
          </w:p>
        </w:tc>
      </w:tr>
    </w:tbl>
    <w:p w:rsidR="00000000" w:rsidRPr="00DD323C" w:rsidP="00DD323C">
      <w:pPr>
        <w:pStyle w:val="BodyText"/>
      </w:pPr>
    </w:p>
    <w:p w:rsidR="00000000" w:rsidRPr="00DD323C" w:rsidP="00DD323C">
      <w:pPr>
        <w:pStyle w:val="AllowPageBreak"/>
      </w:pPr>
    </w:p>
    <w:p w:rsidR="00000000" w:rsidRPr="00DD323C" w:rsidP="00DD323C">
      <w:pPr>
        <w:pStyle w:val="Heading1"/>
      </w:pPr>
      <w:bookmarkStart w:id="3" w:name="O_110753"/>
      <w:bookmarkEnd w:id="3"/>
      <w:r w:rsidRPr="00DD323C">
        <w:t>Application of the Unit</w:t>
      </w:r>
    </w:p>
    <w:tbl>
      <w:tblPr>
        <w:tblW w:w="0" w:type="auto"/>
        <w:tblLayout w:type="fixed"/>
        <w:tblCellMar>
          <w:left w:w="62" w:type="dxa"/>
          <w:right w:w="62" w:type="dxa"/>
        </w:tblCellMar>
        <w:tblLook w:val="0000"/>
      </w:tblPr>
      <w:tblGrid>
        <w:gridCol w:w="2746"/>
        <w:gridCol w:w="5776"/>
      </w:tblGrid>
      <w:tr w:rsidTr="00EE1D88">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This unit of competency requires the application of knowledge about refractory properties and uses to the selection of an appropriate refractory material, or combination of materials for a specified end use. This unit does not involve the design of the ref</w:t>
            </w:r>
            <w:r w:rsidRPr="00DD323C">
              <w:t xml:space="preserve">ractory lining which is covered by </w:t>
            </w:r>
            <w:r w:rsidRPr="00DD323C">
              <w:rPr>
                <w:rStyle w:val="Emphasis"/>
              </w:rPr>
              <w:t>PMC557091A Design a refractory lining</w:t>
            </w:r>
            <w:r w:rsidRPr="00DD323C">
              <w:t>. The units are obviously related and it may be appropriate to consider both concurrently.</w:t>
            </w:r>
          </w:p>
          <w:p w:rsidR="00000000" w:rsidRPr="00DD323C" w:rsidP="00DD323C">
            <w:pPr>
              <w:pStyle w:val="BodyText"/>
            </w:pPr>
            <w:r w:rsidRPr="00DD323C">
              <w:t>This unit applies to individuals who will be designing a ref</w:t>
            </w:r>
            <w:r w:rsidRPr="00DD323C">
              <w:t>ractory installation or component and may also be monitoring the installation of the refractory. They may be working in liaison with other refractory specialists or they may be the sole refractory specialist for this job/in their organisation. They will ty</w:t>
            </w:r>
            <w:r w:rsidRPr="00DD323C">
              <w:t>pically be liaising with a range of other technical experts as well as management and maybe accounts.</w:t>
            </w:r>
          </w:p>
          <w:p w:rsidR="00000000" w:rsidRPr="00DD323C" w:rsidP="00DD323C">
            <w:pPr>
              <w:pStyle w:val="BodyText"/>
            </w:pPr>
            <w:r w:rsidRPr="00DD323C">
              <w:t>This unit may apply to individuals working for an organisation which supplies and installs refractories, is a refractory consulting organisation or a clie</w:t>
            </w:r>
            <w:r w:rsidRPr="00DD323C">
              <w:t>nt organisation which buys and uses the refractory.</w:t>
            </w:r>
          </w:p>
        </w:tc>
      </w:tr>
    </w:tbl>
    <w:p w:rsidR="00000000" w:rsidRPr="00DD323C" w:rsidP="00DD323C">
      <w:pPr>
        <w:pStyle w:val="BodyText"/>
      </w:pPr>
    </w:p>
    <w:p w:rsidR="00000000" w:rsidRPr="00DD323C" w:rsidP="00DD323C">
      <w:pPr>
        <w:pStyle w:val="AllowPageBreak"/>
      </w:pPr>
    </w:p>
    <w:p w:rsidR="00000000" w:rsidRPr="00DD323C" w:rsidP="00DD323C">
      <w:pPr>
        <w:pStyle w:val="Heading1"/>
      </w:pPr>
      <w:bookmarkStart w:id="4" w:name="O_110754"/>
      <w:bookmarkEnd w:id="4"/>
      <w:r w:rsidRPr="00DD323C">
        <w:t>Licensing/Regulatory Information</w:t>
      </w:r>
    </w:p>
    <w:p w:rsidR="00000000" w:rsidRPr="00DD323C" w:rsidP="00DD323C">
      <w:pPr>
        <w:pStyle w:val="BodyText"/>
      </w:pPr>
      <w:r w:rsidRPr="00DD323C">
        <w:t>Not applicable.</w:t>
      </w:r>
    </w:p>
    <w:p w:rsidR="00000000" w:rsidRPr="00DD323C" w:rsidP="00DD323C">
      <w:pPr>
        <w:pStyle w:val="AllowPageBreak"/>
      </w:pPr>
    </w:p>
    <w:p w:rsidR="00000000" w:rsidRPr="00DD323C" w:rsidP="00DD323C">
      <w:pPr>
        <w:pStyle w:val="Heading1"/>
      </w:pPr>
      <w:bookmarkStart w:id="5" w:name="O_110756"/>
      <w:bookmarkEnd w:id="5"/>
      <w:r w:rsidRPr="00DD323C">
        <w:t>Pre-Requisites</w:t>
      </w:r>
    </w:p>
    <w:tbl>
      <w:tblPr>
        <w:tblW w:w="0" w:type="auto"/>
        <w:tblLayout w:type="fixed"/>
        <w:tblCellMar>
          <w:left w:w="62" w:type="dxa"/>
          <w:right w:w="62" w:type="dxa"/>
        </w:tblCellMar>
        <w:tblLook w:val="0000"/>
      </w:tblPr>
      <w:tblGrid>
        <w:gridCol w:w="2775"/>
        <w:gridCol w:w="1295"/>
        <w:gridCol w:w="4452"/>
      </w:tblGrid>
      <w:tr w:rsidTr="00EE1D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p>
        </w:tc>
      </w:tr>
      <w:tr w:rsidTr="00EE1D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p>
        </w:tc>
      </w:tr>
      <w:tr w:rsidTr="00EE1D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p>
        </w:tc>
      </w:tr>
    </w:tbl>
    <w:p w:rsidR="00000000" w:rsidRPr="00DD323C" w:rsidP="00DD323C">
      <w:pPr>
        <w:pStyle w:val="BodyText"/>
      </w:pPr>
    </w:p>
    <w:p w:rsidR="00000000" w:rsidRPr="00DD323C" w:rsidP="00DD323C">
      <w:pPr>
        <w:pStyle w:val="AllowPageBreak"/>
      </w:pPr>
    </w:p>
    <w:p w:rsidR="00000000" w:rsidRPr="00DD323C" w:rsidP="00DD323C">
      <w:pPr>
        <w:pStyle w:val="Heading1"/>
      </w:pPr>
      <w:bookmarkStart w:id="6" w:name="O_110755"/>
      <w:bookmarkEnd w:id="6"/>
      <w:r w:rsidRPr="00DD323C">
        <w:t>Employability Skills Information</w:t>
      </w:r>
    </w:p>
    <w:tbl>
      <w:tblPr>
        <w:tblW w:w="0" w:type="auto"/>
        <w:tblLayout w:type="fixed"/>
        <w:tblCellMar>
          <w:left w:w="62" w:type="dxa"/>
          <w:right w:w="62" w:type="dxa"/>
        </w:tblCellMar>
        <w:tblLook w:val="0000"/>
      </w:tblPr>
      <w:tblGrid>
        <w:gridCol w:w="2802"/>
        <w:gridCol w:w="5720"/>
      </w:tblGrid>
      <w:tr w:rsidTr="00EE1D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This unit contains employability skills.</w:t>
            </w:r>
          </w:p>
        </w:tc>
      </w:tr>
    </w:tbl>
    <w:p w:rsidR="00000000" w:rsidRPr="00DD323C" w:rsidP="00DD323C">
      <w:pPr>
        <w:pStyle w:val="BodyText"/>
      </w:pPr>
    </w:p>
    <w:p w:rsidR="00000000" w:rsidRPr="00DD323C" w:rsidP="00DD323C">
      <w:pPr>
        <w:pStyle w:val="AllowPageBreak"/>
      </w:pPr>
    </w:p>
    <w:p w:rsidR="00000000" w:rsidRPr="00DD323C" w:rsidP="00DD323C">
      <w:pPr>
        <w:pStyle w:val="Heading1"/>
      </w:pPr>
      <w:bookmarkStart w:id="7" w:name="O_110757"/>
      <w:bookmarkEnd w:id="7"/>
      <w:r w:rsidRPr="00DD323C">
        <w:t>Elements and Performance Criteria Pre-Content</w:t>
      </w:r>
    </w:p>
    <w:tbl>
      <w:tblPr>
        <w:tblW w:w="0" w:type="auto"/>
        <w:tblLayout w:type="fixed"/>
        <w:tblCellMar>
          <w:left w:w="62" w:type="dxa"/>
          <w:right w:w="62" w:type="dxa"/>
        </w:tblCellMar>
        <w:tblLook w:val="0000"/>
      </w:tblPr>
      <w:tblGrid>
        <w:gridCol w:w="2606"/>
        <w:gridCol w:w="5916"/>
      </w:tblGrid>
      <w:tr w:rsidTr="00EE1D88">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Performance criteria describe the performance needed to demonstrate achievement of t</w:t>
            </w:r>
            <w:r w:rsidRPr="00DD323C">
              <w:t>he element. Assessment of performance is to be consistent with the evidence guide.</w:t>
            </w:r>
          </w:p>
        </w:tc>
      </w:tr>
    </w:tbl>
    <w:p w:rsidR="00000000" w:rsidRPr="00DD323C" w:rsidP="00DD323C">
      <w:pPr>
        <w:pStyle w:val="BodyText"/>
      </w:pPr>
    </w:p>
    <w:p w:rsidR="00000000" w:rsidRPr="00DD323C" w:rsidP="00DD323C">
      <w:pPr>
        <w:pStyle w:val="AllowPageBreak"/>
      </w:pPr>
    </w:p>
    <w:p w:rsidR="00000000" w:rsidRPr="00DD323C" w:rsidP="00DD323C">
      <w:pPr>
        <w:pStyle w:val="Heading1"/>
      </w:pPr>
      <w:bookmarkStart w:id="8" w:name="O_110758"/>
      <w:bookmarkEnd w:id="8"/>
      <w:r w:rsidRPr="00DD323C">
        <w:t>Elements and Performance Criteria</w:t>
      </w:r>
    </w:p>
    <w:tbl>
      <w:tblPr>
        <w:tblW w:w="0" w:type="auto"/>
        <w:tblLayout w:type="fixed"/>
        <w:tblCellMar>
          <w:left w:w="62" w:type="dxa"/>
          <w:right w:w="62" w:type="dxa"/>
        </w:tblCellMar>
        <w:tblLook w:val="0000"/>
      </w:tblPr>
      <w:tblGrid>
        <w:gridCol w:w="2606"/>
        <w:gridCol w:w="5916"/>
      </w:tblGrid>
      <w:tr w:rsidTr="00EE1D88">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t>PERFORMANCE CRITERIA</w:t>
            </w:r>
          </w:p>
        </w:tc>
      </w:tr>
      <w:tr w:rsidTr="00EE1D88">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List"/>
              <w:rPr>
                <w:lang w:val="en-NZ"/>
              </w:rPr>
            </w:pPr>
            <w:r w:rsidRPr="00DD323C">
              <w:t>1.</w:t>
            </w:r>
            <w:r w:rsidRPr="00DD323C">
              <w:tab/>
              <w:t>Confirm required end use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List2"/>
            </w:pPr>
            <w:r w:rsidRPr="00DD323C">
              <w:t>1.1.</w:t>
            </w:r>
            <w:r w:rsidRPr="00DD323C">
              <w:tab/>
              <w:t>Liaise with relevant stakeholders</w:t>
            </w:r>
          </w:p>
          <w:p w:rsidR="00000000" w:rsidRPr="00DD323C" w:rsidP="00DD323C">
            <w:pPr>
              <w:pStyle w:val="List2"/>
            </w:pPr>
            <w:r w:rsidRPr="00DD323C">
              <w:t>1.2.</w:t>
            </w:r>
            <w:r w:rsidRPr="00DD323C">
              <w:tab/>
            </w:r>
            <w:r w:rsidRPr="00DD323C">
              <w:t>Confirm the end use conditions for the refractory</w:t>
            </w:r>
          </w:p>
          <w:p w:rsidR="00000000" w:rsidRPr="00DD323C" w:rsidP="00DD323C">
            <w:pPr>
              <w:pStyle w:val="List2"/>
            </w:pPr>
            <w:r w:rsidRPr="00DD323C">
              <w:t>1.3.</w:t>
            </w:r>
            <w:r w:rsidRPr="00DD323C">
              <w:tab/>
              <w:t>Identify discrepancies or conflicts in requirements</w:t>
            </w:r>
          </w:p>
          <w:p w:rsidR="00000000" w:rsidP="00DD323C">
            <w:pPr>
              <w:pStyle w:val="List2"/>
              <w:rPr>
                <w:lang w:val="en-NZ"/>
              </w:rPr>
            </w:pPr>
            <w:r w:rsidRPr="00DD323C">
              <w:t>1.4.</w:t>
            </w:r>
            <w:r w:rsidRPr="00DD323C">
              <w:tab/>
              <w:t>Negotiate a consistent set of requirements for the refractory material</w:t>
            </w:r>
          </w:p>
        </w:tc>
      </w:tr>
      <w:tr w:rsidTr="00EE1D88">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List"/>
              <w:rPr>
                <w:lang w:val="en-NZ"/>
              </w:rPr>
            </w:pPr>
            <w:r w:rsidRPr="00DD323C">
              <w:t>2.</w:t>
            </w:r>
            <w:r w:rsidRPr="00DD323C">
              <w:tab/>
              <w:t>Shortlist appropriate refractory materials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List2"/>
            </w:pPr>
            <w:r w:rsidRPr="00DD323C">
              <w:t>2.1.</w:t>
            </w:r>
            <w:r w:rsidRPr="00DD323C">
              <w:tab/>
              <w:t>Compare the propertie</w:t>
            </w:r>
            <w:r w:rsidRPr="00DD323C">
              <w:t xml:space="preserve">s of refractory materials with the set of requirements </w:t>
            </w:r>
          </w:p>
          <w:p w:rsidR="00000000" w:rsidRPr="00DD323C" w:rsidP="00DD323C">
            <w:pPr>
              <w:pStyle w:val="List2"/>
            </w:pPr>
            <w:r w:rsidRPr="00DD323C">
              <w:t>2.2.</w:t>
            </w:r>
            <w:r w:rsidRPr="00DD323C">
              <w:tab/>
              <w:t>Identify situations where the use of more than one material may be desirable</w:t>
            </w:r>
          </w:p>
          <w:p w:rsidR="00000000" w:rsidRPr="00DD323C" w:rsidP="00DD323C">
            <w:pPr>
              <w:pStyle w:val="List2"/>
            </w:pPr>
            <w:r w:rsidRPr="00DD323C">
              <w:t>2.3.</w:t>
            </w:r>
            <w:r w:rsidRPr="00DD323C">
              <w:tab/>
              <w:t>Rank possible materials solutions</w:t>
            </w:r>
          </w:p>
          <w:p w:rsidR="00000000" w:rsidRPr="00DD323C" w:rsidP="00DD323C">
            <w:pPr>
              <w:pStyle w:val="List2"/>
            </w:pPr>
            <w:r w:rsidRPr="00DD323C">
              <w:t>2.4.</w:t>
            </w:r>
            <w:r w:rsidRPr="00DD323C">
              <w:tab/>
              <w:t>Identify health, safety and environment (HSE) risks of top ranked possible</w:t>
            </w:r>
            <w:r w:rsidRPr="00DD323C">
              <w:t xml:space="preserve"> material solutions</w:t>
            </w:r>
          </w:p>
          <w:p w:rsidR="00000000" w:rsidP="00DD323C">
            <w:pPr>
              <w:pStyle w:val="List2"/>
              <w:rPr>
                <w:lang w:val="en-NZ"/>
              </w:rPr>
            </w:pPr>
            <w:r w:rsidRPr="00DD323C">
              <w:t>2.5.</w:t>
            </w:r>
            <w:r w:rsidRPr="00DD323C">
              <w:tab/>
              <w:t>Estimate the cost of top ranked possible material solutions</w:t>
            </w:r>
          </w:p>
        </w:tc>
      </w:tr>
      <w:tr w:rsidTr="00EE1D88">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List"/>
              <w:rPr>
                <w:lang w:val="en-NZ"/>
              </w:rPr>
            </w:pPr>
            <w:r w:rsidRPr="00DD323C">
              <w:t>3.</w:t>
            </w:r>
            <w:r w:rsidRPr="00DD323C">
              <w:tab/>
              <w:t>Recommend a refractory material/ combination of refractory materials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List2"/>
            </w:pPr>
            <w:r w:rsidRPr="00DD323C">
              <w:t>3.1.</w:t>
            </w:r>
            <w:r w:rsidRPr="00DD323C">
              <w:tab/>
              <w:t>Liaise with relevant stakeholders</w:t>
            </w:r>
          </w:p>
          <w:p w:rsidR="00000000" w:rsidRPr="00DD323C" w:rsidP="00DD323C">
            <w:pPr>
              <w:pStyle w:val="List2"/>
            </w:pPr>
            <w:r w:rsidRPr="00DD323C">
              <w:t>3.2.</w:t>
            </w:r>
            <w:r w:rsidRPr="00DD323C">
              <w:tab/>
            </w:r>
            <w:r w:rsidRPr="00DD323C">
              <w:t>Determine installation, repair or removal issues of relevance to the material selection</w:t>
            </w:r>
          </w:p>
          <w:p w:rsidR="00000000" w:rsidRPr="00DD323C" w:rsidP="00DD323C">
            <w:pPr>
              <w:pStyle w:val="List2"/>
            </w:pPr>
            <w:r w:rsidRPr="00DD323C">
              <w:t>3.3.</w:t>
            </w:r>
            <w:r w:rsidRPr="00DD323C">
              <w:tab/>
              <w:t>Review short list ranking</w:t>
            </w:r>
          </w:p>
          <w:p w:rsidR="00000000" w:rsidP="00DD323C">
            <w:pPr>
              <w:pStyle w:val="List2"/>
              <w:rPr>
                <w:lang w:val="en-NZ"/>
              </w:rPr>
            </w:pPr>
            <w:r w:rsidRPr="00DD323C">
              <w:t>3.4.</w:t>
            </w:r>
            <w:r w:rsidRPr="00DD323C">
              <w:tab/>
              <w:t>Recommend optimum material/combination of materials for the end use</w:t>
            </w:r>
          </w:p>
        </w:tc>
      </w:tr>
      <w:tr w:rsidTr="00EE1D88">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List"/>
              <w:rPr>
                <w:lang w:val="en-NZ"/>
              </w:rPr>
            </w:pPr>
            <w:r w:rsidRPr="00DD323C">
              <w:t>4.</w:t>
            </w:r>
            <w:r w:rsidRPr="00DD323C">
              <w:tab/>
              <w:t>Develop technical specification for recommended materials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List2"/>
            </w:pPr>
            <w:r w:rsidRPr="00DD323C">
              <w:t>4.</w:t>
            </w:r>
            <w:r w:rsidRPr="00DD323C">
              <w:t>1.</w:t>
            </w:r>
            <w:r w:rsidRPr="00DD323C">
              <w:tab/>
              <w:t>Determine suitable format for specification</w:t>
            </w:r>
          </w:p>
          <w:p w:rsidR="00000000" w:rsidRPr="00DD323C" w:rsidP="00DD323C">
            <w:pPr>
              <w:pStyle w:val="List2"/>
            </w:pPr>
            <w:r w:rsidRPr="00DD323C">
              <w:t>4.2.</w:t>
            </w:r>
            <w:r w:rsidRPr="00DD323C">
              <w:tab/>
              <w:t>Prepare specification</w:t>
            </w:r>
          </w:p>
          <w:p w:rsidR="00000000" w:rsidRPr="00DD323C" w:rsidP="00DD323C">
            <w:pPr>
              <w:pStyle w:val="List2"/>
            </w:pPr>
            <w:r w:rsidRPr="00DD323C">
              <w:t>4.3.</w:t>
            </w:r>
            <w:r w:rsidRPr="00DD323C">
              <w:tab/>
              <w:t>Review specification with refractory designers and installer</w:t>
            </w:r>
          </w:p>
          <w:p w:rsidR="00000000" w:rsidRPr="00DD323C" w:rsidP="00DD323C">
            <w:pPr>
              <w:pStyle w:val="List2"/>
            </w:pPr>
            <w:r w:rsidRPr="00DD323C">
              <w:t>4.4.</w:t>
            </w:r>
            <w:r w:rsidRPr="00DD323C">
              <w:tab/>
              <w:t>Modify specification if required</w:t>
            </w:r>
          </w:p>
          <w:p w:rsidR="00000000" w:rsidRPr="00DD323C" w:rsidP="00DD323C">
            <w:pPr>
              <w:pStyle w:val="List2"/>
            </w:pPr>
            <w:r w:rsidRPr="00DD323C">
              <w:t>4.5.</w:t>
            </w:r>
            <w:r w:rsidRPr="00DD323C">
              <w:tab/>
              <w:t>Publish specification in required format to required people/organisations</w:t>
            </w:r>
          </w:p>
        </w:tc>
      </w:tr>
    </w:tbl>
    <w:p w:rsidR="00000000" w:rsidRPr="00DD323C" w:rsidP="00DD323C">
      <w:pPr>
        <w:pStyle w:val="BodyText"/>
      </w:pPr>
    </w:p>
    <w:p w:rsidR="00000000" w:rsidRPr="00DD323C" w:rsidP="00DD323C">
      <w:pPr>
        <w:pStyle w:val="AllowPageBreak"/>
      </w:pPr>
    </w:p>
    <w:p w:rsidR="00000000" w:rsidRPr="00DD323C" w:rsidP="00DD323C">
      <w:pPr>
        <w:pStyle w:val="Heading1"/>
      </w:pPr>
      <w:bookmarkStart w:id="9" w:name="O_110759"/>
      <w:bookmarkEnd w:id="9"/>
      <w:r w:rsidRPr="00DD323C">
        <w:t>Required Skills and Knowledge</w:t>
      </w:r>
    </w:p>
    <w:tbl>
      <w:tblPr>
        <w:tblW w:w="0" w:type="auto"/>
        <w:tblLayout w:type="fixed"/>
        <w:tblCellMar>
          <w:left w:w="62" w:type="dxa"/>
          <w:right w:w="62" w:type="dxa"/>
        </w:tblCellMar>
        <w:tblLook w:val="0000"/>
      </w:tblPr>
      <w:tblGrid>
        <w:gridCol w:w="8522"/>
      </w:tblGrid>
      <w:tr w:rsidTr="00EE1D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REQUIRED SKILLS AND KNOWLEDGE</w:t>
            </w:r>
          </w:p>
        </w:tc>
      </w:tr>
      <w:tr w:rsidTr="00EE1D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t>This section describes the skills and knowledge required for this unit.</w:t>
            </w:r>
          </w:p>
        </w:tc>
      </w:tr>
      <w:tr w:rsidTr="00EE1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Required skills</w:t>
            </w:r>
          </w:p>
        </w:tc>
      </w:tr>
      <w:tr w:rsidTr="00EE1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Required skills include:</w:t>
            </w:r>
          </w:p>
          <w:p w:rsidR="00000000" w:rsidRPr="00DD323C" w:rsidP="00DD323C">
            <w:pPr>
              <w:pStyle w:val="ListBullet"/>
            </w:pPr>
            <w:r w:rsidRPr="00DD323C">
              <w:t>solving problems</w:t>
            </w:r>
          </w:p>
          <w:p w:rsidR="00000000" w:rsidRPr="00DD323C" w:rsidP="00DD323C">
            <w:pPr>
              <w:pStyle w:val="ListBullet"/>
            </w:pPr>
            <w:r w:rsidRPr="00DD323C">
              <w:t>communicating at all levels</w:t>
            </w:r>
          </w:p>
          <w:p w:rsidR="00000000" w:rsidRPr="00DD323C" w:rsidP="00DD323C">
            <w:pPr>
              <w:pStyle w:val="ListBullet"/>
            </w:pPr>
            <w:r w:rsidRPr="00DD323C">
              <w:t>using organisation knowledge system</w:t>
            </w:r>
          </w:p>
          <w:p w:rsidR="00000000" w:rsidRPr="00DD323C" w:rsidP="00DD323C">
            <w:pPr>
              <w:pStyle w:val="ListBullet"/>
            </w:pPr>
            <w:r w:rsidRPr="00DD323C">
              <w:t>analysing</w:t>
            </w:r>
          </w:p>
          <w:p w:rsidR="00000000" w:rsidRPr="00DD323C" w:rsidP="00DD323C">
            <w:pPr>
              <w:pStyle w:val="ListBullet"/>
            </w:pPr>
            <w:r w:rsidRPr="00DD323C">
              <w:t>interpreting data</w:t>
            </w:r>
          </w:p>
          <w:p w:rsidR="00000000" w:rsidRPr="00DD323C" w:rsidP="00DD323C">
            <w:pPr>
              <w:pStyle w:val="ListBullet"/>
            </w:pPr>
            <w:r w:rsidRPr="00DD323C">
              <w:t>negotiating</w:t>
            </w:r>
          </w:p>
          <w:p w:rsidR="00000000" w:rsidP="00DD323C">
            <w:pPr>
              <w:pStyle w:val="ListBullet"/>
              <w:rPr>
                <w:lang w:val="en-NZ"/>
              </w:rPr>
            </w:pPr>
            <w:r w:rsidRPr="00DD323C">
              <w:t>technical reporting</w:t>
            </w:r>
          </w:p>
        </w:tc>
      </w:tr>
      <w:tr w:rsidTr="00EE1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Required knowledge</w:t>
            </w:r>
          </w:p>
        </w:tc>
      </w:tr>
      <w:tr w:rsidTr="00EE1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Required knowledge includes:</w:t>
            </w:r>
          </w:p>
          <w:p w:rsidR="00000000" w:rsidRPr="00DD323C" w:rsidP="00DD323C">
            <w:pPr>
              <w:pStyle w:val="ListBullet"/>
            </w:pPr>
            <w:r w:rsidRPr="00DD323C">
              <w:t>properties of all common refractory materials</w:t>
            </w:r>
          </w:p>
          <w:p w:rsidR="00000000" w:rsidRPr="00DD323C" w:rsidP="00DD323C">
            <w:pPr>
              <w:pStyle w:val="ListBullet"/>
            </w:pPr>
            <w:r w:rsidRPr="00DD323C">
              <w:t>typical limitations and applications of all common refractory m</w:t>
            </w:r>
            <w:r w:rsidRPr="00DD323C">
              <w:t>aterials</w:t>
            </w:r>
          </w:p>
          <w:p w:rsidR="00000000" w:rsidRPr="00DD323C" w:rsidP="00DD323C">
            <w:pPr>
              <w:pStyle w:val="ListBullet"/>
            </w:pPr>
            <w:r w:rsidRPr="00DD323C">
              <w:t>installation methods and their impacts on material selection</w:t>
            </w:r>
          </w:p>
          <w:p w:rsidR="00000000" w:rsidRPr="00DD323C" w:rsidP="00DD323C">
            <w:pPr>
              <w:pStyle w:val="ListBullet"/>
            </w:pPr>
            <w:r w:rsidRPr="00DD323C">
              <w:t>reasons for using more than one material for an application</w:t>
            </w:r>
          </w:p>
          <w:p w:rsidR="00000000" w:rsidRPr="00DD323C" w:rsidP="00DD323C">
            <w:pPr>
              <w:pStyle w:val="ListBullet"/>
            </w:pPr>
            <w:r w:rsidRPr="00DD323C">
              <w:t>properties of combinations of materials and impacts on the specification of the materials</w:t>
            </w:r>
          </w:p>
          <w:p w:rsidR="00000000" w:rsidRPr="00DD323C" w:rsidP="00DD323C">
            <w:pPr>
              <w:pStyle w:val="ListBullet"/>
            </w:pPr>
            <w:r w:rsidRPr="00DD323C">
              <w:t>heat transfer calculations (resistances in series and parallel)</w:t>
            </w:r>
          </w:p>
          <w:p w:rsidR="00000000" w:rsidRPr="00DD323C" w:rsidP="00DD323C">
            <w:pPr>
              <w:pStyle w:val="ListBullet"/>
            </w:pPr>
            <w:r w:rsidRPr="00DD323C">
              <w:t>common refractory repairs and their impacts on material selection</w:t>
            </w:r>
          </w:p>
          <w:p w:rsidR="00000000" w:rsidRPr="00DD323C" w:rsidP="00DD323C">
            <w:pPr>
              <w:pStyle w:val="ListBullet"/>
            </w:pPr>
            <w:r w:rsidRPr="00DD323C">
              <w:t>methods of reuse, recycling and disposal of refractories at the end of their life and the differences for different types of r</w:t>
            </w:r>
            <w:r w:rsidRPr="00DD323C">
              <w:t>efractory material</w:t>
            </w:r>
          </w:p>
          <w:p w:rsidR="00000000" w:rsidRPr="00DD323C" w:rsidP="00DD323C">
            <w:pPr>
              <w:pStyle w:val="ListBullet"/>
            </w:pPr>
            <w:r w:rsidRPr="00DD323C">
              <w:t>critical refractory specifications</w:t>
            </w:r>
          </w:p>
        </w:tc>
      </w:tr>
    </w:tbl>
    <w:p w:rsidR="00000000" w:rsidRPr="00DD323C" w:rsidP="00DD323C">
      <w:pPr>
        <w:pStyle w:val="BodyText"/>
      </w:pPr>
    </w:p>
    <w:p w:rsidR="00000000" w:rsidRPr="00DD323C" w:rsidP="00DD323C">
      <w:pPr>
        <w:pStyle w:val="AllowPageBreak"/>
      </w:pPr>
    </w:p>
    <w:p w:rsidR="00000000" w:rsidRPr="00DD323C" w:rsidP="00DD323C">
      <w:pPr>
        <w:pStyle w:val="Heading1"/>
      </w:pPr>
      <w:bookmarkStart w:id="10" w:name="O_110760"/>
      <w:bookmarkEnd w:id="10"/>
      <w:r w:rsidRPr="00DD323C">
        <w:t>Evidence Guide</w:t>
      </w:r>
    </w:p>
    <w:tbl>
      <w:tblPr>
        <w:tblW w:w="9570" w:type="dxa"/>
        <w:tblLayout w:type="fixed"/>
        <w:tblCellMar>
          <w:left w:w="62" w:type="dxa"/>
          <w:right w:w="62" w:type="dxa"/>
        </w:tblCellMar>
        <w:tblLook w:val="0000"/>
      </w:tblPr>
      <w:tblGrid>
        <w:gridCol w:w="3908"/>
        <w:gridCol w:w="5662"/>
      </w:tblGrid>
      <w:tr w:rsidTr="00EE1D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EVIDENCE GUIDE</w:t>
            </w:r>
          </w:p>
        </w:tc>
      </w:tr>
      <w:tr w:rsidTr="00EE1D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t xml:space="preserve">The Evidence Guide provides advice on assessment and must be read in conjunction with the performance criteria, required skills and knowledge, </w:t>
            </w:r>
            <w:r w:rsidRPr="00DD323C">
              <w:t>range statement and the Assessment Guidelines for the Training Package.</w:t>
            </w:r>
          </w:p>
        </w:tc>
      </w:tr>
      <w:tr w:rsidTr="00EE1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Assessment of this unit should include demonstrated competence in a workplace based project or a simulated workplace project.</w:t>
            </w:r>
          </w:p>
          <w:p w:rsidR="00000000" w:rsidP="00DD323C">
            <w:pPr>
              <w:pStyle w:val="BodyText"/>
              <w:rPr>
                <w:lang w:val="en-NZ"/>
              </w:rPr>
            </w:pPr>
            <w:r w:rsidRPr="00DD323C">
              <w:t>Access should be available to all</w:t>
            </w:r>
            <w:r w:rsidRPr="00DD323C">
              <w:t xml:space="preserve"> normally accessed tables, data etc which would be available to and used by a competent refractory specialist performing this assignment.</w:t>
            </w:r>
          </w:p>
        </w:tc>
      </w:tr>
      <w:tr w:rsidTr="00EE1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t>Competence must be demon</w:t>
            </w:r>
            <w:r w:rsidRPr="00DD323C">
              <w:t>strated in the ability to select an appropriate material and write the required specification.</w:t>
            </w:r>
          </w:p>
        </w:tc>
      </w:tr>
      <w:tr w:rsidTr="00EE1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DD323C" w:rsidP="00DD323C">
            <w:pPr>
              <w:pStyle w:val="BodyText"/>
            </w:pPr>
            <w:r w:rsidRPr="00DD323C">
              <w:t>Wher</w:t>
            </w:r>
            <w:r w:rsidRPr="00DD323C">
              <w:t>e applicable, reasonable adjustment must be made to work environments and training situations to accommodate ethnicity, age, gender, demographics and disability.</w:t>
            </w:r>
          </w:p>
          <w:p w:rsidR="00000000" w:rsidP="00DD323C">
            <w:pPr>
              <w:pStyle w:val="BodyText"/>
              <w:rPr>
                <w:lang w:val="en-NZ"/>
              </w:rPr>
            </w:pPr>
            <w:r w:rsidRPr="00DD323C">
              <w:t>Access must be provided to appropriate learning and/or assessment support when required. Where</w:t>
            </w:r>
            <w:r w:rsidRPr="00DD323C">
              <w:t xml:space="preserve"> applicable, physical resources should include equipment modified for people with disabilities.</w:t>
            </w:r>
          </w:p>
        </w:tc>
      </w:tr>
      <w:tr w:rsidTr="00EE1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ListBullet"/>
            </w:pPr>
            <w:r w:rsidRPr="00DD323C">
              <w:t>Assessment must satisfy the endorsed assessment guidelines of the Manufactured Mineral Products Training Package.</w:t>
            </w:r>
          </w:p>
          <w:p w:rsidR="00000000" w:rsidRPr="00DD323C" w:rsidP="00DD323C">
            <w:pPr>
              <w:pStyle w:val="ListBullet"/>
            </w:pPr>
            <w:r w:rsidRPr="00DD323C">
              <w:t>Assessment methods must</w:t>
            </w:r>
            <w:r w:rsidRPr="00DD323C">
              <w:t xml:space="preserve"> confirm consistency and accuracy of performance (over time and in a range of workplace relevant contexts) together with application of underpinning knowledge.</w:t>
            </w:r>
          </w:p>
          <w:p w:rsidR="00000000" w:rsidRPr="00DD323C" w:rsidP="00DD323C">
            <w:pPr>
              <w:pStyle w:val="ListBullet"/>
            </w:pPr>
            <w:r w:rsidRPr="00DD323C">
              <w:t xml:space="preserve">Assessment methods which include direct observation of tasks should also include questioning on </w:t>
            </w:r>
            <w:r w:rsidRPr="00DD323C">
              <w:t>underpinning knowledge to ensure its correct interpretation and application.</w:t>
            </w:r>
          </w:p>
          <w:p w:rsidR="00000000" w:rsidRPr="00DD323C" w:rsidP="00DD323C">
            <w:pPr>
              <w:pStyle w:val="ListBullet"/>
            </w:pPr>
            <w:r w:rsidRPr="00DD323C">
              <w:t>Assessment may be applied under project related conditions (real or simulated) and require evidence of process.</w:t>
            </w:r>
          </w:p>
          <w:p w:rsidR="00000000" w:rsidRPr="00DD323C" w:rsidP="00DD323C">
            <w:pPr>
              <w:pStyle w:val="ListBullet"/>
            </w:pPr>
            <w:r w:rsidRPr="00DD323C">
              <w:t>Assessment must confirm a reasonable inference that competency is a</w:t>
            </w:r>
            <w:r w:rsidRPr="00DD323C">
              <w:t>ble not only to be satisfied under the particular circumstance, but is able to be transferred to other circumstances.</w:t>
            </w:r>
          </w:p>
          <w:p w:rsidR="00000000" w:rsidP="00DD323C">
            <w:pPr>
              <w:pStyle w:val="ListBullet"/>
              <w:rPr>
                <w:lang w:val="en-NZ"/>
              </w:rPr>
            </w:pPr>
            <w:r w:rsidRPr="00DD323C">
              <w:t>Assessment may be in conjunction with assessment of other units of competency where required.</w:t>
            </w:r>
          </w:p>
        </w:tc>
      </w:tr>
      <w:tr w:rsidTr="00EE1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Assessm</w:t>
            </w:r>
            <w:r w:rsidRPr="00DD323C">
              <w:t>ent processes and techniques must be culturally appropriate and appropriate to the language and literacy capacity of the candidate and the work being performed.</w:t>
            </w:r>
          </w:p>
        </w:tc>
      </w:tr>
    </w:tbl>
    <w:p w:rsidR="00000000" w:rsidRPr="00DD323C" w:rsidP="00DD323C">
      <w:pPr>
        <w:pStyle w:val="BodyText"/>
      </w:pPr>
    </w:p>
    <w:p w:rsidR="00000000" w:rsidRPr="00DD323C" w:rsidP="00DD323C">
      <w:pPr>
        <w:pStyle w:val="AllowPageBreak"/>
      </w:pPr>
    </w:p>
    <w:p w:rsidR="00000000" w:rsidRPr="00DD323C" w:rsidP="00DD323C">
      <w:pPr>
        <w:pStyle w:val="Heading1"/>
      </w:pPr>
      <w:bookmarkStart w:id="11" w:name="O_110761"/>
      <w:bookmarkEnd w:id="11"/>
      <w:r w:rsidRPr="00DD323C">
        <w:t>Range Statement</w:t>
      </w:r>
    </w:p>
    <w:tbl>
      <w:tblPr>
        <w:tblW w:w="0" w:type="auto"/>
        <w:tblLayout w:type="fixed"/>
        <w:tblCellMar>
          <w:left w:w="62" w:type="dxa"/>
          <w:right w:w="62" w:type="dxa"/>
        </w:tblCellMar>
        <w:tblLook w:val="0000"/>
      </w:tblPr>
      <w:tblGrid>
        <w:gridCol w:w="3505"/>
        <w:gridCol w:w="5017"/>
      </w:tblGrid>
      <w:tr w:rsidTr="00EE1D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RANGE STATEMENT</w:t>
            </w:r>
          </w:p>
        </w:tc>
      </w:tr>
      <w:tr w:rsidTr="00EE1D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t>The range statement relates to the unit of competency as a whole. It allows for different work environments and situations that may affect performance. Essential operating conditions that may be present with training and assessment (depending on the work s</w:t>
            </w:r>
            <w:r w:rsidRPr="00DD323C">
              <w:t>ituation, needs of the candidate, accessibility of the item, and local industry and regional contexts) may also be included.</w:t>
            </w:r>
          </w:p>
        </w:tc>
      </w:tr>
      <w:tr w:rsidTr="00EE1D88">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Stakeholders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Stakeholders may include:</w:t>
            </w:r>
          </w:p>
          <w:p w:rsidR="00000000" w:rsidRPr="00DD323C" w:rsidP="00DD323C">
            <w:pPr>
              <w:pStyle w:val="ListBullet"/>
            </w:pPr>
            <w:r w:rsidRPr="00DD323C">
              <w:t>customer representatives</w:t>
            </w:r>
          </w:p>
          <w:p w:rsidR="00000000" w:rsidRPr="00DD323C" w:rsidP="00DD323C">
            <w:pPr>
              <w:pStyle w:val="ListBullet"/>
            </w:pPr>
            <w:r w:rsidRPr="00DD323C">
              <w:t>technical experts</w:t>
            </w:r>
          </w:p>
          <w:p w:rsidR="00000000" w:rsidRPr="00DD323C" w:rsidP="00DD323C">
            <w:pPr>
              <w:pStyle w:val="ListBullet"/>
            </w:pPr>
            <w:r w:rsidRPr="00DD323C">
              <w:t>regulators</w:t>
            </w:r>
          </w:p>
          <w:p w:rsidR="00000000" w:rsidRPr="00DD323C" w:rsidP="00DD323C">
            <w:pPr>
              <w:pStyle w:val="ListBullet"/>
            </w:pPr>
            <w:r w:rsidRPr="00DD323C">
              <w:t>refractory designer</w:t>
            </w:r>
          </w:p>
          <w:p w:rsidR="00000000" w:rsidP="00DD323C">
            <w:pPr>
              <w:pStyle w:val="ListBullet"/>
              <w:rPr>
                <w:lang w:val="en-NZ"/>
              </w:rPr>
            </w:pPr>
            <w:r w:rsidRPr="00DD323C">
              <w:t>refractory installer</w:t>
            </w:r>
          </w:p>
        </w:tc>
      </w:tr>
      <w:tr w:rsidTr="00EE1D88">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End use conditions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End use conditions may include:</w:t>
            </w:r>
          </w:p>
          <w:p w:rsidR="00000000" w:rsidRPr="00DD323C" w:rsidP="00DD323C">
            <w:pPr>
              <w:pStyle w:val="ListBullet"/>
            </w:pPr>
            <w:r w:rsidRPr="00DD323C">
              <w:t>surface temperature of refractory</w:t>
            </w:r>
          </w:p>
          <w:p w:rsidR="00000000" w:rsidRPr="00DD323C" w:rsidP="00DD323C">
            <w:pPr>
              <w:pStyle w:val="ListBullet"/>
            </w:pPr>
            <w:r w:rsidRPr="00DD323C">
              <w:t>required temperature gradient through refractory/outside surface temperature</w:t>
            </w:r>
          </w:p>
          <w:p w:rsidR="00000000" w:rsidRPr="00DD323C" w:rsidP="00DD323C">
            <w:pPr>
              <w:pStyle w:val="ListBullet"/>
            </w:pPr>
            <w:r w:rsidRPr="00DD323C">
              <w:t>chemical condition (e.g. pH)</w:t>
            </w:r>
          </w:p>
          <w:p w:rsidR="00000000" w:rsidRPr="00DD323C" w:rsidP="00DD323C">
            <w:pPr>
              <w:pStyle w:val="ListBullet"/>
            </w:pPr>
            <w:r w:rsidRPr="00DD323C">
              <w:t>mechanical condition (e.g. impingement)</w:t>
            </w:r>
          </w:p>
          <w:p w:rsidR="00000000" w:rsidP="00DD323C">
            <w:pPr>
              <w:pStyle w:val="ListBullet"/>
              <w:rPr>
                <w:lang w:val="en-NZ"/>
              </w:rPr>
            </w:pPr>
            <w:r w:rsidRPr="00DD323C">
              <w:t>temperature or other cycling)</w:t>
            </w:r>
          </w:p>
        </w:tc>
      </w:tr>
      <w:tr w:rsidTr="00EE1D88">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Ranking of materials solution</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Ranking should be based on:</w:t>
            </w:r>
          </w:p>
          <w:p w:rsidR="00000000" w:rsidP="00DD323C">
            <w:pPr>
              <w:pStyle w:val="ListBullet"/>
              <w:rPr>
                <w:lang w:val="en-NZ"/>
              </w:rPr>
            </w:pPr>
            <w:r w:rsidRPr="00DD323C">
              <w:t>how well they meet the technical requirements of the end use</w:t>
            </w:r>
          </w:p>
        </w:tc>
      </w:tr>
      <w:tr w:rsidTr="00EE1D88">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HSE risks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HSE risks should include focus on the comparative health, safety and environmental risks of the materials under consideration.</w:t>
            </w:r>
          </w:p>
          <w:p w:rsidR="00000000" w:rsidRPr="00DD323C" w:rsidP="00DD323C">
            <w:pPr>
              <w:pStyle w:val="BodyText"/>
            </w:pPr>
            <w:r w:rsidRPr="00DD323C">
              <w:t>Risks would include risks during:</w:t>
            </w:r>
          </w:p>
          <w:p w:rsidR="00000000" w:rsidRPr="00DD323C" w:rsidP="00DD323C">
            <w:pPr>
              <w:pStyle w:val="ListBullet"/>
            </w:pPr>
            <w:r w:rsidRPr="00DD323C">
              <w:t>installation</w:t>
            </w:r>
          </w:p>
          <w:p w:rsidR="00000000" w:rsidRPr="00DD323C" w:rsidP="00DD323C">
            <w:pPr>
              <w:pStyle w:val="ListBullet"/>
            </w:pPr>
            <w:r w:rsidRPr="00DD323C">
              <w:t>use</w:t>
            </w:r>
          </w:p>
          <w:p w:rsidR="00000000" w:rsidRPr="00DD323C" w:rsidP="00DD323C">
            <w:pPr>
              <w:pStyle w:val="ListBullet"/>
            </w:pPr>
            <w:r w:rsidRPr="00DD323C">
              <w:t>repair</w:t>
            </w:r>
          </w:p>
          <w:p w:rsidR="00000000" w:rsidP="00DD323C">
            <w:pPr>
              <w:pStyle w:val="ListBullet"/>
              <w:rPr>
                <w:lang w:val="en-NZ"/>
              </w:rPr>
            </w:pPr>
            <w:r w:rsidRPr="00DD323C">
              <w:t>removal and disposal at end of life</w:t>
            </w:r>
          </w:p>
        </w:tc>
      </w:tr>
      <w:tr w:rsidTr="00EE1D88">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Cost of materials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Cost of materials should be total costs and should include:</w:t>
            </w:r>
          </w:p>
          <w:p w:rsidR="00000000" w:rsidRPr="00DD323C" w:rsidP="00DD323C">
            <w:pPr>
              <w:pStyle w:val="ListBullet"/>
            </w:pPr>
            <w:r w:rsidRPr="00DD323C">
              <w:t>raw material costs</w:t>
            </w:r>
          </w:p>
          <w:p w:rsidR="00000000" w:rsidRPr="00DD323C" w:rsidP="00DD323C">
            <w:pPr>
              <w:pStyle w:val="ListBullet"/>
            </w:pPr>
            <w:r w:rsidRPr="00DD323C">
              <w:t>installation costs</w:t>
            </w:r>
          </w:p>
          <w:p w:rsidR="00000000" w:rsidP="00DD323C">
            <w:pPr>
              <w:pStyle w:val="ListBullet"/>
              <w:rPr>
                <w:lang w:val="en-NZ"/>
              </w:rPr>
            </w:pPr>
            <w:r w:rsidRPr="00DD323C">
              <w:t>life cycle costs</w:t>
            </w:r>
          </w:p>
        </w:tc>
      </w:tr>
      <w:tr w:rsidTr="00EE1D88">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Combination of materials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The term 'combination of materials' is used in this unit to mean any or all of:</w:t>
            </w:r>
          </w:p>
          <w:p w:rsidR="00000000" w:rsidRPr="00DD323C" w:rsidP="00DD323C">
            <w:pPr>
              <w:pStyle w:val="ListBullet"/>
            </w:pPr>
            <w:r w:rsidRPr="00DD323C">
              <w:t>mixing of more than one refractor</w:t>
            </w:r>
            <w:r w:rsidRPr="00DD323C">
              <w:t>y material</w:t>
            </w:r>
          </w:p>
          <w:p w:rsidR="00000000" w:rsidRPr="00DD323C" w:rsidP="00DD323C">
            <w:pPr>
              <w:pStyle w:val="ListBullet"/>
            </w:pPr>
            <w:r w:rsidRPr="00DD323C">
              <w:t>use of refractory materials in series</w:t>
            </w:r>
          </w:p>
          <w:p w:rsidR="00000000" w:rsidP="00DD323C">
            <w:pPr>
              <w:pStyle w:val="ListBullet"/>
              <w:rPr>
                <w:lang w:val="en-NZ"/>
              </w:rPr>
            </w:pPr>
            <w:r w:rsidRPr="00DD323C">
              <w:t>use of refractory materials in parallel</w:t>
            </w:r>
          </w:p>
        </w:tc>
      </w:tr>
      <w:tr w:rsidTr="00EE1D88">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Optimum materials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 xml:space="preserve">The optimum materials would be material or combination of materials which best delivers the technical requirement at the lowest cost and the </w:t>
            </w:r>
            <w:r w:rsidRPr="00DD323C">
              <w:t>least HSE risk</w:t>
            </w:r>
          </w:p>
        </w:tc>
      </w:tr>
    </w:tbl>
    <w:p w:rsidR="00EE1D88" w:rsidP="00DD323C">
      <w:pPr>
        <w:pStyle w:val="BodyText"/>
      </w:pPr>
    </w:p>
    <w:p w:rsidR="00EE1D88" w:rsidP="00DD323C">
      <w:pPr>
        <w:pStyle w:val="BodyText"/>
      </w:pPr>
    </w:p>
    <w:p w:rsidR="00000000" w:rsidRPr="00DD323C" w:rsidP="00DD323C">
      <w:pPr>
        <w:pStyle w:val="Heading1"/>
      </w:pPr>
      <w:bookmarkStart w:id="12" w:name="O_110762"/>
      <w:bookmarkEnd w:id="12"/>
      <w:r w:rsidRPr="00DD323C">
        <w:t>Unit Sector(s)</w:t>
      </w:r>
    </w:p>
    <w:tbl>
      <w:tblPr>
        <w:tblW w:w="0" w:type="auto"/>
        <w:tblLayout w:type="fixed"/>
        <w:tblCellMar>
          <w:left w:w="62" w:type="dxa"/>
          <w:right w:w="62" w:type="dxa"/>
        </w:tblCellMar>
        <w:tblLook w:val="0000"/>
      </w:tblPr>
      <w:tblGrid>
        <w:gridCol w:w="2567"/>
        <w:gridCol w:w="5955"/>
      </w:tblGrid>
      <w:tr w:rsidTr="00EE1D8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r w:rsidRPr="00DD323C">
              <w:t>Operational/technical</w:t>
            </w:r>
          </w:p>
        </w:tc>
      </w:tr>
    </w:tbl>
    <w:p w:rsidR="00000000" w:rsidRPr="00DD323C" w:rsidP="00DD323C">
      <w:pPr>
        <w:pStyle w:val="BodyText"/>
      </w:pPr>
    </w:p>
    <w:p w:rsidR="00000000" w:rsidRPr="00DD323C" w:rsidP="00DD323C">
      <w:pPr>
        <w:pStyle w:val="AllowPageBreak"/>
      </w:pPr>
    </w:p>
    <w:p w:rsidR="00000000" w:rsidRPr="00DD323C" w:rsidP="00DD323C">
      <w:pPr>
        <w:pStyle w:val="Heading1"/>
      </w:pPr>
      <w:bookmarkStart w:id="13" w:name="O_160227"/>
      <w:bookmarkEnd w:id="13"/>
      <w:r w:rsidRPr="00DD323C">
        <w:t>Competency field</w:t>
      </w:r>
    </w:p>
    <w:tbl>
      <w:tblPr>
        <w:tblW w:w="0" w:type="auto"/>
        <w:tblLayout w:type="fixed"/>
        <w:tblCellMar>
          <w:left w:w="62" w:type="dxa"/>
          <w:right w:w="62" w:type="dxa"/>
        </w:tblCellMar>
        <w:tblLook w:val="0000"/>
      </w:tblPr>
      <w:tblGrid>
        <w:gridCol w:w="2784"/>
        <w:gridCol w:w="5738"/>
      </w:tblGrid>
      <w:tr w:rsidTr="00EE1D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p>
        </w:tc>
      </w:tr>
    </w:tbl>
    <w:p w:rsidR="00000000" w:rsidRPr="00DD323C" w:rsidP="00DD323C">
      <w:pPr>
        <w:pStyle w:val="BodyText"/>
      </w:pPr>
    </w:p>
    <w:p w:rsidR="00000000" w:rsidRPr="00DD323C" w:rsidP="00DD323C">
      <w:pPr>
        <w:pStyle w:val="AllowPageBreak"/>
      </w:pPr>
    </w:p>
    <w:p w:rsidR="00000000" w:rsidRPr="00DD323C" w:rsidP="00DD323C">
      <w:pPr>
        <w:pStyle w:val="Heading1"/>
      </w:pPr>
      <w:bookmarkStart w:id="14" w:name="O_160226"/>
      <w:bookmarkEnd w:id="14"/>
      <w:r w:rsidRPr="00DD323C">
        <w:t>Co-requisite units</w:t>
      </w:r>
    </w:p>
    <w:tbl>
      <w:tblPr>
        <w:tblW w:w="0" w:type="auto"/>
        <w:tblLayout w:type="fixed"/>
        <w:tblCellMar>
          <w:left w:w="62" w:type="dxa"/>
          <w:right w:w="62" w:type="dxa"/>
        </w:tblCellMar>
        <w:tblLook w:val="0000"/>
      </w:tblPr>
      <w:tblGrid>
        <w:gridCol w:w="2641"/>
        <w:gridCol w:w="1322"/>
        <w:gridCol w:w="4559"/>
      </w:tblGrid>
      <w:tr w:rsidTr="00EE1D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r w:rsidRPr="00DD32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p>
        </w:tc>
      </w:tr>
      <w:tr w:rsidTr="00EE1D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23C">
            <w:pPr>
              <w:pStyle w:val="BodyText"/>
              <w:rPr>
                <w:lang w:val="en-NZ"/>
              </w:rPr>
            </w:pPr>
          </w:p>
        </w:tc>
      </w:tr>
      <w:tr w:rsidTr="00EE1D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23C" w:rsidP="00DD323C">
            <w:pPr>
              <w:pStyle w:val="BodyText"/>
            </w:pPr>
          </w:p>
        </w:tc>
      </w:tr>
    </w:tbl>
    <w:p w:rsidR="00000000" w:rsidRPr="00DD323C" w:rsidP="00DD323C">
      <w:pPr>
        <w:pStyle w:val="BodyText"/>
      </w:pPr>
    </w:p>
    <w:p w:rsidR="00000000" w:rsidRPr="00DD323C" w:rsidP="00DD323C"/>
    <w:sectPr w:rsidSect="00DD32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D88" w:rsidP="00EE1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88" w:rsidP="00DD32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1D88" w:rsidP="00DD32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1D88" w:rsidP="00DD32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D88" w:rsidP="00EE1D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88" w:rsidP="00DD323C">
    <w:pPr>
      <w:pStyle w:val="Header"/>
      <w:framePr w:wrap="around"/>
    </w:pPr>
    <w:r>
      <w:fldChar w:fldCharType="begin"/>
    </w:r>
    <w:r>
      <w:instrText xml:space="preserve"> TITLE   \* MERGEFORMAT </w:instrText>
    </w:r>
    <w:r>
      <w:fldChar w:fldCharType="separate"/>
    </w:r>
    <w:r>
      <w:t>PMC557090A Select refractory materials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1D88" w:rsidP="00DD32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9E9E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5A17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2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323C"/>
    <w:pPr>
      <w:spacing w:before="360" w:after="60"/>
      <w:outlineLvl w:val="0"/>
    </w:pPr>
    <w:rPr>
      <w:sz w:val="32"/>
    </w:rPr>
  </w:style>
  <w:style w:type="paragraph" w:styleId="Heading2">
    <w:name w:val="heading 2"/>
    <w:basedOn w:val="HeadingBase"/>
    <w:next w:val="BodyText"/>
    <w:link w:val="Heading2Char"/>
    <w:qFormat/>
    <w:rsid w:val="00DD323C"/>
    <w:pPr>
      <w:keepLines/>
      <w:spacing w:before="240" w:after="120"/>
      <w:outlineLvl w:val="1"/>
    </w:pPr>
    <w:rPr>
      <w:sz w:val="28"/>
      <w:szCs w:val="40"/>
    </w:rPr>
  </w:style>
  <w:style w:type="paragraph" w:styleId="Heading3">
    <w:name w:val="heading 3"/>
    <w:basedOn w:val="HeadingBase"/>
    <w:next w:val="BodyText"/>
    <w:link w:val="Heading3Char"/>
    <w:qFormat/>
    <w:rsid w:val="00DD323C"/>
    <w:pPr>
      <w:spacing w:before="180" w:after="120"/>
      <w:outlineLvl w:val="2"/>
    </w:pPr>
    <w:rPr>
      <w:spacing w:val="-10"/>
      <w:kern w:val="32"/>
    </w:rPr>
  </w:style>
  <w:style w:type="paragraph" w:styleId="Heading4">
    <w:name w:val="heading 4"/>
    <w:basedOn w:val="HeadingBase"/>
    <w:next w:val="BodyText"/>
    <w:link w:val="Heading4Char"/>
    <w:qFormat/>
    <w:rsid w:val="00DD323C"/>
    <w:pPr>
      <w:spacing w:before="160" w:after="120"/>
      <w:outlineLvl w:val="3"/>
    </w:pPr>
    <w:rPr>
      <w:sz w:val="22"/>
    </w:rPr>
  </w:style>
  <w:style w:type="paragraph" w:styleId="Heading5">
    <w:name w:val="heading 5"/>
    <w:basedOn w:val="HeadingBase"/>
    <w:next w:val="Normal"/>
    <w:link w:val="Heading5Char"/>
    <w:qFormat/>
    <w:rsid w:val="00DD323C"/>
    <w:pPr>
      <w:spacing w:before="80"/>
      <w:outlineLvl w:val="4"/>
    </w:pPr>
    <w:rPr>
      <w:color w:val="918585"/>
      <w:sz w:val="20"/>
    </w:rPr>
  </w:style>
  <w:style w:type="paragraph" w:styleId="Heading6">
    <w:name w:val="heading 6"/>
    <w:basedOn w:val="HeadingBase"/>
    <w:next w:val="Normal"/>
    <w:link w:val="Heading6Char"/>
    <w:qFormat/>
    <w:rsid w:val="00DD323C"/>
    <w:pPr>
      <w:spacing w:before="60"/>
      <w:outlineLvl w:val="5"/>
    </w:pPr>
    <w:rPr>
      <w:color w:val="918585"/>
      <w:sz w:val="20"/>
    </w:rPr>
  </w:style>
  <w:style w:type="paragraph" w:styleId="Heading7">
    <w:name w:val="heading 7"/>
    <w:basedOn w:val="Normal"/>
    <w:next w:val="Normal"/>
    <w:link w:val="Heading7Char"/>
    <w:qFormat/>
    <w:rsid w:val="00DD323C"/>
    <w:pPr>
      <w:ind w:left="720"/>
      <w:outlineLvl w:val="6"/>
    </w:pPr>
    <w:rPr>
      <w:i/>
    </w:rPr>
  </w:style>
  <w:style w:type="paragraph" w:styleId="Heading8">
    <w:name w:val="heading 8"/>
    <w:basedOn w:val="Normal"/>
    <w:next w:val="Normal"/>
    <w:link w:val="Heading8Char"/>
    <w:qFormat/>
    <w:rsid w:val="00DD323C"/>
    <w:pPr>
      <w:ind w:left="720"/>
      <w:outlineLvl w:val="7"/>
    </w:pPr>
    <w:rPr>
      <w:i/>
    </w:rPr>
  </w:style>
  <w:style w:type="paragraph" w:styleId="Heading9">
    <w:name w:val="heading 9"/>
    <w:basedOn w:val="Normal"/>
    <w:next w:val="Normal"/>
    <w:link w:val="Heading9Char"/>
    <w:qFormat/>
    <w:rsid w:val="00DD323C"/>
    <w:pPr>
      <w:ind w:left="720"/>
      <w:outlineLvl w:val="8"/>
    </w:pPr>
    <w:rPr>
      <w:i/>
    </w:rPr>
  </w:style>
  <w:style w:type="character" w:default="1" w:styleId="DefaultParagraphFont">
    <w:name w:val="Default Paragraph Font"/>
    <w:uiPriority w:val="1"/>
    <w:unhideWhenUsed/>
    <w:rsid w:val="00DD32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23C"/>
  </w:style>
  <w:style w:type="character" w:customStyle="1" w:styleId="Heading1Char">
    <w:name w:val="Heading 1 Char"/>
    <w:basedOn w:val="DefaultParagraphFont"/>
    <w:link w:val="Heading1"/>
    <w:rsid w:val="00DD323C"/>
    <w:rPr>
      <w:rFonts w:ascii="Times New Roman" w:eastAsia="Times New Roman" w:hAnsi="Times New Roman" w:cs="Times New Roman"/>
      <w:b/>
      <w:sz w:val="32"/>
      <w:szCs w:val="20"/>
      <w:lang w:eastAsia="en-US"/>
    </w:rPr>
  </w:style>
  <w:style w:type="paragraph" w:styleId="BodyText">
    <w:name w:val="Body Text"/>
    <w:basedOn w:val="Normal"/>
    <w:link w:val="BodyTextChar"/>
    <w:rsid w:val="00DD32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23C"/>
    <w:rPr>
      <w:rFonts w:ascii="Times New Roman" w:eastAsia="Times New Roman" w:hAnsi="Times New Roman" w:cs="Times New Roman"/>
      <w:sz w:val="24"/>
      <w:lang w:val="en-US" w:eastAsia="en-US"/>
    </w:rPr>
  </w:style>
  <w:style w:type="paragraph" w:styleId="Footer">
    <w:name w:val="footer"/>
    <w:basedOn w:val="Normal"/>
    <w:link w:val="FooterChar"/>
    <w:rsid w:val="00DD32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23C"/>
    <w:rPr>
      <w:rFonts w:ascii="Times New Roman" w:eastAsia="Times New Roman" w:hAnsi="Times New Roman" w:cs="Times New Roman"/>
      <w:sz w:val="16"/>
      <w:lang w:val="en-US" w:eastAsia="en-US"/>
    </w:rPr>
  </w:style>
  <w:style w:type="paragraph" w:styleId="List">
    <w:name w:val="List"/>
    <w:basedOn w:val="BodyText"/>
    <w:next w:val="BodyText"/>
    <w:rsid w:val="00DD323C"/>
    <w:pPr>
      <w:tabs>
        <w:tab w:val="left" w:pos="340"/>
      </w:tabs>
      <w:spacing w:before="60" w:after="60"/>
      <w:ind w:left="340" w:hanging="340"/>
    </w:pPr>
  </w:style>
  <w:style w:type="paragraph" w:styleId="ListBullet">
    <w:name w:val="List Bullet"/>
    <w:basedOn w:val="List"/>
    <w:rsid w:val="00DD323C"/>
    <w:pPr>
      <w:numPr>
        <w:numId w:val="12"/>
      </w:numPr>
      <w:tabs>
        <w:tab w:val="clear" w:pos="340"/>
      </w:tabs>
      <w:spacing w:before="40" w:after="40"/>
    </w:pPr>
  </w:style>
  <w:style w:type="character" w:customStyle="1" w:styleId="SpecialBold">
    <w:name w:val="Special Bold"/>
    <w:basedOn w:val="DefaultParagraphFont"/>
    <w:rsid w:val="00DD323C"/>
    <w:rPr>
      <w:b/>
      <w:spacing w:val="0"/>
    </w:rPr>
  </w:style>
  <w:style w:type="paragraph" w:styleId="Header">
    <w:name w:val="header"/>
    <w:basedOn w:val="Normal"/>
    <w:link w:val="HeaderChar"/>
    <w:rsid w:val="00DD32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2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323C"/>
    <w:rPr>
      <w:i/>
    </w:rPr>
  </w:style>
  <w:style w:type="paragraph" w:customStyle="1" w:styleId="SuperHeading">
    <w:name w:val="SuperHeading"/>
    <w:basedOn w:val="Normal"/>
    <w:rsid w:val="00DD323C"/>
    <w:pPr>
      <w:spacing w:before="240" w:after="120"/>
      <w:outlineLvl w:val="0"/>
    </w:pPr>
    <w:rPr>
      <w:rFonts w:ascii="Times New Roman" w:hAnsi="Times New Roman"/>
      <w:b/>
      <w:sz w:val="28"/>
    </w:rPr>
  </w:style>
  <w:style w:type="paragraph" w:customStyle="1" w:styleId="AllowPageBreak">
    <w:name w:val="AllowPageBreak"/>
    <w:rsid w:val="00DD32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323C"/>
    <w:pPr>
      <w:tabs>
        <w:tab w:val="left" w:pos="680"/>
      </w:tabs>
      <w:spacing w:before="60" w:after="60"/>
      <w:ind w:left="680" w:hanging="340"/>
    </w:pPr>
  </w:style>
  <w:style w:type="character" w:customStyle="1" w:styleId="Heading2Char">
    <w:name w:val="Heading 2 Char"/>
    <w:basedOn w:val="DefaultParagraphFont"/>
    <w:link w:val="Heading2"/>
    <w:rsid w:val="00DD32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2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2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2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2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2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32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323C"/>
    <w:rPr>
      <w:rFonts w:ascii="Courier New" w:eastAsia="Times New Roman" w:hAnsi="Courier New" w:cs="Times New Roman"/>
      <w:i/>
      <w:szCs w:val="20"/>
      <w:lang w:val="en-US" w:eastAsia="en-US"/>
    </w:rPr>
  </w:style>
  <w:style w:type="paragraph" w:customStyle="1" w:styleId="HeadingBase">
    <w:name w:val="Heading Base"/>
    <w:rsid w:val="00DD32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23C"/>
    <w:pPr>
      <w:tabs>
        <w:tab w:val="right" w:leader="dot" w:pos="9072"/>
      </w:tabs>
      <w:ind w:left="567"/>
    </w:pPr>
    <w:rPr>
      <w:szCs w:val="22"/>
    </w:rPr>
  </w:style>
  <w:style w:type="paragraph" w:customStyle="1" w:styleId="TOCBase">
    <w:name w:val="TOC Base"/>
    <w:rsid w:val="00DD32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23C"/>
    <w:pPr>
      <w:tabs>
        <w:tab w:val="right" w:leader="dot" w:pos="9072"/>
      </w:tabs>
      <w:spacing w:before="40" w:after="40"/>
      <w:ind w:left="284"/>
    </w:pPr>
    <w:rPr>
      <w:rFonts w:ascii="Times New Roman" w:hAnsi="Times New Roman"/>
    </w:rPr>
  </w:style>
  <w:style w:type="paragraph" w:styleId="TOC1">
    <w:name w:val="toc 1"/>
    <w:basedOn w:val="TOCBase"/>
    <w:next w:val="Normal"/>
    <w:rsid w:val="00DD32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23C"/>
    <w:pPr>
      <w:spacing w:before="5040"/>
      <w:jc w:val="center"/>
    </w:pPr>
    <w:rPr>
      <w:sz w:val="48"/>
      <w:szCs w:val="72"/>
      <w:lang w:val="en-US"/>
    </w:rPr>
  </w:style>
  <w:style w:type="character" w:customStyle="1" w:styleId="TitleChar">
    <w:name w:val="Title Char"/>
    <w:basedOn w:val="DefaultParagraphFont"/>
    <w:link w:val="Title"/>
    <w:rsid w:val="00DD32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23C"/>
    <w:pPr>
      <w:tabs>
        <w:tab w:val="left" w:pos="3600"/>
        <w:tab w:val="left" w:pos="3958"/>
      </w:tabs>
    </w:pPr>
  </w:style>
  <w:style w:type="paragraph" w:customStyle="1" w:styleId="Note">
    <w:name w:val="Note"/>
    <w:basedOn w:val="BodyText"/>
    <w:rsid w:val="00DD32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23C"/>
    <w:pPr>
      <w:framePr w:wrap="auto" w:hAnchor="text" w:y="6049"/>
    </w:pPr>
    <w:rPr>
      <w:color w:val="000000"/>
      <w:sz w:val="40"/>
    </w:rPr>
  </w:style>
  <w:style w:type="paragraph" w:customStyle="1" w:styleId="TOCTitle">
    <w:name w:val="TOCTitle"/>
    <w:basedOn w:val="Heading1"/>
    <w:rsid w:val="00DD323C"/>
    <w:pPr>
      <w:spacing w:after="240"/>
      <w:jc w:val="center"/>
      <w:outlineLvl w:val="9"/>
    </w:pPr>
    <w:rPr>
      <w:caps/>
    </w:rPr>
  </w:style>
  <w:style w:type="paragraph" w:customStyle="1" w:styleId="Version">
    <w:name w:val="Version"/>
    <w:rsid w:val="00DD32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23C"/>
    <w:pPr>
      <w:numPr>
        <w:numId w:val="13"/>
      </w:numPr>
      <w:tabs>
        <w:tab w:val="clear" w:pos="680"/>
      </w:tabs>
    </w:pPr>
  </w:style>
  <w:style w:type="paragraph" w:styleId="Index1">
    <w:name w:val="index 1"/>
    <w:basedOn w:val="Normal"/>
    <w:next w:val="Normal"/>
    <w:semiHidden/>
    <w:rsid w:val="00DD323C"/>
    <w:pPr>
      <w:keepNext w:val="0"/>
      <w:tabs>
        <w:tab w:val="right" w:pos="4176"/>
      </w:tabs>
      <w:ind w:left="198" w:hanging="198"/>
    </w:pPr>
    <w:rPr>
      <w:rFonts w:ascii="Garamond" w:hAnsi="Garamond"/>
    </w:rPr>
  </w:style>
  <w:style w:type="paragraph" w:styleId="IndexHeading">
    <w:name w:val="index heading"/>
    <w:basedOn w:val="Normal"/>
    <w:next w:val="Index1"/>
    <w:semiHidden/>
    <w:rsid w:val="00DD323C"/>
    <w:pPr>
      <w:spacing w:before="120" w:after="120"/>
    </w:pPr>
    <w:rPr>
      <w:rFonts w:ascii="Arial" w:hAnsi="Arial"/>
      <w:b/>
      <w:color w:val="918585"/>
      <w:sz w:val="24"/>
    </w:rPr>
  </w:style>
  <w:style w:type="paragraph" w:customStyle="1" w:styleId="Chapter">
    <w:name w:val="Chapter"/>
    <w:basedOn w:val="Normal"/>
    <w:rsid w:val="00DD323C"/>
    <w:pPr>
      <w:spacing w:before="240"/>
    </w:pPr>
    <w:rPr>
      <w:rFonts w:ascii="Times New Roman" w:hAnsi="Times New Roman"/>
      <w:smallCaps/>
      <w:spacing w:val="80"/>
      <w:sz w:val="28"/>
    </w:rPr>
  </w:style>
  <w:style w:type="paragraph" w:customStyle="1" w:styleId="InChapter">
    <w:name w:val="InChapter"/>
    <w:basedOn w:val="Heading3"/>
    <w:rsid w:val="00DD323C"/>
    <w:pPr>
      <w:spacing w:after="240"/>
      <w:outlineLvl w:val="9"/>
    </w:pPr>
    <w:rPr>
      <w:noProof/>
    </w:rPr>
  </w:style>
  <w:style w:type="paragraph" w:styleId="Index2">
    <w:name w:val="index 2"/>
    <w:basedOn w:val="Normal"/>
    <w:next w:val="Normal"/>
    <w:semiHidden/>
    <w:rsid w:val="00DD323C"/>
    <w:pPr>
      <w:tabs>
        <w:tab w:val="right" w:pos="4176"/>
      </w:tabs>
      <w:ind w:left="568" w:hanging="284"/>
    </w:pPr>
    <w:rPr>
      <w:rFonts w:ascii="Garamond" w:hAnsi="Garamond"/>
    </w:rPr>
  </w:style>
  <w:style w:type="paragraph" w:customStyle="1" w:styleId="Byline">
    <w:name w:val="Byline"/>
    <w:rsid w:val="00DD32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23C"/>
    <w:pPr>
      <w:tabs>
        <w:tab w:val="clear" w:pos="3600"/>
        <w:tab w:val="clear" w:pos="3958"/>
      </w:tabs>
      <w:jc w:val="right"/>
    </w:pPr>
  </w:style>
  <w:style w:type="paragraph" w:styleId="Caption">
    <w:name w:val="caption"/>
    <w:basedOn w:val="BodyText"/>
    <w:next w:val="Normal"/>
    <w:qFormat/>
    <w:rsid w:val="00DD323C"/>
    <w:pPr>
      <w:framePr w:w="2268" w:hSpace="181" w:vSpace="181" w:wrap="around" w:vAnchor="text" w:hAnchor="page" w:x="1135" w:y="285" w:anchorLock="1"/>
    </w:pPr>
    <w:rPr>
      <w:i/>
    </w:rPr>
  </w:style>
  <w:style w:type="paragraph" w:customStyle="1" w:styleId="MiniTOCTitle">
    <w:name w:val="MiniTOCTitle"/>
    <w:basedOn w:val="Heading4"/>
    <w:rsid w:val="00DD323C"/>
    <w:pPr>
      <w:spacing w:before="240"/>
      <w:outlineLvl w:val="9"/>
    </w:pPr>
    <w:rPr>
      <w:noProof/>
      <w:sz w:val="24"/>
    </w:rPr>
  </w:style>
  <w:style w:type="paragraph" w:customStyle="1" w:styleId="MiniTOCItem">
    <w:name w:val="MiniTOCItem"/>
    <w:basedOn w:val="ListBullet"/>
    <w:rsid w:val="00DD323C"/>
    <w:pPr>
      <w:numPr>
        <w:numId w:val="0"/>
      </w:numPr>
      <w:tabs>
        <w:tab w:val="right" w:leader="dot" w:pos="6521"/>
      </w:tabs>
      <w:spacing w:before="0" w:after="0"/>
    </w:pPr>
  </w:style>
  <w:style w:type="paragraph" w:customStyle="1" w:styleId="TOFTitle">
    <w:name w:val="TOFTitle"/>
    <w:basedOn w:val="TOCTitle"/>
    <w:rsid w:val="00DD323C"/>
  </w:style>
  <w:style w:type="paragraph" w:styleId="TableofFigures">
    <w:name w:val="table of figures"/>
    <w:basedOn w:val="Normal"/>
    <w:next w:val="Normal"/>
    <w:semiHidden/>
    <w:rsid w:val="00DD323C"/>
    <w:pPr>
      <w:tabs>
        <w:tab w:val="right" w:leader="dot" w:pos="9072"/>
      </w:tabs>
      <w:ind w:left="970" w:hanging="403"/>
    </w:pPr>
    <w:rPr>
      <w:rFonts w:ascii="Times New Roman" w:hAnsi="Times New Roman"/>
      <w:b/>
    </w:rPr>
  </w:style>
  <w:style w:type="paragraph" w:styleId="ListNumber">
    <w:name w:val="List Number"/>
    <w:basedOn w:val="List"/>
    <w:rsid w:val="00DD323C"/>
    <w:pPr>
      <w:numPr>
        <w:numId w:val="10"/>
      </w:numPr>
    </w:pPr>
  </w:style>
  <w:style w:type="character" w:customStyle="1" w:styleId="WingdingSymbols">
    <w:name w:val="Wingding Symbols"/>
    <w:rsid w:val="00DD323C"/>
    <w:rPr>
      <w:rFonts w:ascii="Wingdings" w:hAnsi="Wingdings"/>
    </w:rPr>
  </w:style>
  <w:style w:type="paragraph" w:customStyle="1" w:styleId="TableHeading">
    <w:name w:val="Table Heading"/>
    <w:basedOn w:val="HeadingBase"/>
    <w:rsid w:val="00DD323C"/>
    <w:pPr>
      <w:keepLines/>
      <w:pBdr>
        <w:bottom w:val="single" w:sz="6" w:space="1" w:color="918585"/>
      </w:pBdr>
      <w:spacing w:before="240"/>
    </w:pPr>
  </w:style>
  <w:style w:type="character" w:customStyle="1" w:styleId="HotSpot">
    <w:name w:val="HotSpot"/>
    <w:rsid w:val="00DD323C"/>
    <w:rPr>
      <w:color w:val="0033CC"/>
      <w:u w:val="none"/>
    </w:rPr>
  </w:style>
  <w:style w:type="paragraph" w:customStyle="1" w:styleId="BodyTextRight">
    <w:name w:val="Body Text Right"/>
    <w:basedOn w:val="BodyText"/>
    <w:rsid w:val="00DD323C"/>
    <w:pPr>
      <w:spacing w:before="0" w:after="0"/>
      <w:jc w:val="right"/>
    </w:pPr>
  </w:style>
  <w:style w:type="paragraph" w:styleId="Index3">
    <w:name w:val="index 3"/>
    <w:basedOn w:val="ListNumber2"/>
    <w:next w:val="Normal"/>
    <w:semiHidden/>
    <w:rsid w:val="00DD323C"/>
    <w:pPr>
      <w:numPr>
        <w:numId w:val="0"/>
      </w:numPr>
      <w:tabs>
        <w:tab w:val="right" w:leader="dot" w:pos="4176"/>
      </w:tabs>
    </w:pPr>
  </w:style>
  <w:style w:type="paragraph" w:styleId="ListNumber2">
    <w:name w:val="List Number 2"/>
    <w:basedOn w:val="List2"/>
    <w:rsid w:val="00DD323C"/>
    <w:pPr>
      <w:numPr>
        <w:numId w:val="9"/>
      </w:numPr>
      <w:tabs>
        <w:tab w:val="clear" w:pos="1060"/>
      </w:tabs>
    </w:pPr>
  </w:style>
  <w:style w:type="paragraph" w:customStyle="1" w:styleId="MarginNote">
    <w:name w:val="Margin Note"/>
    <w:basedOn w:val="BodyText"/>
    <w:rsid w:val="00DD32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2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2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323C"/>
    <w:rPr>
      <w:sz w:val="32"/>
    </w:rPr>
  </w:style>
  <w:style w:type="paragraph" w:customStyle="1" w:styleId="HeadingProcedure">
    <w:name w:val="Heading Procedure"/>
    <w:basedOn w:val="HeadingBase"/>
    <w:next w:val="Normal"/>
    <w:rsid w:val="00DD323C"/>
    <w:pPr>
      <w:tabs>
        <w:tab w:val="left" w:pos="0"/>
      </w:tabs>
      <w:spacing w:before="120" w:after="60"/>
    </w:pPr>
    <w:rPr>
      <w:i/>
      <w:color w:val="918585"/>
      <w:sz w:val="22"/>
    </w:rPr>
  </w:style>
  <w:style w:type="paragraph" w:customStyle="1" w:styleId="TableBodyText">
    <w:name w:val="Table Body Text"/>
    <w:basedOn w:val="BodyText"/>
    <w:rsid w:val="00DD323C"/>
    <w:pPr>
      <w:spacing w:before="60" w:after="60"/>
    </w:pPr>
  </w:style>
  <w:style w:type="paragraph" w:styleId="ListContinue">
    <w:name w:val="List Continue"/>
    <w:basedOn w:val="List"/>
    <w:rsid w:val="00DD323C"/>
    <w:pPr>
      <w:ind w:firstLine="0"/>
    </w:pPr>
  </w:style>
  <w:style w:type="paragraph" w:customStyle="1" w:styleId="ListNote">
    <w:name w:val="List Note"/>
    <w:basedOn w:val="List"/>
    <w:rsid w:val="00DD323C"/>
    <w:pPr>
      <w:pBdr>
        <w:top w:val="single" w:sz="6" w:space="2" w:color="918585"/>
        <w:bottom w:val="single" w:sz="6" w:space="2" w:color="918585"/>
      </w:pBdr>
      <w:tabs>
        <w:tab w:val="left" w:pos="1021"/>
      </w:tabs>
      <w:ind w:firstLine="0"/>
    </w:pPr>
  </w:style>
  <w:style w:type="paragraph" w:customStyle="1" w:styleId="Warning">
    <w:name w:val="Warning"/>
    <w:basedOn w:val="BodyText"/>
    <w:rsid w:val="00DD323C"/>
    <w:pPr>
      <w:shd w:val="clear" w:color="auto" w:fill="D9D9D9"/>
      <w:tabs>
        <w:tab w:val="left" w:pos="992"/>
      </w:tabs>
      <w:ind w:left="119" w:right="119"/>
    </w:pPr>
    <w:rPr>
      <w:sz w:val="20"/>
    </w:rPr>
  </w:style>
  <w:style w:type="paragraph" w:customStyle="1" w:styleId="MarginIcons">
    <w:name w:val="Margin Icons"/>
    <w:basedOn w:val="BodyText"/>
    <w:rsid w:val="00DD32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23C"/>
    <w:rPr>
      <w:rFonts w:ascii="Courier New" w:hAnsi="Courier New"/>
    </w:rPr>
  </w:style>
  <w:style w:type="paragraph" w:customStyle="1" w:styleId="NoteBullet">
    <w:name w:val="Note Bullet"/>
    <w:basedOn w:val="Note"/>
    <w:rsid w:val="00DD323C"/>
    <w:pPr>
      <w:tabs>
        <w:tab w:val="clear" w:pos="680"/>
      </w:tabs>
      <w:spacing w:before="60" w:after="60"/>
    </w:pPr>
  </w:style>
  <w:style w:type="paragraph" w:customStyle="1" w:styleId="SubHeading2">
    <w:name w:val="SubHeading2"/>
    <w:basedOn w:val="HeadingBase"/>
    <w:rsid w:val="00DD323C"/>
    <w:pPr>
      <w:spacing w:before="240" w:after="60"/>
    </w:pPr>
    <w:rPr>
      <w:sz w:val="20"/>
    </w:rPr>
  </w:style>
  <w:style w:type="paragraph" w:customStyle="1" w:styleId="SubHeading1">
    <w:name w:val="SubHeading1"/>
    <w:basedOn w:val="HeadingBase"/>
    <w:rsid w:val="00DD323C"/>
    <w:pPr>
      <w:spacing w:before="240" w:after="60"/>
    </w:pPr>
    <w:rPr>
      <w:color w:val="918585"/>
      <w:sz w:val="22"/>
    </w:rPr>
  </w:style>
  <w:style w:type="paragraph" w:customStyle="1" w:styleId="SideHeading">
    <w:name w:val="Side Heading"/>
    <w:basedOn w:val="HeadingBase"/>
    <w:rsid w:val="00DD32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23C"/>
    <w:pPr>
      <w:tabs>
        <w:tab w:val="num" w:pos="360"/>
      </w:tabs>
    </w:pPr>
  </w:style>
  <w:style w:type="paragraph" w:styleId="PlainText">
    <w:name w:val="Plain Text"/>
    <w:basedOn w:val="Normal"/>
    <w:link w:val="PlainTextChar"/>
    <w:rsid w:val="00DD323C"/>
    <w:rPr>
      <w:sz w:val="20"/>
    </w:rPr>
  </w:style>
  <w:style w:type="character" w:customStyle="1" w:styleId="PlainTextChar">
    <w:name w:val="Plain Text Char"/>
    <w:basedOn w:val="DefaultParagraphFont"/>
    <w:link w:val="PlainText"/>
    <w:rsid w:val="00DD32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323C"/>
    <w:rPr>
      <w:b/>
      <w:smallCaps/>
    </w:rPr>
  </w:style>
  <w:style w:type="paragraph" w:customStyle="1" w:styleId="TableListNumber">
    <w:name w:val="Table List Number"/>
    <w:basedOn w:val="ListNumber"/>
    <w:rsid w:val="00DD323C"/>
    <w:pPr>
      <w:numPr>
        <w:numId w:val="0"/>
      </w:numPr>
    </w:pPr>
  </w:style>
  <w:style w:type="paragraph" w:styleId="TOC4">
    <w:name w:val="toc 4"/>
    <w:basedOn w:val="TOCBase"/>
    <w:next w:val="Normal"/>
    <w:semiHidden/>
    <w:rsid w:val="00DD323C"/>
    <w:pPr>
      <w:tabs>
        <w:tab w:val="right" w:leader="dot" w:pos="9071"/>
      </w:tabs>
      <w:ind w:left="1701"/>
    </w:pPr>
  </w:style>
  <w:style w:type="paragraph" w:customStyle="1" w:styleId="ListAlpha">
    <w:name w:val="List Alpha"/>
    <w:basedOn w:val="List"/>
    <w:rsid w:val="00DD323C"/>
    <w:pPr>
      <w:numPr>
        <w:numId w:val="8"/>
      </w:numPr>
    </w:pPr>
  </w:style>
  <w:style w:type="paragraph" w:customStyle="1" w:styleId="ListAlpha2">
    <w:name w:val="List Alpha 2"/>
    <w:basedOn w:val="List2"/>
    <w:rsid w:val="00DD323C"/>
    <w:pPr>
      <w:numPr>
        <w:numId w:val="7"/>
      </w:numPr>
    </w:pPr>
  </w:style>
  <w:style w:type="paragraph" w:styleId="List3">
    <w:name w:val="List 3"/>
    <w:basedOn w:val="BodyText"/>
    <w:rsid w:val="00DD323C"/>
    <w:pPr>
      <w:tabs>
        <w:tab w:val="left" w:pos="1021"/>
      </w:tabs>
      <w:spacing w:before="60" w:after="60"/>
      <w:ind w:left="1020" w:hanging="340"/>
    </w:pPr>
  </w:style>
  <w:style w:type="paragraph" w:styleId="List4">
    <w:name w:val="List 4"/>
    <w:basedOn w:val="BodyText"/>
    <w:rsid w:val="00DD323C"/>
    <w:pPr>
      <w:tabs>
        <w:tab w:val="left" w:pos="1361"/>
      </w:tabs>
      <w:spacing w:before="60" w:after="60"/>
      <w:ind w:left="1361" w:hanging="340"/>
    </w:pPr>
  </w:style>
  <w:style w:type="paragraph" w:styleId="List5">
    <w:name w:val="List 5"/>
    <w:basedOn w:val="BodyText"/>
    <w:rsid w:val="00DD323C"/>
    <w:pPr>
      <w:tabs>
        <w:tab w:val="left" w:pos="1701"/>
      </w:tabs>
      <w:spacing w:before="60" w:after="60"/>
      <w:ind w:left="1701" w:hanging="340"/>
    </w:pPr>
  </w:style>
  <w:style w:type="paragraph" w:styleId="ListBullet3">
    <w:name w:val="List Bullet 3"/>
    <w:basedOn w:val="List3"/>
    <w:rsid w:val="00DD323C"/>
    <w:pPr>
      <w:numPr>
        <w:numId w:val="14"/>
      </w:numPr>
      <w:tabs>
        <w:tab w:val="clear" w:pos="1021"/>
      </w:tabs>
      <w:ind w:left="1037" w:hanging="357"/>
    </w:pPr>
  </w:style>
  <w:style w:type="paragraph" w:styleId="ListBullet4">
    <w:name w:val="List Bullet 4"/>
    <w:basedOn w:val="List4"/>
    <w:rsid w:val="00DD323C"/>
    <w:pPr>
      <w:numPr>
        <w:numId w:val="2"/>
      </w:numPr>
    </w:pPr>
  </w:style>
  <w:style w:type="paragraph" w:styleId="ListBullet5">
    <w:name w:val="List Bullet 5"/>
    <w:basedOn w:val="List5"/>
    <w:rsid w:val="00DD323C"/>
    <w:pPr>
      <w:numPr>
        <w:numId w:val="3"/>
      </w:numPr>
    </w:pPr>
  </w:style>
  <w:style w:type="paragraph" w:styleId="ListContinue2">
    <w:name w:val="List Continue 2"/>
    <w:basedOn w:val="List2"/>
    <w:rsid w:val="00DD323C"/>
    <w:pPr>
      <w:ind w:firstLine="0"/>
    </w:pPr>
  </w:style>
  <w:style w:type="paragraph" w:styleId="ListContinue3">
    <w:name w:val="List Continue 3"/>
    <w:basedOn w:val="List3"/>
    <w:rsid w:val="00DD323C"/>
    <w:pPr>
      <w:ind w:left="1021" w:firstLine="0"/>
    </w:pPr>
  </w:style>
  <w:style w:type="paragraph" w:styleId="ListContinue4">
    <w:name w:val="List Continue 4"/>
    <w:basedOn w:val="List4"/>
    <w:rsid w:val="00DD323C"/>
    <w:pPr>
      <w:ind w:firstLine="0"/>
    </w:pPr>
  </w:style>
  <w:style w:type="paragraph" w:styleId="ListContinue5">
    <w:name w:val="List Continue 5"/>
    <w:basedOn w:val="List5"/>
    <w:rsid w:val="00DD323C"/>
    <w:pPr>
      <w:ind w:firstLine="0"/>
    </w:pPr>
  </w:style>
  <w:style w:type="paragraph" w:styleId="ListNumber3">
    <w:name w:val="List Number 3"/>
    <w:basedOn w:val="List3"/>
    <w:rsid w:val="00DD323C"/>
    <w:pPr>
      <w:numPr>
        <w:numId w:val="4"/>
      </w:numPr>
    </w:pPr>
  </w:style>
  <w:style w:type="paragraph" w:styleId="ListNumber4">
    <w:name w:val="List Number 4"/>
    <w:basedOn w:val="List4"/>
    <w:rsid w:val="00DD323C"/>
    <w:pPr>
      <w:numPr>
        <w:numId w:val="5"/>
      </w:numPr>
    </w:pPr>
  </w:style>
  <w:style w:type="paragraph" w:styleId="ListNumber5">
    <w:name w:val="List Number 5"/>
    <w:basedOn w:val="List5"/>
    <w:rsid w:val="00DD323C"/>
    <w:pPr>
      <w:numPr>
        <w:numId w:val="6"/>
      </w:numPr>
    </w:pPr>
  </w:style>
  <w:style w:type="paragraph" w:styleId="BlockText">
    <w:name w:val="Block Text"/>
    <w:basedOn w:val="Normal"/>
    <w:rsid w:val="00DD323C"/>
    <w:pPr>
      <w:spacing w:after="120"/>
      <w:ind w:left="1440" w:right="1440"/>
    </w:pPr>
  </w:style>
  <w:style w:type="character" w:customStyle="1" w:styleId="Subscript">
    <w:name w:val="Subscript"/>
    <w:basedOn w:val="DefaultParagraphFont"/>
    <w:rsid w:val="00DD323C"/>
    <w:rPr>
      <w:sz w:val="16"/>
      <w:vertAlign w:val="subscript"/>
    </w:rPr>
  </w:style>
  <w:style w:type="character" w:customStyle="1" w:styleId="Superscript">
    <w:name w:val="Superscript"/>
    <w:basedOn w:val="DefaultParagraphFont"/>
    <w:rsid w:val="00DD323C"/>
    <w:rPr>
      <w:sz w:val="16"/>
      <w:vertAlign w:val="superscript"/>
    </w:rPr>
  </w:style>
  <w:style w:type="character" w:customStyle="1" w:styleId="Symbols">
    <w:name w:val="Symbols"/>
    <w:basedOn w:val="DefaultParagraphFont"/>
    <w:rsid w:val="00DD323C"/>
    <w:rPr>
      <w:rFonts w:ascii="Symbol" w:hAnsi="Symbol"/>
    </w:rPr>
  </w:style>
  <w:style w:type="character" w:customStyle="1" w:styleId="MenuOptions">
    <w:name w:val="Menu Options"/>
    <w:basedOn w:val="DefaultParagraphFont"/>
    <w:rsid w:val="00DD323C"/>
    <w:rPr>
      <w:rFonts w:ascii="Arial Narrow" w:hAnsi="Arial Narrow"/>
      <w:smallCaps/>
    </w:rPr>
  </w:style>
  <w:style w:type="character" w:customStyle="1" w:styleId="Buttons">
    <w:name w:val="Buttons"/>
    <w:basedOn w:val="DefaultParagraphFont"/>
    <w:rsid w:val="00DD323C"/>
    <w:rPr>
      <w:b/>
    </w:rPr>
  </w:style>
  <w:style w:type="character" w:customStyle="1" w:styleId="Underlined">
    <w:name w:val="Underlined"/>
    <w:basedOn w:val="DefaultParagraphFont"/>
    <w:rsid w:val="00DD323C"/>
    <w:rPr>
      <w:u w:val="single"/>
    </w:rPr>
  </w:style>
  <w:style w:type="paragraph" w:customStyle="1" w:styleId="TableBodyTextRight">
    <w:name w:val="Table Body Text Right"/>
    <w:basedOn w:val="TableBodyText"/>
    <w:rsid w:val="00DD323C"/>
    <w:pPr>
      <w:widowControl w:val="0"/>
      <w:autoSpaceDE w:val="0"/>
      <w:autoSpaceDN w:val="0"/>
      <w:adjustRightInd w:val="0"/>
      <w:jc w:val="right"/>
    </w:pPr>
    <w:rPr>
      <w:rFonts w:cs="Arial"/>
      <w:szCs w:val="18"/>
    </w:rPr>
  </w:style>
  <w:style w:type="paragraph" w:customStyle="1" w:styleId="CopyrightText">
    <w:name w:val="Copyright Text"/>
    <w:basedOn w:val="BodyText"/>
    <w:rsid w:val="00DD323C"/>
    <w:rPr>
      <w:sz w:val="18"/>
    </w:rPr>
  </w:style>
  <w:style w:type="paragraph" w:customStyle="1" w:styleId="BodySmallRight">
    <w:name w:val="Body Small Right"/>
    <w:basedOn w:val="BodyTextRight"/>
    <w:rsid w:val="00DD323C"/>
    <w:rPr>
      <w:sz w:val="18"/>
      <w:szCs w:val="18"/>
    </w:rPr>
  </w:style>
  <w:style w:type="paragraph" w:customStyle="1" w:styleId="MarginEdition">
    <w:name w:val="Margin Edition"/>
    <w:basedOn w:val="MarginNote"/>
    <w:rsid w:val="00DD323C"/>
    <w:pPr>
      <w:spacing w:before="0" w:after="0"/>
    </w:pPr>
    <w:rPr>
      <w:rFonts w:ascii="Times New Roman" w:hAnsi="Times New Roman"/>
      <w:color w:val="999999"/>
    </w:rPr>
  </w:style>
  <w:style w:type="paragraph" w:customStyle="1" w:styleId="Spacer">
    <w:name w:val="Spacer"/>
    <w:basedOn w:val="Normal"/>
    <w:rsid w:val="00DD323C"/>
    <w:rPr>
      <w:sz w:val="2"/>
      <w:szCs w:val="2"/>
    </w:rPr>
  </w:style>
  <w:style w:type="character" w:customStyle="1" w:styleId="Small">
    <w:name w:val="Small"/>
    <w:basedOn w:val="DefaultParagraphFont"/>
    <w:rsid w:val="00DD323C"/>
    <w:rPr>
      <w:sz w:val="16"/>
    </w:rPr>
  </w:style>
  <w:style w:type="paragraph" w:customStyle="1" w:styleId="WideTable">
    <w:name w:val="Wide Table"/>
    <w:basedOn w:val="Normal"/>
    <w:rsid w:val="00DD323C"/>
    <w:pPr>
      <w:ind w:left="-1418"/>
    </w:pPr>
    <w:rPr>
      <w:sz w:val="2"/>
      <w:szCs w:val="2"/>
    </w:rPr>
  </w:style>
  <w:style w:type="character" w:styleId="PageNumber">
    <w:name w:val="page number"/>
    <w:basedOn w:val="DefaultParagraphFont"/>
    <w:rsid w:val="00DD323C"/>
  </w:style>
  <w:style w:type="paragraph" w:styleId="Quote">
    <w:name w:val="Quote"/>
    <w:basedOn w:val="Heading1"/>
    <w:link w:val="QuoteChar"/>
    <w:qFormat/>
    <w:rsid w:val="00DD323C"/>
    <w:rPr>
      <w:b w:val="0"/>
      <w:sz w:val="72"/>
      <w:szCs w:val="72"/>
      <w:lang w:val="en-NZ"/>
    </w:rPr>
  </w:style>
  <w:style w:type="character" w:customStyle="1" w:styleId="QuoteChar">
    <w:name w:val="Quote Char"/>
    <w:basedOn w:val="DefaultParagraphFont"/>
    <w:link w:val="Quote"/>
    <w:rsid w:val="00DD32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23C"/>
    <w:pPr>
      <w:pageBreakBefore/>
    </w:pPr>
  </w:style>
  <w:style w:type="paragraph" w:customStyle="1" w:styleId="Border">
    <w:name w:val="Border"/>
    <w:basedOn w:val="Normal"/>
    <w:qFormat/>
    <w:rsid w:val="00DD32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23C"/>
    <w:rPr>
      <w:b/>
      <w:bCs/>
      <w:i/>
      <w:iCs/>
      <w:color w:val="auto"/>
    </w:rPr>
  </w:style>
  <w:style w:type="paragraph" w:styleId="IntenseQuote">
    <w:name w:val="Intense Quote"/>
    <w:basedOn w:val="Normal"/>
    <w:next w:val="Normal"/>
    <w:link w:val="IntenseQuoteChar"/>
    <w:uiPriority w:val="30"/>
    <w:qFormat/>
    <w:rsid w:val="00DD32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2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323C"/>
    <w:rPr>
      <w:smallCaps/>
      <w:color w:val="auto"/>
      <w:u w:val="single"/>
    </w:rPr>
  </w:style>
  <w:style w:type="character" w:styleId="IntenseReference">
    <w:name w:val="Intense Reference"/>
    <w:basedOn w:val="DefaultParagraphFont"/>
    <w:uiPriority w:val="32"/>
    <w:qFormat/>
    <w:rsid w:val="00DD323C"/>
    <w:rPr>
      <w:b/>
      <w:bCs/>
      <w:smallCaps/>
      <w:color w:val="auto"/>
      <w:spacing w:val="5"/>
      <w:u w:val="single"/>
    </w:rPr>
  </w:style>
  <w:style w:type="paragraph" w:customStyle="1" w:styleId="2ColumnHeading">
    <w:name w:val="2Column Heading"/>
    <w:basedOn w:val="BodyText"/>
    <w:qFormat/>
    <w:rsid w:val="00DD323C"/>
    <w:pPr>
      <w:spacing w:after="60"/>
      <w:ind w:left="-2268"/>
    </w:pPr>
    <w:rPr>
      <w:b/>
    </w:rPr>
  </w:style>
  <w:style w:type="paragraph" w:customStyle="1" w:styleId="Heading1TOC">
    <w:name w:val="Heading1 TOC"/>
    <w:basedOn w:val="Normal"/>
    <w:qFormat/>
    <w:rsid w:val="00DD323C"/>
    <w:pPr>
      <w:spacing w:before="240" w:after="120"/>
    </w:pPr>
    <w:rPr>
      <w:rFonts w:ascii="Times New Roman" w:hAnsi="Times New Roman"/>
      <w:b/>
      <w:sz w:val="32"/>
    </w:rPr>
  </w:style>
  <w:style w:type="paragraph" w:customStyle="1" w:styleId="Heading2TOC">
    <w:name w:val="Heading2 TOC"/>
    <w:basedOn w:val="Normal"/>
    <w:qFormat/>
    <w:rsid w:val="00DD323C"/>
    <w:pPr>
      <w:spacing w:before="240" w:after="60"/>
    </w:pPr>
    <w:rPr>
      <w:rFonts w:ascii="Times New Roman" w:hAnsi="Times New Roman"/>
      <w:b/>
      <w:sz w:val="28"/>
    </w:rPr>
  </w:style>
  <w:style w:type="character" w:customStyle="1" w:styleId="Underline">
    <w:name w:val="Underline"/>
    <w:basedOn w:val="DefaultParagraphFont"/>
    <w:qFormat/>
    <w:rsid w:val="00DD323C"/>
    <w:rPr>
      <w:u w:val="single"/>
    </w:rPr>
  </w:style>
  <w:style w:type="character" w:customStyle="1" w:styleId="BoldandItalics">
    <w:name w:val="Bold and Italics"/>
    <w:qFormat/>
    <w:rsid w:val="00DD323C"/>
    <w:rPr>
      <w:b/>
      <w:i/>
      <w:u w:val="none"/>
    </w:rPr>
  </w:style>
  <w:style w:type="paragraph" w:styleId="BalloonText">
    <w:name w:val="Balloon Text"/>
    <w:basedOn w:val="Normal"/>
    <w:link w:val="BalloonTextChar"/>
    <w:rsid w:val="00DD323C"/>
    <w:rPr>
      <w:rFonts w:ascii="Tahoma" w:hAnsi="Tahoma" w:cs="Tahoma"/>
      <w:sz w:val="16"/>
      <w:szCs w:val="16"/>
    </w:rPr>
  </w:style>
  <w:style w:type="character" w:customStyle="1" w:styleId="BalloonTextChar">
    <w:name w:val="Balloon Text Char"/>
    <w:basedOn w:val="DefaultParagraphFont"/>
    <w:link w:val="BalloonText"/>
    <w:rsid w:val="00DD32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32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2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1218</Words>
  <Characters>7541</Characters>
  <Application>Microsoft Office Word</Application>
  <DocSecurity>0</DocSecurity>
  <Lines>277</Lines>
  <Paragraphs>138</Paragraphs>
  <ScaleCrop>false</ScaleCrop>
  <Company>Author-it Software Corporation Ltd.</Company>
  <LinksUpToDate>false</LinksUpToDate>
  <CharactersWithSpaces>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PMC557090A Select refractory materials for an application</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2012-05-26T19:12:00Z</dcterms:created>
  <dcterms:modified xsi:type="dcterms:W3CDTF">2012-05-26T19:12:00Z</dcterms:modified>
</cp:coreProperties>
</file>