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434" w:rsidP="00974434">
      <w:pPr>
        <w:pStyle w:val="Title"/>
      </w:pPr>
      <w:r>
        <w:fldChar w:fldCharType="begin"/>
      </w:r>
      <w:r>
        <w:instrText xml:space="preserve"> TITLE   \* MERGEFORMAT </w:instrText>
      </w:r>
      <w:r>
        <w:fldChar w:fldCharType="separate"/>
      </w:r>
      <w:r>
        <w:t>PMC554091B Analyse refractory failures</w:t>
      </w:r>
      <w:r>
        <w:fldChar w:fldCharType="end"/>
      </w:r>
    </w:p>
    <w:p w:rsidR="00974434" w:rsidP="00974434">
      <w:pPr>
        <w:pStyle w:val="Version"/>
        <w:sectPr w:rsidSect="00AB57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575C" w:rsidP="00AB575C">
      <w:pPr>
        <w:pStyle w:val="SuperHeading"/>
      </w:pPr>
      <w:r w:rsidRPr="00AB575C">
        <w:t>PMC554091B Analyse refractory failures</w:t>
      </w:r>
    </w:p>
    <w:p w:rsidR="00000000" w:rsidRPr="00AB575C" w:rsidP="00AB575C">
      <w:pPr>
        <w:pStyle w:val="SuperHeading"/>
      </w:pPr>
    </w:p>
    <w:p w:rsidR="00000000" w:rsidRPr="00AB575C" w:rsidP="00AB575C">
      <w:pPr>
        <w:pStyle w:val="Heading1"/>
      </w:pPr>
      <w:bookmarkStart w:id="1" w:name="O_110691"/>
      <w:bookmarkEnd w:id="1"/>
      <w:r w:rsidRPr="00AB575C">
        <w:t>Modification History</w:t>
      </w:r>
    </w:p>
    <w:p w:rsidR="00000000" w:rsidRPr="00AB575C" w:rsidP="00AB575C">
      <w:pPr>
        <w:pStyle w:val="BodyText"/>
      </w:pPr>
      <w:r w:rsidRPr="00AB575C">
        <w:t>Not applicable.</w:t>
      </w:r>
    </w:p>
    <w:p w:rsidR="00000000" w:rsidRPr="00AB575C" w:rsidP="00AB575C">
      <w:pPr>
        <w:pStyle w:val="AllowPageBreak"/>
      </w:pPr>
    </w:p>
    <w:p w:rsidR="00000000" w:rsidRPr="00AB575C" w:rsidP="00AB575C">
      <w:pPr>
        <w:pStyle w:val="Heading1"/>
      </w:pPr>
      <w:bookmarkStart w:id="2" w:name="O_110692"/>
      <w:bookmarkEnd w:id="2"/>
      <w:r w:rsidRPr="00AB575C">
        <w:t>Unit Descriptor</w:t>
      </w:r>
    </w:p>
    <w:tbl>
      <w:tblPr>
        <w:tblW w:w="0" w:type="auto"/>
        <w:tblLayout w:type="fixed"/>
        <w:tblCellMar>
          <w:left w:w="62" w:type="dxa"/>
          <w:right w:w="62" w:type="dxa"/>
        </w:tblCellMar>
        <w:tblLook w:val="0000"/>
      </w:tblPr>
      <w:tblGrid>
        <w:gridCol w:w="2667"/>
        <w:gridCol w:w="5855"/>
      </w:tblGrid>
      <w:tr w:rsidTr="0097443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This unit of competency covers analysing a refractory failure to determine failure mode. It involves understan</w:t>
            </w:r>
            <w:r w:rsidRPr="00AB575C">
              <w:t xml:space="preserve">ding failure modes, differentiating different modes and understanding forensic procedures. </w:t>
            </w:r>
          </w:p>
        </w:tc>
      </w:tr>
    </w:tbl>
    <w:p w:rsidR="00000000" w:rsidRPr="00AB575C" w:rsidP="00AB575C">
      <w:pPr>
        <w:pStyle w:val="BodyText"/>
      </w:pPr>
    </w:p>
    <w:p w:rsidR="00000000" w:rsidRPr="00AB575C" w:rsidP="00AB575C">
      <w:pPr>
        <w:pStyle w:val="AllowPageBreak"/>
      </w:pPr>
    </w:p>
    <w:p w:rsidR="00000000" w:rsidRPr="00AB575C" w:rsidP="00AB575C">
      <w:pPr>
        <w:pStyle w:val="Heading1"/>
      </w:pPr>
      <w:bookmarkStart w:id="3" w:name="O_110693"/>
      <w:bookmarkEnd w:id="3"/>
      <w:r w:rsidRPr="00AB575C">
        <w:t>Application of the Unit</w:t>
      </w:r>
    </w:p>
    <w:tbl>
      <w:tblPr>
        <w:tblW w:w="0" w:type="auto"/>
        <w:tblLayout w:type="fixed"/>
        <w:tblCellMar>
          <w:left w:w="62" w:type="dxa"/>
          <w:right w:w="62" w:type="dxa"/>
        </w:tblCellMar>
        <w:tblLook w:val="0000"/>
      </w:tblPr>
      <w:tblGrid>
        <w:gridCol w:w="2745"/>
        <w:gridCol w:w="5777"/>
      </w:tblGrid>
      <w:tr w:rsidTr="0097443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Refractories may fail due to a number of reasons, and these may be mechanical (wear, impact) or thermal (thermal stresses, flame impingement) or due to other reasons. The analysis of failures is important so that replacement refractories can be better desi</w:t>
            </w:r>
            <w:r w:rsidRPr="00AB575C">
              <w:t xml:space="preserve">gned to reduce this failure and extend the time between failure/ replacement. </w:t>
            </w:r>
          </w:p>
          <w:p w:rsidR="00000000" w:rsidRPr="00AB575C" w:rsidP="00AB575C">
            <w:pPr>
              <w:pStyle w:val="BodyText"/>
            </w:pPr>
            <w:r w:rsidRPr="00AB575C">
              <w:t>This unit covers all common types of refractory failures. The failure needs to be recognised and distinguished from other possible causes. Possible causes for the failure also n</w:t>
            </w:r>
            <w:r w:rsidRPr="00AB575C">
              <w:t>eed to be identified particularly if failure is unexpected/refractory life is shorter than expected</w:t>
            </w:r>
          </w:p>
          <w:p w:rsidR="00000000" w:rsidRPr="00AB575C" w:rsidP="00AB575C">
            <w:pPr>
              <w:pStyle w:val="BodyText"/>
            </w:pPr>
            <w:r w:rsidRPr="00AB575C">
              <w:t>This unit would typically be undertaken by a technician working either alone or in liaison with another refractory expert.</w:t>
            </w:r>
          </w:p>
        </w:tc>
      </w:tr>
    </w:tbl>
    <w:p w:rsidR="00000000" w:rsidRPr="00AB575C" w:rsidP="00AB575C">
      <w:pPr>
        <w:pStyle w:val="BodyText"/>
      </w:pPr>
    </w:p>
    <w:p w:rsidR="00000000" w:rsidRPr="00AB575C" w:rsidP="00AB575C">
      <w:pPr>
        <w:pStyle w:val="AllowPageBreak"/>
      </w:pPr>
    </w:p>
    <w:p w:rsidR="00000000" w:rsidRPr="00AB575C" w:rsidP="00AB575C">
      <w:pPr>
        <w:pStyle w:val="Heading1"/>
      </w:pPr>
      <w:bookmarkStart w:id="4" w:name="O_110694"/>
      <w:bookmarkEnd w:id="4"/>
      <w:r w:rsidRPr="00AB575C">
        <w:t>Licensing/Regu</w:t>
      </w:r>
      <w:r w:rsidRPr="00AB575C">
        <w:t>latory Information</w:t>
      </w:r>
    </w:p>
    <w:p w:rsidR="00000000" w:rsidRPr="00AB575C" w:rsidP="00AB575C">
      <w:pPr>
        <w:pStyle w:val="BodyText"/>
      </w:pPr>
      <w:r w:rsidRPr="00AB575C">
        <w:t>Not applicable.</w:t>
      </w:r>
    </w:p>
    <w:p w:rsidR="00000000" w:rsidRPr="00AB575C" w:rsidP="00AB575C">
      <w:pPr>
        <w:pStyle w:val="AllowPageBreak"/>
      </w:pPr>
    </w:p>
    <w:p w:rsidR="00000000" w:rsidRPr="00AB575C" w:rsidP="00AB575C">
      <w:pPr>
        <w:pStyle w:val="Heading1"/>
      </w:pPr>
      <w:bookmarkStart w:id="5" w:name="O_110696"/>
      <w:bookmarkEnd w:id="5"/>
      <w:r w:rsidRPr="00AB575C">
        <w:t>Pre-Requisites</w:t>
      </w:r>
    </w:p>
    <w:tbl>
      <w:tblPr>
        <w:tblW w:w="0" w:type="auto"/>
        <w:tblLayout w:type="fixed"/>
        <w:tblCellMar>
          <w:left w:w="62" w:type="dxa"/>
          <w:right w:w="62" w:type="dxa"/>
        </w:tblCellMar>
        <w:tblLook w:val="0000"/>
      </w:tblPr>
      <w:tblGrid>
        <w:gridCol w:w="2775"/>
        <w:gridCol w:w="1295"/>
        <w:gridCol w:w="4452"/>
      </w:tblGrid>
      <w:tr w:rsidTr="009744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p>
        </w:tc>
      </w:tr>
      <w:tr w:rsidTr="009744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p>
        </w:tc>
      </w:tr>
      <w:tr w:rsidTr="009744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p>
        </w:tc>
      </w:tr>
    </w:tbl>
    <w:p w:rsidR="00000000" w:rsidRPr="00AB575C" w:rsidP="00AB575C">
      <w:pPr>
        <w:pStyle w:val="BodyText"/>
      </w:pPr>
    </w:p>
    <w:p w:rsidR="00000000" w:rsidRPr="00AB575C" w:rsidP="00AB575C">
      <w:pPr>
        <w:pStyle w:val="AllowPageBreak"/>
      </w:pPr>
    </w:p>
    <w:p w:rsidR="00000000" w:rsidRPr="00AB575C" w:rsidP="00AB575C">
      <w:pPr>
        <w:pStyle w:val="Heading1"/>
      </w:pPr>
      <w:bookmarkStart w:id="6" w:name="O_110695"/>
      <w:bookmarkEnd w:id="6"/>
      <w:r w:rsidRPr="00AB575C">
        <w:t>Employability Skills Information</w:t>
      </w:r>
    </w:p>
    <w:tbl>
      <w:tblPr>
        <w:tblW w:w="0" w:type="auto"/>
        <w:tblLayout w:type="fixed"/>
        <w:tblCellMar>
          <w:left w:w="62" w:type="dxa"/>
          <w:right w:w="62" w:type="dxa"/>
        </w:tblCellMar>
        <w:tblLook w:val="0000"/>
      </w:tblPr>
      <w:tblGrid>
        <w:gridCol w:w="2802"/>
        <w:gridCol w:w="5720"/>
      </w:tblGrid>
      <w:tr w:rsidTr="009744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This unit contains employability skills.</w:t>
            </w:r>
          </w:p>
        </w:tc>
      </w:tr>
    </w:tbl>
    <w:p w:rsidR="00000000" w:rsidRPr="00AB575C" w:rsidP="00AB575C">
      <w:pPr>
        <w:pStyle w:val="BodyText"/>
      </w:pPr>
    </w:p>
    <w:p w:rsidR="00000000" w:rsidRPr="00AB575C" w:rsidP="00AB575C">
      <w:pPr>
        <w:pStyle w:val="AllowPageBreak"/>
      </w:pPr>
    </w:p>
    <w:p w:rsidR="00000000" w:rsidRPr="00AB575C" w:rsidP="00AB575C">
      <w:pPr>
        <w:pStyle w:val="Heading1"/>
      </w:pPr>
      <w:bookmarkStart w:id="7" w:name="O_110697"/>
      <w:bookmarkEnd w:id="7"/>
      <w:r w:rsidRPr="00AB575C">
        <w:t>Elements and Performance Criteria Pre-Content</w:t>
      </w:r>
    </w:p>
    <w:tbl>
      <w:tblPr>
        <w:tblW w:w="0" w:type="auto"/>
        <w:tblLayout w:type="fixed"/>
        <w:tblCellMar>
          <w:left w:w="62" w:type="dxa"/>
          <w:right w:w="62" w:type="dxa"/>
        </w:tblCellMar>
        <w:tblLook w:val="0000"/>
      </w:tblPr>
      <w:tblGrid>
        <w:gridCol w:w="2539"/>
        <w:gridCol w:w="5983"/>
      </w:tblGrid>
      <w:tr w:rsidTr="00974434">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Performance criteria describe the performance needed to demonstrate achievement of the element. Where bold italicised text is used, further info</w:t>
            </w:r>
            <w:r w:rsidRPr="00AB575C">
              <w:t>rmation is detailed in the required skills and knowledge section and the range statement. Assessment of performance is to be consistent with the evidence guide.</w:t>
            </w:r>
          </w:p>
        </w:tc>
      </w:tr>
    </w:tbl>
    <w:p w:rsidR="00000000" w:rsidRPr="00AB575C" w:rsidP="00AB575C">
      <w:pPr>
        <w:pStyle w:val="BodyText"/>
      </w:pPr>
    </w:p>
    <w:p w:rsidR="00000000" w:rsidRPr="00AB575C" w:rsidP="00AB575C">
      <w:pPr>
        <w:pStyle w:val="AllowPageBreak"/>
      </w:pPr>
    </w:p>
    <w:p w:rsidR="00000000" w:rsidRPr="00AB575C" w:rsidP="00AB575C">
      <w:pPr>
        <w:pStyle w:val="Heading1"/>
      </w:pPr>
      <w:bookmarkStart w:id="8" w:name="O_110698"/>
      <w:bookmarkEnd w:id="8"/>
      <w:r w:rsidRPr="00AB575C">
        <w:t>Elements and Performance Criteria</w:t>
      </w:r>
    </w:p>
    <w:tbl>
      <w:tblPr>
        <w:tblW w:w="0" w:type="auto"/>
        <w:tblLayout w:type="fixed"/>
        <w:tblCellMar>
          <w:left w:w="62" w:type="dxa"/>
          <w:right w:w="62" w:type="dxa"/>
        </w:tblCellMar>
        <w:tblLook w:val="0000"/>
      </w:tblPr>
      <w:tblGrid>
        <w:gridCol w:w="2539"/>
        <w:gridCol w:w="5983"/>
      </w:tblGrid>
      <w:tr w:rsidTr="00974434">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PERFORMANCE CRITERIA</w:t>
            </w:r>
          </w:p>
        </w:tc>
      </w:tr>
      <w:tr w:rsidTr="00974434">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List"/>
              <w:rPr>
                <w:lang w:val="en-NZ"/>
              </w:rPr>
            </w:pPr>
            <w:r w:rsidRPr="00AB575C">
              <w:t>1.</w:t>
            </w:r>
            <w:r w:rsidRPr="00AB575C">
              <w:tab/>
            </w:r>
            <w:r w:rsidRPr="00AB575C">
              <w:t>Establish the suitability of resources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List2"/>
            </w:pPr>
            <w:r w:rsidRPr="00AB575C">
              <w:t>1.1.</w:t>
            </w:r>
            <w:r w:rsidRPr="00AB575C">
              <w:tab/>
              <w:t>Check all information conforms with resources</w:t>
            </w:r>
          </w:p>
          <w:p w:rsidR="00000000" w:rsidRPr="00AB575C" w:rsidP="00AB575C">
            <w:pPr>
              <w:pStyle w:val="List2"/>
            </w:pPr>
            <w:r w:rsidRPr="00AB575C">
              <w:t>1.2.</w:t>
            </w:r>
            <w:r w:rsidRPr="00AB575C">
              <w:tab/>
              <w:t>Record discrepancies in information</w:t>
            </w:r>
          </w:p>
          <w:p w:rsidR="00000000" w:rsidRPr="00AB575C" w:rsidP="00AB575C">
            <w:pPr>
              <w:pStyle w:val="List2"/>
            </w:pPr>
            <w:r w:rsidRPr="00AB575C">
              <w:t>1.3.</w:t>
            </w:r>
            <w:r w:rsidRPr="00AB575C">
              <w:tab/>
              <w:t>Report any inaccuracies in information to the person in charge</w:t>
            </w:r>
          </w:p>
          <w:p w:rsidR="00000000" w:rsidP="00AB575C">
            <w:pPr>
              <w:pStyle w:val="List2"/>
              <w:rPr>
                <w:lang w:val="en-NZ"/>
              </w:rPr>
            </w:pPr>
            <w:r w:rsidRPr="00AB575C">
              <w:t>1.4.</w:t>
            </w:r>
            <w:r w:rsidRPr="00AB575C">
              <w:tab/>
              <w:t>Identify and select materials, components, tools and</w:t>
            </w:r>
            <w:r w:rsidRPr="00AB575C">
              <w:t xml:space="preserve"> equipment</w:t>
            </w:r>
          </w:p>
        </w:tc>
      </w:tr>
      <w:tr w:rsidTr="00974434">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List"/>
              <w:rPr>
                <w:lang w:val="en-NZ"/>
              </w:rPr>
            </w:pPr>
            <w:r w:rsidRPr="00AB575C">
              <w:t>2.</w:t>
            </w:r>
            <w:r w:rsidRPr="00AB575C">
              <w:tab/>
              <w:t>Analyse failure modes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List2"/>
            </w:pPr>
            <w:r w:rsidRPr="00AB575C">
              <w:t>2.1.</w:t>
            </w:r>
            <w:r w:rsidRPr="00AB575C">
              <w:tab/>
              <w:t>Identify spalling modes</w:t>
            </w:r>
          </w:p>
          <w:p w:rsidR="00000000" w:rsidRPr="00AB575C" w:rsidP="00AB575C">
            <w:pPr>
              <w:pStyle w:val="List2"/>
            </w:pPr>
            <w:r w:rsidRPr="00AB575C">
              <w:t>2.2.</w:t>
            </w:r>
            <w:r w:rsidRPr="00AB575C">
              <w:tab/>
              <w:t>Identify corrosion mode</w:t>
            </w:r>
          </w:p>
          <w:p w:rsidR="00000000" w:rsidRPr="00AB575C" w:rsidP="00AB575C">
            <w:pPr>
              <w:pStyle w:val="List2"/>
            </w:pPr>
            <w:r w:rsidRPr="00AB575C">
              <w:t>2.3.</w:t>
            </w:r>
            <w:r w:rsidRPr="00AB575C">
              <w:tab/>
              <w:t>Identify abrasion modes</w:t>
            </w:r>
          </w:p>
          <w:p w:rsidR="00000000" w:rsidP="00AB575C">
            <w:pPr>
              <w:pStyle w:val="List2"/>
              <w:rPr>
                <w:lang w:val="en-NZ"/>
              </w:rPr>
            </w:pPr>
            <w:r w:rsidRPr="00AB575C">
              <w:t>2.4.</w:t>
            </w:r>
            <w:r w:rsidRPr="00AB575C">
              <w:tab/>
              <w:t>Identify impact/compression/tensile modes</w:t>
            </w:r>
          </w:p>
        </w:tc>
      </w:tr>
      <w:tr w:rsidTr="00974434">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List"/>
              <w:rPr>
                <w:lang w:val="en-NZ"/>
              </w:rPr>
            </w:pPr>
            <w:r w:rsidRPr="00AB575C">
              <w:t>3.</w:t>
            </w:r>
            <w:r w:rsidRPr="00AB575C">
              <w:tab/>
              <w:t>Undertake forensic procedures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List2"/>
            </w:pPr>
            <w:r w:rsidRPr="00AB575C">
              <w:t>3.1.</w:t>
            </w:r>
            <w:r w:rsidRPr="00AB575C">
              <w:tab/>
              <w:t>Plan required investigation</w:t>
            </w:r>
          </w:p>
          <w:p w:rsidR="00000000" w:rsidRPr="00AB575C" w:rsidP="00AB575C">
            <w:pPr>
              <w:pStyle w:val="List2"/>
            </w:pPr>
            <w:r w:rsidRPr="00AB575C">
              <w:t>3.2.</w:t>
            </w:r>
            <w:r w:rsidRPr="00AB575C">
              <w:tab/>
            </w:r>
            <w:r w:rsidRPr="00AB575C">
              <w:t>Specify required testwork/analyses</w:t>
            </w:r>
          </w:p>
          <w:p w:rsidR="00000000" w:rsidRPr="00AB575C" w:rsidP="00AB575C">
            <w:pPr>
              <w:pStyle w:val="List2"/>
            </w:pPr>
            <w:r w:rsidRPr="00AB575C">
              <w:t>3.3.</w:t>
            </w:r>
            <w:r w:rsidRPr="00AB575C">
              <w:tab/>
              <w:t>Interpret test results</w:t>
            </w:r>
          </w:p>
          <w:p w:rsidR="00000000" w:rsidRPr="00AB575C" w:rsidP="00AB575C">
            <w:pPr>
              <w:pStyle w:val="List2"/>
            </w:pPr>
            <w:r w:rsidRPr="00AB575C">
              <w:t>3.4.</w:t>
            </w:r>
            <w:r w:rsidRPr="00AB575C">
              <w:tab/>
              <w:t>Formulate simple reports</w:t>
            </w:r>
          </w:p>
        </w:tc>
      </w:tr>
    </w:tbl>
    <w:p w:rsidR="00000000" w:rsidRPr="00AB575C" w:rsidP="00AB575C">
      <w:pPr>
        <w:pStyle w:val="BodyText"/>
      </w:pPr>
    </w:p>
    <w:p w:rsidR="00000000" w:rsidRPr="00AB575C" w:rsidP="00AB575C">
      <w:pPr>
        <w:pStyle w:val="AllowPageBreak"/>
      </w:pPr>
    </w:p>
    <w:p w:rsidR="00000000" w:rsidRPr="00AB575C" w:rsidP="00AB575C">
      <w:pPr>
        <w:pStyle w:val="Heading1"/>
      </w:pPr>
      <w:bookmarkStart w:id="9" w:name="O_110699"/>
      <w:bookmarkEnd w:id="9"/>
      <w:r w:rsidRPr="00AB575C">
        <w:t>Required Skills and Knowledge</w:t>
      </w:r>
    </w:p>
    <w:tbl>
      <w:tblPr>
        <w:tblW w:w="0" w:type="auto"/>
        <w:tblLayout w:type="fixed"/>
        <w:tblCellMar>
          <w:left w:w="62" w:type="dxa"/>
          <w:right w:w="62" w:type="dxa"/>
        </w:tblCellMar>
        <w:tblLook w:val="0000"/>
      </w:tblPr>
      <w:tblGrid>
        <w:gridCol w:w="8522"/>
      </w:tblGrid>
      <w:tr w:rsidTr="009744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REQUIRED SKILLS AND KNOWLEDGE</w:t>
            </w:r>
          </w:p>
        </w:tc>
      </w:tr>
      <w:tr w:rsidTr="009744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t>This section describes the skills and knowledge required for this unit.</w:t>
            </w:r>
          </w:p>
        </w:tc>
      </w:tr>
      <w:tr w:rsidTr="00974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Required skills</w:t>
            </w:r>
          </w:p>
        </w:tc>
      </w:tr>
      <w:tr w:rsidTr="00974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Required skills include:</w:t>
            </w:r>
          </w:p>
          <w:p w:rsidR="00000000" w:rsidRPr="00AB575C" w:rsidP="00AB575C">
            <w:pPr>
              <w:pStyle w:val="ListBullet"/>
            </w:pPr>
            <w:r w:rsidRPr="00AB575C">
              <w:t>observing workplace procedures</w:t>
            </w:r>
          </w:p>
          <w:p w:rsidR="00000000" w:rsidRPr="00AB575C" w:rsidP="00AB575C">
            <w:pPr>
              <w:pStyle w:val="ListBullet"/>
            </w:pPr>
            <w:r w:rsidRPr="00AB575C">
              <w:t>identify and solving problems</w:t>
            </w:r>
          </w:p>
          <w:p w:rsidR="00000000" w:rsidRPr="00AB575C" w:rsidP="00AB575C">
            <w:pPr>
              <w:pStyle w:val="ListBullet"/>
            </w:pPr>
            <w:r w:rsidRPr="00AB575C">
              <w:t>working in a team or individually, as required</w:t>
            </w:r>
          </w:p>
          <w:p w:rsidR="00000000" w:rsidP="00AB575C">
            <w:pPr>
              <w:pStyle w:val="ListBullet"/>
              <w:rPr>
                <w:lang w:val="en-NZ"/>
              </w:rPr>
            </w:pPr>
            <w:r w:rsidRPr="00AB575C">
              <w:t>reading and numeracy to interpret workplace documents and technical information</w:t>
            </w:r>
          </w:p>
        </w:tc>
      </w:tr>
      <w:tr w:rsidTr="00974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Required knowledge</w:t>
            </w:r>
          </w:p>
        </w:tc>
      </w:tr>
      <w:tr w:rsidTr="00974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Required knowledge includes:</w:t>
            </w:r>
          </w:p>
          <w:p w:rsidR="00000000" w:rsidRPr="00AB575C" w:rsidP="00AB575C">
            <w:pPr>
              <w:pStyle w:val="ListBullet"/>
            </w:pPr>
            <w:r w:rsidRPr="00AB575C">
              <w:t>basis of various failure modes</w:t>
            </w:r>
          </w:p>
          <w:p w:rsidR="00000000" w:rsidRPr="00AB575C" w:rsidP="00AB575C">
            <w:pPr>
              <w:pStyle w:val="ListBullet"/>
            </w:pPr>
            <w:r w:rsidRPr="00AB575C">
              <w:t>organisation of simple testwork programs</w:t>
            </w:r>
          </w:p>
          <w:p w:rsidR="00000000" w:rsidRPr="00AB575C" w:rsidP="00AB575C">
            <w:pPr>
              <w:pStyle w:val="ListBullet"/>
            </w:pPr>
            <w:r w:rsidRPr="00AB575C">
              <w:t>make appropriate judgements on results</w:t>
            </w:r>
          </w:p>
          <w:p w:rsidR="00000000" w:rsidRPr="00AB575C" w:rsidP="00AB575C">
            <w:pPr>
              <w:pStyle w:val="ListBullet"/>
            </w:pPr>
            <w:r w:rsidRPr="00AB575C">
              <w:t>reporting results in report format</w:t>
            </w:r>
          </w:p>
        </w:tc>
      </w:tr>
    </w:tbl>
    <w:p w:rsidR="00000000" w:rsidRPr="00AB575C" w:rsidP="00AB575C">
      <w:pPr>
        <w:pStyle w:val="BodyText"/>
      </w:pPr>
    </w:p>
    <w:p w:rsidR="00000000" w:rsidRPr="00AB575C" w:rsidP="00AB575C">
      <w:pPr>
        <w:pStyle w:val="AllowPageBreak"/>
      </w:pPr>
    </w:p>
    <w:p w:rsidR="00000000" w:rsidRPr="00AB575C" w:rsidP="00AB575C">
      <w:pPr>
        <w:pStyle w:val="Heading1"/>
      </w:pPr>
      <w:bookmarkStart w:id="10" w:name="O_110700"/>
      <w:bookmarkEnd w:id="10"/>
      <w:r w:rsidRPr="00AB575C">
        <w:t>Evidence Guide</w:t>
      </w:r>
    </w:p>
    <w:tbl>
      <w:tblPr>
        <w:tblW w:w="9570" w:type="dxa"/>
        <w:tblLayout w:type="fixed"/>
        <w:tblCellMar>
          <w:left w:w="62" w:type="dxa"/>
          <w:right w:w="62" w:type="dxa"/>
        </w:tblCellMar>
        <w:tblLook w:val="0000"/>
      </w:tblPr>
      <w:tblGrid>
        <w:gridCol w:w="3908"/>
        <w:gridCol w:w="5662"/>
      </w:tblGrid>
      <w:tr w:rsidTr="009744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EVIDENCE GUIDE</w:t>
            </w:r>
          </w:p>
        </w:tc>
      </w:tr>
      <w:tr w:rsidTr="009744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t>The Evidence Guide provides advice on assessment and must be read in conjunction with the performance criteria, required skills and knowledge, range statement and the Assessment Guidelines for the Training Package.</w:t>
            </w:r>
          </w:p>
        </w:tc>
      </w:tr>
      <w:tr w:rsidTr="009744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t>The unit will be</w:t>
            </w:r>
            <w:r w:rsidRPr="00AB575C">
              <w:t xml:space="preserve"> assessed in as holistic a manner as is practical and may be integrated with the assessment of other relevant units of competency.</w:t>
            </w:r>
          </w:p>
        </w:tc>
      </w:tr>
      <w:tr w:rsidTr="009744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Competence must be demonstrated</w:t>
            </w:r>
            <w:r w:rsidRPr="00AB575C">
              <w:t xml:space="preserve"> in the ability to recognise and analyse potential situations requiring action and then in implementing appropriate corrective action.</w:t>
            </w:r>
          </w:p>
          <w:p w:rsidR="00000000" w:rsidRPr="00AB575C" w:rsidP="00AB575C">
            <w:pPr>
              <w:pStyle w:val="BodyText"/>
            </w:pPr>
            <w:r w:rsidRPr="00AB575C">
              <w:t>Consistent performance should be demonstrated. In particular look to see that:</w:t>
            </w:r>
          </w:p>
          <w:p w:rsidR="00000000" w:rsidP="00AB575C">
            <w:pPr>
              <w:pStyle w:val="ListBullet"/>
              <w:rPr>
                <w:lang w:val="en-NZ"/>
              </w:rPr>
            </w:pPr>
            <w:r w:rsidRPr="00AB575C">
              <w:t xml:space="preserve">investigation of a failure is undertaken </w:t>
            </w:r>
            <w:r w:rsidRPr="00AB575C">
              <w:t>and an evidence based conclusion as to the failure mode is developed.</w:t>
            </w:r>
          </w:p>
        </w:tc>
      </w:tr>
      <w:tr w:rsidTr="009744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Assessment will require access to an operating plant over an extended period of time, or a suitable method of gathering evidence of oper</w:t>
            </w:r>
            <w:r w:rsidRPr="00AB575C">
              <w:t xml:space="preserve">ating ability over a range of situations. </w:t>
            </w:r>
          </w:p>
          <w:p w:rsidR="00000000" w:rsidRPr="00AB575C" w:rsidP="00AB575C">
            <w:pPr>
              <w:pStyle w:val="BodyText"/>
            </w:pPr>
            <w:r w:rsidRPr="00AB575C">
              <w:t>Assessment will occur over a range of situations which will include disruptions to normal, smooth operation.</w:t>
            </w:r>
          </w:p>
          <w:p w:rsidR="00000000" w:rsidP="00AB575C">
            <w:pPr>
              <w:pStyle w:val="BodyText"/>
              <w:rPr>
                <w:lang w:val="en-NZ"/>
              </w:rPr>
            </w:pPr>
            <w:r w:rsidRPr="00AB575C">
              <w:t>Simulation or case studies/scenarios may be required to allow for timely assessment of parts of this uni</w:t>
            </w:r>
            <w:r w:rsidRPr="00AB575C">
              <w:t>t of competency. Simulation should be based on the actual plant and will include 'walk-throughs' of the relevant competency components. A bank of scenarios/case studies/what ifs and questions will be required to probe the reasoning behind observable action</w:t>
            </w:r>
            <w:r w:rsidRPr="00AB575C">
              <w:t>s.</w:t>
            </w:r>
          </w:p>
        </w:tc>
      </w:tr>
      <w:tr w:rsidTr="009744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 xml:space="preserve">It may be appropriate to assess this unit concurrently with relevant teamwork and communication units. </w:t>
            </w:r>
          </w:p>
          <w:p w:rsidR="00000000" w:rsidRPr="00AB575C" w:rsidP="00AB575C">
            <w:pPr>
              <w:pStyle w:val="BodyText"/>
            </w:pPr>
            <w:r w:rsidRPr="00AB575C">
              <w:t>It may be appropriate to assess this unit concurrently with other relevant units.</w:t>
            </w:r>
          </w:p>
          <w:p w:rsidR="00000000" w:rsidP="00AB575C">
            <w:pPr>
              <w:pStyle w:val="BodyText"/>
              <w:rPr>
                <w:lang w:val="en-NZ"/>
              </w:rPr>
            </w:pPr>
            <w:r w:rsidRPr="00AB575C">
              <w:t>Where the analysis of refractory failure is t</w:t>
            </w:r>
            <w:r w:rsidRPr="00AB575C">
              <w:t>o occur on-site or in a vessel then competency in the appropriate OHS and/or permit units is also required.</w:t>
            </w:r>
          </w:p>
        </w:tc>
      </w:tr>
      <w:tr w:rsidTr="009744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Assessment processes and techniques must be culturally appropriate and appropriate to the language and literacy</w:t>
            </w:r>
            <w:r w:rsidRPr="00AB575C">
              <w:t xml:space="preserve"> capacity of the candidate and the work being performed.</w:t>
            </w:r>
          </w:p>
        </w:tc>
      </w:tr>
    </w:tbl>
    <w:p w:rsidR="00000000" w:rsidRPr="00AB575C" w:rsidP="00AB575C">
      <w:pPr>
        <w:pStyle w:val="BodyText"/>
      </w:pPr>
    </w:p>
    <w:p w:rsidR="00000000" w:rsidRPr="00AB575C" w:rsidP="00AB575C">
      <w:pPr>
        <w:pStyle w:val="AllowPageBreak"/>
      </w:pPr>
    </w:p>
    <w:p w:rsidR="00000000" w:rsidRPr="00AB575C" w:rsidP="00AB575C">
      <w:pPr>
        <w:pStyle w:val="Heading1"/>
      </w:pPr>
      <w:bookmarkStart w:id="11" w:name="O_110701"/>
      <w:bookmarkEnd w:id="11"/>
      <w:r w:rsidRPr="00AB575C">
        <w:t>Range Statement</w:t>
      </w:r>
    </w:p>
    <w:tbl>
      <w:tblPr>
        <w:tblW w:w="0" w:type="auto"/>
        <w:tblLayout w:type="fixed"/>
        <w:tblCellMar>
          <w:left w:w="62" w:type="dxa"/>
          <w:right w:w="62" w:type="dxa"/>
        </w:tblCellMar>
        <w:tblLook w:val="0000"/>
      </w:tblPr>
      <w:tblGrid>
        <w:gridCol w:w="3506"/>
        <w:gridCol w:w="5016"/>
      </w:tblGrid>
      <w:tr w:rsidTr="009744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RANGE STATEMENT</w:t>
            </w:r>
          </w:p>
        </w:tc>
      </w:tr>
      <w:tr w:rsidTr="009744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t xml:space="preserve">The range statement relates to the unit of competency as a whole. It allows for different work environments and situations that may affect </w:t>
            </w:r>
            <w:r w:rsidRPr="00AB575C">
              <w:t>performance. Bold italicised wording, if used in the performance criteria, is detailed below. Essential operating conditions that may be present with training and assessment (depending on the work situation, needs of the candidate, accessibility of the ite</w:t>
            </w:r>
            <w:r w:rsidRPr="00AB575C">
              <w:t>m, and local industry and regional contexts) may also be included.</w:t>
            </w:r>
          </w:p>
        </w:tc>
      </w:tr>
      <w:tr w:rsidTr="0097443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Procedures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t>All operations are performed in accordance with standard procedures and work instructions</w:t>
            </w:r>
          </w:p>
        </w:tc>
      </w:tr>
      <w:tr w:rsidTr="0097443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Investigation</w:t>
            </w:r>
            <w:r w:rsidRPr="00AB575C">
              <w:t xml:space="preserv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Investigation involves:</w:t>
            </w:r>
          </w:p>
          <w:p w:rsidR="00000000" w:rsidP="00AB575C">
            <w:pPr>
              <w:pStyle w:val="ListBullet"/>
              <w:rPr>
                <w:lang w:val="en-NZ"/>
              </w:rPr>
            </w:pPr>
            <w:r w:rsidRPr="00AB575C">
              <w:t>the collection of evidence, and may require the specifying of appropriate tests and the analysis of plant records and logs</w:t>
            </w:r>
          </w:p>
        </w:tc>
      </w:tr>
      <w:tr w:rsidTr="0097443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Reports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The report should summarise:</w:t>
            </w:r>
          </w:p>
          <w:p w:rsidR="00000000" w:rsidRPr="00AB575C" w:rsidP="00AB575C">
            <w:pPr>
              <w:pStyle w:val="ListBullet"/>
            </w:pPr>
            <w:r w:rsidRPr="00AB575C">
              <w:t>the nature of the failure</w:t>
            </w:r>
          </w:p>
          <w:p w:rsidR="00000000" w:rsidRPr="00AB575C" w:rsidP="00AB575C">
            <w:pPr>
              <w:pStyle w:val="ListBullet"/>
            </w:pPr>
            <w:r w:rsidRPr="00AB575C">
              <w:t>the cause</w:t>
            </w:r>
          </w:p>
          <w:p w:rsidR="00000000" w:rsidRPr="00AB575C" w:rsidP="00AB575C">
            <w:pPr>
              <w:pStyle w:val="ListBullet"/>
            </w:pPr>
            <w:r w:rsidRPr="00AB575C">
              <w:t xml:space="preserve">the methods used to determine this cause </w:t>
            </w:r>
          </w:p>
          <w:p w:rsidR="00000000" w:rsidP="00AB575C">
            <w:pPr>
              <w:pStyle w:val="ListBullet"/>
              <w:rPr>
                <w:lang w:val="en-NZ"/>
              </w:rPr>
            </w:pPr>
            <w:r w:rsidRPr="00AB575C">
              <w:t>conclusions draw</w:t>
            </w:r>
            <w:r w:rsidRPr="00AB575C">
              <w:t>n and recommendations made</w:t>
            </w:r>
          </w:p>
        </w:tc>
      </w:tr>
      <w:tr w:rsidTr="0097443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Occupational health and safety</w:t>
            </w:r>
            <w:r w:rsidRPr="00AB575C">
              <w:t xml:space="preserve"> (</w:t>
            </w:r>
            <w:r w:rsidRPr="00AB575C">
              <w:rPr>
                <w:rStyle w:val="SpecialBold"/>
              </w:rPr>
              <w:t>OHS</w:t>
            </w:r>
            <w:r w:rsidRPr="00AB575C">
              <w:t>)</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 xml:space="preserve">All operations are subject to stringent OHS requirements and these must not be compromised at any time. Where there is an apparent conflict between performance criteria and OHS requirements, </w:t>
            </w:r>
            <w:r w:rsidRPr="00AB575C">
              <w:t>the OHS requirements take precedence</w:t>
            </w:r>
          </w:p>
        </w:tc>
      </w:tr>
    </w:tbl>
    <w:p w:rsidR="00974434" w:rsidP="00AB575C">
      <w:pPr>
        <w:pStyle w:val="BodyText"/>
      </w:pPr>
    </w:p>
    <w:p w:rsidR="00974434" w:rsidP="00AB575C">
      <w:pPr>
        <w:pStyle w:val="BodyText"/>
      </w:pPr>
    </w:p>
    <w:p w:rsidR="00000000" w:rsidRPr="00AB575C" w:rsidP="00AB575C">
      <w:pPr>
        <w:pStyle w:val="Heading1"/>
      </w:pPr>
      <w:bookmarkStart w:id="12" w:name="O_110702"/>
      <w:bookmarkEnd w:id="12"/>
      <w:r w:rsidRPr="00AB575C">
        <w:t>Unit Sector(s)</w:t>
      </w:r>
    </w:p>
    <w:tbl>
      <w:tblPr>
        <w:tblW w:w="0" w:type="auto"/>
        <w:tblLayout w:type="fixed"/>
        <w:tblCellMar>
          <w:left w:w="62" w:type="dxa"/>
          <w:right w:w="62" w:type="dxa"/>
        </w:tblCellMar>
        <w:tblLook w:val="0000"/>
      </w:tblPr>
      <w:tblGrid>
        <w:gridCol w:w="2567"/>
        <w:gridCol w:w="5955"/>
      </w:tblGrid>
      <w:tr w:rsidTr="0097443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r w:rsidRPr="00AB575C">
              <w:t>Operational/technical</w:t>
            </w:r>
          </w:p>
        </w:tc>
      </w:tr>
    </w:tbl>
    <w:p w:rsidR="00000000" w:rsidRPr="00AB575C" w:rsidP="00AB575C">
      <w:pPr>
        <w:pStyle w:val="BodyText"/>
      </w:pPr>
    </w:p>
    <w:p w:rsidR="00000000" w:rsidRPr="00AB575C" w:rsidP="00AB575C">
      <w:pPr>
        <w:pStyle w:val="AllowPageBreak"/>
      </w:pPr>
    </w:p>
    <w:p w:rsidR="00000000" w:rsidRPr="00AB575C" w:rsidP="00AB575C">
      <w:pPr>
        <w:pStyle w:val="Heading1"/>
      </w:pPr>
      <w:bookmarkStart w:id="13" w:name="O_160217"/>
      <w:bookmarkEnd w:id="13"/>
      <w:r w:rsidRPr="00AB575C">
        <w:t>Competency field</w:t>
      </w:r>
    </w:p>
    <w:tbl>
      <w:tblPr>
        <w:tblW w:w="0" w:type="auto"/>
        <w:tblLayout w:type="fixed"/>
        <w:tblCellMar>
          <w:left w:w="62" w:type="dxa"/>
          <w:right w:w="62" w:type="dxa"/>
        </w:tblCellMar>
        <w:tblLook w:val="0000"/>
      </w:tblPr>
      <w:tblGrid>
        <w:gridCol w:w="2784"/>
        <w:gridCol w:w="5738"/>
      </w:tblGrid>
      <w:tr w:rsidTr="009744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p>
        </w:tc>
      </w:tr>
    </w:tbl>
    <w:p w:rsidR="00000000" w:rsidRPr="00AB575C" w:rsidP="00AB575C">
      <w:pPr>
        <w:pStyle w:val="BodyText"/>
      </w:pPr>
    </w:p>
    <w:p w:rsidR="00000000" w:rsidRPr="00AB575C" w:rsidP="00AB575C">
      <w:pPr>
        <w:pStyle w:val="AllowPageBreak"/>
      </w:pPr>
    </w:p>
    <w:p w:rsidR="00000000" w:rsidRPr="00AB575C" w:rsidP="00AB575C">
      <w:pPr>
        <w:pStyle w:val="Heading1"/>
      </w:pPr>
      <w:bookmarkStart w:id="14" w:name="O_160216"/>
      <w:bookmarkEnd w:id="14"/>
      <w:r w:rsidRPr="00AB575C">
        <w:t>Co-requisite units</w:t>
      </w:r>
    </w:p>
    <w:tbl>
      <w:tblPr>
        <w:tblW w:w="0" w:type="auto"/>
        <w:tblLayout w:type="fixed"/>
        <w:tblCellMar>
          <w:left w:w="62" w:type="dxa"/>
          <w:right w:w="62" w:type="dxa"/>
        </w:tblCellMar>
        <w:tblLook w:val="0000"/>
      </w:tblPr>
      <w:tblGrid>
        <w:gridCol w:w="2641"/>
        <w:gridCol w:w="1322"/>
        <w:gridCol w:w="4559"/>
      </w:tblGrid>
      <w:tr w:rsidTr="009744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r w:rsidRPr="00AB57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p>
        </w:tc>
      </w:tr>
      <w:tr w:rsidTr="009744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75C">
            <w:pPr>
              <w:pStyle w:val="BodyText"/>
              <w:rPr>
                <w:lang w:val="en-NZ"/>
              </w:rPr>
            </w:pPr>
          </w:p>
        </w:tc>
      </w:tr>
      <w:tr w:rsidTr="009744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75C" w:rsidP="00AB575C">
            <w:pPr>
              <w:pStyle w:val="BodyText"/>
            </w:pPr>
          </w:p>
        </w:tc>
      </w:tr>
    </w:tbl>
    <w:p w:rsidR="00000000" w:rsidRPr="00AB575C" w:rsidP="00AB575C">
      <w:pPr>
        <w:pStyle w:val="BodyText"/>
      </w:pPr>
    </w:p>
    <w:p w:rsidR="00000000" w:rsidRPr="00AB575C" w:rsidP="00AB575C"/>
    <w:sectPr w:rsidSect="00AB57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434" w:rsidP="00974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34" w:rsidP="00AB5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4434" w:rsidP="00AB57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4434" w:rsidP="00AB57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434" w:rsidP="009744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34" w:rsidP="00AB575C">
    <w:pPr>
      <w:pStyle w:val="Header"/>
      <w:framePr w:wrap="around"/>
    </w:pPr>
    <w:r>
      <w:fldChar w:fldCharType="begin"/>
    </w:r>
    <w:r>
      <w:instrText xml:space="preserve"> TITLE   \* MERGEFORMAT </w:instrText>
    </w:r>
    <w:r>
      <w:fldChar w:fldCharType="separate"/>
    </w:r>
    <w:r>
      <w:t>PMC554091B Analyse refractory failures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4434" w:rsidP="00AB57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82A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24C8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7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575C"/>
    <w:pPr>
      <w:spacing w:before="360" w:after="60"/>
      <w:outlineLvl w:val="0"/>
    </w:pPr>
    <w:rPr>
      <w:sz w:val="32"/>
    </w:rPr>
  </w:style>
  <w:style w:type="paragraph" w:styleId="Heading2">
    <w:name w:val="heading 2"/>
    <w:basedOn w:val="HeadingBase"/>
    <w:next w:val="BodyText"/>
    <w:link w:val="Heading2Char"/>
    <w:qFormat/>
    <w:rsid w:val="00AB575C"/>
    <w:pPr>
      <w:keepLines/>
      <w:spacing w:before="240" w:after="120"/>
      <w:outlineLvl w:val="1"/>
    </w:pPr>
    <w:rPr>
      <w:sz w:val="28"/>
      <w:szCs w:val="40"/>
    </w:rPr>
  </w:style>
  <w:style w:type="paragraph" w:styleId="Heading3">
    <w:name w:val="heading 3"/>
    <w:basedOn w:val="HeadingBase"/>
    <w:next w:val="BodyText"/>
    <w:link w:val="Heading3Char"/>
    <w:qFormat/>
    <w:rsid w:val="00AB575C"/>
    <w:pPr>
      <w:spacing w:before="180" w:after="120"/>
      <w:outlineLvl w:val="2"/>
    </w:pPr>
    <w:rPr>
      <w:spacing w:val="-10"/>
      <w:kern w:val="32"/>
    </w:rPr>
  </w:style>
  <w:style w:type="paragraph" w:styleId="Heading4">
    <w:name w:val="heading 4"/>
    <w:basedOn w:val="HeadingBase"/>
    <w:next w:val="BodyText"/>
    <w:link w:val="Heading4Char"/>
    <w:qFormat/>
    <w:rsid w:val="00AB575C"/>
    <w:pPr>
      <w:spacing w:before="160" w:after="120"/>
      <w:outlineLvl w:val="3"/>
    </w:pPr>
    <w:rPr>
      <w:sz w:val="22"/>
    </w:rPr>
  </w:style>
  <w:style w:type="paragraph" w:styleId="Heading5">
    <w:name w:val="heading 5"/>
    <w:basedOn w:val="HeadingBase"/>
    <w:next w:val="Normal"/>
    <w:link w:val="Heading5Char"/>
    <w:qFormat/>
    <w:rsid w:val="00AB575C"/>
    <w:pPr>
      <w:spacing w:before="80"/>
      <w:outlineLvl w:val="4"/>
    </w:pPr>
    <w:rPr>
      <w:color w:val="918585"/>
      <w:sz w:val="20"/>
    </w:rPr>
  </w:style>
  <w:style w:type="paragraph" w:styleId="Heading6">
    <w:name w:val="heading 6"/>
    <w:basedOn w:val="HeadingBase"/>
    <w:next w:val="Normal"/>
    <w:link w:val="Heading6Char"/>
    <w:qFormat/>
    <w:rsid w:val="00AB575C"/>
    <w:pPr>
      <w:spacing w:before="60"/>
      <w:outlineLvl w:val="5"/>
    </w:pPr>
    <w:rPr>
      <w:color w:val="918585"/>
      <w:sz w:val="20"/>
    </w:rPr>
  </w:style>
  <w:style w:type="paragraph" w:styleId="Heading7">
    <w:name w:val="heading 7"/>
    <w:basedOn w:val="Normal"/>
    <w:next w:val="Normal"/>
    <w:link w:val="Heading7Char"/>
    <w:qFormat/>
    <w:rsid w:val="00AB575C"/>
    <w:pPr>
      <w:ind w:left="720"/>
      <w:outlineLvl w:val="6"/>
    </w:pPr>
    <w:rPr>
      <w:i/>
    </w:rPr>
  </w:style>
  <w:style w:type="paragraph" w:styleId="Heading8">
    <w:name w:val="heading 8"/>
    <w:basedOn w:val="Normal"/>
    <w:next w:val="Normal"/>
    <w:link w:val="Heading8Char"/>
    <w:qFormat/>
    <w:rsid w:val="00AB575C"/>
    <w:pPr>
      <w:ind w:left="720"/>
      <w:outlineLvl w:val="7"/>
    </w:pPr>
    <w:rPr>
      <w:i/>
    </w:rPr>
  </w:style>
  <w:style w:type="paragraph" w:styleId="Heading9">
    <w:name w:val="heading 9"/>
    <w:basedOn w:val="Normal"/>
    <w:next w:val="Normal"/>
    <w:link w:val="Heading9Char"/>
    <w:qFormat/>
    <w:rsid w:val="00AB575C"/>
    <w:pPr>
      <w:ind w:left="720"/>
      <w:outlineLvl w:val="8"/>
    </w:pPr>
    <w:rPr>
      <w:i/>
    </w:rPr>
  </w:style>
  <w:style w:type="character" w:default="1" w:styleId="DefaultParagraphFont">
    <w:name w:val="Default Paragraph Font"/>
    <w:uiPriority w:val="1"/>
    <w:unhideWhenUsed/>
    <w:rsid w:val="00AB5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75C"/>
  </w:style>
  <w:style w:type="character" w:customStyle="1" w:styleId="Heading1Char">
    <w:name w:val="Heading 1 Char"/>
    <w:basedOn w:val="DefaultParagraphFont"/>
    <w:link w:val="Heading1"/>
    <w:rsid w:val="00AB575C"/>
    <w:rPr>
      <w:rFonts w:ascii="Times New Roman" w:eastAsia="Times New Roman" w:hAnsi="Times New Roman" w:cs="Times New Roman"/>
      <w:b/>
      <w:sz w:val="32"/>
      <w:szCs w:val="20"/>
      <w:lang w:eastAsia="en-US"/>
    </w:rPr>
  </w:style>
  <w:style w:type="paragraph" w:styleId="BodyText">
    <w:name w:val="Body Text"/>
    <w:basedOn w:val="Normal"/>
    <w:link w:val="BodyTextChar"/>
    <w:rsid w:val="00AB57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575C"/>
    <w:rPr>
      <w:rFonts w:ascii="Times New Roman" w:eastAsia="Times New Roman" w:hAnsi="Times New Roman" w:cs="Times New Roman"/>
      <w:sz w:val="24"/>
      <w:lang w:val="en-US" w:eastAsia="en-US"/>
    </w:rPr>
  </w:style>
  <w:style w:type="paragraph" w:styleId="Footer">
    <w:name w:val="footer"/>
    <w:basedOn w:val="Normal"/>
    <w:link w:val="FooterChar"/>
    <w:rsid w:val="00AB5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75C"/>
    <w:rPr>
      <w:rFonts w:ascii="Times New Roman" w:eastAsia="Times New Roman" w:hAnsi="Times New Roman" w:cs="Times New Roman"/>
      <w:sz w:val="16"/>
      <w:lang w:val="en-US" w:eastAsia="en-US"/>
    </w:rPr>
  </w:style>
  <w:style w:type="paragraph" w:styleId="List">
    <w:name w:val="List"/>
    <w:basedOn w:val="BodyText"/>
    <w:next w:val="BodyText"/>
    <w:rsid w:val="00AB575C"/>
    <w:pPr>
      <w:tabs>
        <w:tab w:val="left" w:pos="340"/>
      </w:tabs>
      <w:spacing w:before="60" w:after="60"/>
      <w:ind w:left="340" w:hanging="340"/>
    </w:pPr>
  </w:style>
  <w:style w:type="paragraph" w:styleId="ListBullet">
    <w:name w:val="List Bullet"/>
    <w:basedOn w:val="List"/>
    <w:rsid w:val="00AB575C"/>
    <w:pPr>
      <w:numPr>
        <w:numId w:val="12"/>
      </w:numPr>
      <w:tabs>
        <w:tab w:val="clear" w:pos="340"/>
      </w:tabs>
      <w:spacing w:before="40" w:after="40"/>
    </w:pPr>
  </w:style>
  <w:style w:type="character" w:customStyle="1" w:styleId="SpecialBold">
    <w:name w:val="Special Bold"/>
    <w:basedOn w:val="DefaultParagraphFont"/>
    <w:rsid w:val="00AB575C"/>
    <w:rPr>
      <w:b/>
      <w:spacing w:val="0"/>
    </w:rPr>
  </w:style>
  <w:style w:type="paragraph" w:styleId="Header">
    <w:name w:val="header"/>
    <w:basedOn w:val="Normal"/>
    <w:link w:val="HeaderChar"/>
    <w:rsid w:val="00AB5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7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575C"/>
    <w:pPr>
      <w:spacing w:before="240" w:after="120"/>
      <w:outlineLvl w:val="0"/>
    </w:pPr>
    <w:rPr>
      <w:rFonts w:ascii="Times New Roman" w:hAnsi="Times New Roman"/>
      <w:b/>
      <w:sz w:val="28"/>
    </w:rPr>
  </w:style>
  <w:style w:type="paragraph" w:customStyle="1" w:styleId="AllowPageBreak">
    <w:name w:val="AllowPageBreak"/>
    <w:rsid w:val="00AB57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575C"/>
    <w:pPr>
      <w:tabs>
        <w:tab w:val="left" w:pos="680"/>
      </w:tabs>
      <w:spacing w:before="60" w:after="60"/>
      <w:ind w:left="680" w:hanging="340"/>
    </w:pPr>
  </w:style>
  <w:style w:type="character" w:customStyle="1" w:styleId="Heading2Char">
    <w:name w:val="Heading 2 Char"/>
    <w:basedOn w:val="DefaultParagraphFont"/>
    <w:link w:val="Heading2"/>
    <w:rsid w:val="00AB5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7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57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575C"/>
    <w:rPr>
      <w:rFonts w:ascii="Courier New" w:eastAsia="Times New Roman" w:hAnsi="Courier New" w:cs="Times New Roman"/>
      <w:i/>
      <w:szCs w:val="20"/>
      <w:lang w:val="en-US" w:eastAsia="en-US"/>
    </w:rPr>
  </w:style>
  <w:style w:type="paragraph" w:customStyle="1" w:styleId="HeadingBase">
    <w:name w:val="Heading Base"/>
    <w:rsid w:val="00AB5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75C"/>
    <w:pPr>
      <w:tabs>
        <w:tab w:val="right" w:leader="dot" w:pos="9072"/>
      </w:tabs>
      <w:ind w:left="567"/>
    </w:pPr>
    <w:rPr>
      <w:szCs w:val="22"/>
    </w:rPr>
  </w:style>
  <w:style w:type="paragraph" w:customStyle="1" w:styleId="TOCBase">
    <w:name w:val="TOC Base"/>
    <w:rsid w:val="00AB5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75C"/>
    <w:pPr>
      <w:tabs>
        <w:tab w:val="right" w:leader="dot" w:pos="9072"/>
      </w:tabs>
      <w:spacing w:before="40" w:after="40"/>
      <w:ind w:left="284"/>
    </w:pPr>
    <w:rPr>
      <w:rFonts w:ascii="Times New Roman" w:hAnsi="Times New Roman"/>
    </w:rPr>
  </w:style>
  <w:style w:type="paragraph" w:styleId="TOC1">
    <w:name w:val="toc 1"/>
    <w:basedOn w:val="TOCBase"/>
    <w:next w:val="Normal"/>
    <w:rsid w:val="00AB57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575C"/>
    <w:pPr>
      <w:spacing w:before="5040"/>
      <w:jc w:val="center"/>
    </w:pPr>
    <w:rPr>
      <w:sz w:val="48"/>
      <w:szCs w:val="72"/>
      <w:lang w:val="en-US"/>
    </w:rPr>
  </w:style>
  <w:style w:type="character" w:customStyle="1" w:styleId="TitleChar">
    <w:name w:val="Title Char"/>
    <w:basedOn w:val="DefaultParagraphFont"/>
    <w:link w:val="Title"/>
    <w:rsid w:val="00AB5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75C"/>
    <w:pPr>
      <w:tabs>
        <w:tab w:val="left" w:pos="3600"/>
        <w:tab w:val="left" w:pos="3958"/>
      </w:tabs>
    </w:pPr>
  </w:style>
  <w:style w:type="paragraph" w:customStyle="1" w:styleId="Note">
    <w:name w:val="Note"/>
    <w:basedOn w:val="BodyText"/>
    <w:rsid w:val="00AB5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75C"/>
    <w:pPr>
      <w:framePr w:wrap="auto" w:hAnchor="text" w:y="6049"/>
    </w:pPr>
    <w:rPr>
      <w:color w:val="000000"/>
      <w:sz w:val="40"/>
    </w:rPr>
  </w:style>
  <w:style w:type="paragraph" w:customStyle="1" w:styleId="TOCTitle">
    <w:name w:val="TOCTitle"/>
    <w:basedOn w:val="Heading1"/>
    <w:rsid w:val="00AB575C"/>
    <w:pPr>
      <w:spacing w:after="240"/>
      <w:jc w:val="center"/>
      <w:outlineLvl w:val="9"/>
    </w:pPr>
    <w:rPr>
      <w:caps/>
    </w:rPr>
  </w:style>
  <w:style w:type="paragraph" w:customStyle="1" w:styleId="Version">
    <w:name w:val="Version"/>
    <w:rsid w:val="00AB57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75C"/>
    <w:pPr>
      <w:numPr>
        <w:numId w:val="13"/>
      </w:numPr>
      <w:tabs>
        <w:tab w:val="clear" w:pos="680"/>
      </w:tabs>
    </w:pPr>
  </w:style>
  <w:style w:type="paragraph" w:styleId="Index1">
    <w:name w:val="index 1"/>
    <w:basedOn w:val="Normal"/>
    <w:next w:val="Normal"/>
    <w:semiHidden/>
    <w:rsid w:val="00AB575C"/>
    <w:pPr>
      <w:keepNext w:val="0"/>
      <w:tabs>
        <w:tab w:val="right" w:pos="4176"/>
      </w:tabs>
      <w:ind w:left="198" w:hanging="198"/>
    </w:pPr>
    <w:rPr>
      <w:rFonts w:ascii="Garamond" w:hAnsi="Garamond"/>
    </w:rPr>
  </w:style>
  <w:style w:type="paragraph" w:styleId="IndexHeading">
    <w:name w:val="index heading"/>
    <w:basedOn w:val="Normal"/>
    <w:next w:val="Index1"/>
    <w:semiHidden/>
    <w:rsid w:val="00AB575C"/>
    <w:pPr>
      <w:spacing w:before="120" w:after="120"/>
    </w:pPr>
    <w:rPr>
      <w:rFonts w:ascii="Arial" w:hAnsi="Arial"/>
      <w:b/>
      <w:color w:val="918585"/>
      <w:sz w:val="24"/>
    </w:rPr>
  </w:style>
  <w:style w:type="paragraph" w:customStyle="1" w:styleId="Chapter">
    <w:name w:val="Chapter"/>
    <w:basedOn w:val="Normal"/>
    <w:rsid w:val="00AB575C"/>
    <w:pPr>
      <w:spacing w:before="240"/>
    </w:pPr>
    <w:rPr>
      <w:rFonts w:ascii="Times New Roman" w:hAnsi="Times New Roman"/>
      <w:smallCaps/>
      <w:spacing w:val="80"/>
      <w:sz w:val="28"/>
    </w:rPr>
  </w:style>
  <w:style w:type="paragraph" w:customStyle="1" w:styleId="InChapter">
    <w:name w:val="InChapter"/>
    <w:basedOn w:val="Heading3"/>
    <w:rsid w:val="00AB575C"/>
    <w:pPr>
      <w:spacing w:after="240"/>
      <w:outlineLvl w:val="9"/>
    </w:pPr>
    <w:rPr>
      <w:noProof/>
    </w:rPr>
  </w:style>
  <w:style w:type="paragraph" w:styleId="Index2">
    <w:name w:val="index 2"/>
    <w:basedOn w:val="Normal"/>
    <w:next w:val="Normal"/>
    <w:semiHidden/>
    <w:rsid w:val="00AB575C"/>
    <w:pPr>
      <w:tabs>
        <w:tab w:val="right" w:pos="4176"/>
      </w:tabs>
      <w:ind w:left="568" w:hanging="284"/>
    </w:pPr>
    <w:rPr>
      <w:rFonts w:ascii="Garamond" w:hAnsi="Garamond"/>
    </w:rPr>
  </w:style>
  <w:style w:type="paragraph" w:customStyle="1" w:styleId="Byline">
    <w:name w:val="Byline"/>
    <w:rsid w:val="00AB5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75C"/>
    <w:pPr>
      <w:tabs>
        <w:tab w:val="clear" w:pos="3600"/>
        <w:tab w:val="clear" w:pos="3958"/>
      </w:tabs>
      <w:jc w:val="right"/>
    </w:pPr>
  </w:style>
  <w:style w:type="character" w:styleId="Emphasis">
    <w:name w:val="Emphasis"/>
    <w:basedOn w:val="DefaultParagraphFont"/>
    <w:qFormat/>
    <w:rsid w:val="00AB575C"/>
    <w:rPr>
      <w:i/>
    </w:rPr>
  </w:style>
  <w:style w:type="paragraph" w:styleId="Caption">
    <w:name w:val="caption"/>
    <w:basedOn w:val="BodyText"/>
    <w:next w:val="Normal"/>
    <w:qFormat/>
    <w:rsid w:val="00AB575C"/>
    <w:pPr>
      <w:framePr w:w="2268" w:hSpace="181" w:vSpace="181" w:wrap="around" w:vAnchor="text" w:hAnchor="page" w:x="1135" w:y="285" w:anchorLock="1"/>
    </w:pPr>
    <w:rPr>
      <w:i/>
    </w:rPr>
  </w:style>
  <w:style w:type="paragraph" w:customStyle="1" w:styleId="MiniTOCTitle">
    <w:name w:val="MiniTOCTitle"/>
    <w:basedOn w:val="Heading4"/>
    <w:rsid w:val="00AB575C"/>
    <w:pPr>
      <w:spacing w:before="240"/>
      <w:outlineLvl w:val="9"/>
    </w:pPr>
    <w:rPr>
      <w:noProof/>
      <w:sz w:val="24"/>
    </w:rPr>
  </w:style>
  <w:style w:type="paragraph" w:customStyle="1" w:styleId="MiniTOCItem">
    <w:name w:val="MiniTOCItem"/>
    <w:basedOn w:val="ListBullet"/>
    <w:rsid w:val="00AB575C"/>
    <w:pPr>
      <w:numPr>
        <w:numId w:val="0"/>
      </w:numPr>
      <w:tabs>
        <w:tab w:val="right" w:leader="dot" w:pos="6521"/>
      </w:tabs>
      <w:spacing w:before="0" w:after="0"/>
    </w:pPr>
  </w:style>
  <w:style w:type="paragraph" w:customStyle="1" w:styleId="TOFTitle">
    <w:name w:val="TOFTitle"/>
    <w:basedOn w:val="TOCTitle"/>
    <w:rsid w:val="00AB575C"/>
  </w:style>
  <w:style w:type="paragraph" w:styleId="TableofFigures">
    <w:name w:val="table of figures"/>
    <w:basedOn w:val="Normal"/>
    <w:next w:val="Normal"/>
    <w:semiHidden/>
    <w:rsid w:val="00AB575C"/>
    <w:pPr>
      <w:tabs>
        <w:tab w:val="right" w:leader="dot" w:pos="9072"/>
      </w:tabs>
      <w:ind w:left="970" w:hanging="403"/>
    </w:pPr>
    <w:rPr>
      <w:rFonts w:ascii="Times New Roman" w:hAnsi="Times New Roman"/>
      <w:b/>
    </w:rPr>
  </w:style>
  <w:style w:type="paragraph" w:styleId="ListNumber">
    <w:name w:val="List Number"/>
    <w:basedOn w:val="List"/>
    <w:rsid w:val="00AB575C"/>
    <w:pPr>
      <w:numPr>
        <w:numId w:val="10"/>
      </w:numPr>
    </w:pPr>
  </w:style>
  <w:style w:type="character" w:customStyle="1" w:styleId="WingdingSymbols">
    <w:name w:val="Wingding Symbols"/>
    <w:rsid w:val="00AB575C"/>
    <w:rPr>
      <w:rFonts w:ascii="Wingdings" w:hAnsi="Wingdings"/>
    </w:rPr>
  </w:style>
  <w:style w:type="paragraph" w:customStyle="1" w:styleId="TableHeading">
    <w:name w:val="Table Heading"/>
    <w:basedOn w:val="HeadingBase"/>
    <w:rsid w:val="00AB575C"/>
    <w:pPr>
      <w:keepLines/>
      <w:pBdr>
        <w:bottom w:val="single" w:sz="6" w:space="1" w:color="918585"/>
      </w:pBdr>
      <w:spacing w:before="240"/>
    </w:pPr>
  </w:style>
  <w:style w:type="character" w:customStyle="1" w:styleId="HotSpot">
    <w:name w:val="HotSpot"/>
    <w:rsid w:val="00AB575C"/>
    <w:rPr>
      <w:color w:val="0033CC"/>
      <w:u w:val="none"/>
    </w:rPr>
  </w:style>
  <w:style w:type="paragraph" w:customStyle="1" w:styleId="BodyTextRight">
    <w:name w:val="Body Text Right"/>
    <w:basedOn w:val="BodyText"/>
    <w:rsid w:val="00AB575C"/>
    <w:pPr>
      <w:spacing w:before="0" w:after="0"/>
      <w:jc w:val="right"/>
    </w:pPr>
  </w:style>
  <w:style w:type="paragraph" w:styleId="Index3">
    <w:name w:val="index 3"/>
    <w:basedOn w:val="ListNumber2"/>
    <w:next w:val="Normal"/>
    <w:semiHidden/>
    <w:rsid w:val="00AB575C"/>
    <w:pPr>
      <w:numPr>
        <w:numId w:val="0"/>
      </w:numPr>
      <w:tabs>
        <w:tab w:val="right" w:leader="dot" w:pos="4176"/>
      </w:tabs>
    </w:pPr>
  </w:style>
  <w:style w:type="paragraph" w:styleId="ListNumber2">
    <w:name w:val="List Number 2"/>
    <w:basedOn w:val="List2"/>
    <w:rsid w:val="00AB575C"/>
    <w:pPr>
      <w:numPr>
        <w:numId w:val="9"/>
      </w:numPr>
      <w:tabs>
        <w:tab w:val="clear" w:pos="1060"/>
      </w:tabs>
    </w:pPr>
  </w:style>
  <w:style w:type="paragraph" w:customStyle="1" w:styleId="MarginNote">
    <w:name w:val="Margin Note"/>
    <w:basedOn w:val="BodyText"/>
    <w:rsid w:val="00AB5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7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575C"/>
    <w:rPr>
      <w:sz w:val="32"/>
    </w:rPr>
  </w:style>
  <w:style w:type="paragraph" w:customStyle="1" w:styleId="HeadingProcedure">
    <w:name w:val="Heading Procedure"/>
    <w:basedOn w:val="HeadingBase"/>
    <w:next w:val="Normal"/>
    <w:rsid w:val="00AB575C"/>
    <w:pPr>
      <w:tabs>
        <w:tab w:val="left" w:pos="0"/>
      </w:tabs>
      <w:spacing w:before="120" w:after="60"/>
    </w:pPr>
    <w:rPr>
      <w:i/>
      <w:color w:val="918585"/>
      <w:sz w:val="22"/>
    </w:rPr>
  </w:style>
  <w:style w:type="paragraph" w:customStyle="1" w:styleId="TableBodyText">
    <w:name w:val="Table Body Text"/>
    <w:basedOn w:val="BodyText"/>
    <w:rsid w:val="00AB575C"/>
    <w:pPr>
      <w:spacing w:before="60" w:after="60"/>
    </w:pPr>
  </w:style>
  <w:style w:type="paragraph" w:styleId="ListContinue">
    <w:name w:val="List Continue"/>
    <w:basedOn w:val="List"/>
    <w:rsid w:val="00AB575C"/>
    <w:pPr>
      <w:ind w:firstLine="0"/>
    </w:pPr>
  </w:style>
  <w:style w:type="paragraph" w:customStyle="1" w:styleId="ListNote">
    <w:name w:val="List Note"/>
    <w:basedOn w:val="List"/>
    <w:rsid w:val="00AB575C"/>
    <w:pPr>
      <w:pBdr>
        <w:top w:val="single" w:sz="6" w:space="2" w:color="918585"/>
        <w:bottom w:val="single" w:sz="6" w:space="2" w:color="918585"/>
      </w:pBdr>
      <w:tabs>
        <w:tab w:val="left" w:pos="1021"/>
      </w:tabs>
      <w:ind w:firstLine="0"/>
    </w:pPr>
  </w:style>
  <w:style w:type="paragraph" w:customStyle="1" w:styleId="Warning">
    <w:name w:val="Warning"/>
    <w:basedOn w:val="BodyText"/>
    <w:rsid w:val="00AB575C"/>
    <w:pPr>
      <w:shd w:val="clear" w:color="auto" w:fill="D9D9D9"/>
      <w:tabs>
        <w:tab w:val="left" w:pos="992"/>
      </w:tabs>
      <w:ind w:left="119" w:right="119"/>
    </w:pPr>
    <w:rPr>
      <w:sz w:val="20"/>
    </w:rPr>
  </w:style>
  <w:style w:type="paragraph" w:customStyle="1" w:styleId="MarginIcons">
    <w:name w:val="Margin Icons"/>
    <w:basedOn w:val="BodyText"/>
    <w:rsid w:val="00AB5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75C"/>
    <w:rPr>
      <w:rFonts w:ascii="Courier New" w:hAnsi="Courier New"/>
    </w:rPr>
  </w:style>
  <w:style w:type="paragraph" w:customStyle="1" w:styleId="NoteBullet">
    <w:name w:val="Note Bullet"/>
    <w:basedOn w:val="Note"/>
    <w:rsid w:val="00AB575C"/>
    <w:pPr>
      <w:tabs>
        <w:tab w:val="clear" w:pos="680"/>
      </w:tabs>
      <w:spacing w:before="60" w:after="60"/>
    </w:pPr>
  </w:style>
  <w:style w:type="paragraph" w:customStyle="1" w:styleId="SubHeading2">
    <w:name w:val="SubHeading2"/>
    <w:basedOn w:val="HeadingBase"/>
    <w:rsid w:val="00AB575C"/>
    <w:pPr>
      <w:spacing w:before="240" w:after="60"/>
    </w:pPr>
    <w:rPr>
      <w:sz w:val="20"/>
    </w:rPr>
  </w:style>
  <w:style w:type="paragraph" w:customStyle="1" w:styleId="SubHeading1">
    <w:name w:val="SubHeading1"/>
    <w:basedOn w:val="HeadingBase"/>
    <w:rsid w:val="00AB575C"/>
    <w:pPr>
      <w:spacing w:before="240" w:after="60"/>
    </w:pPr>
    <w:rPr>
      <w:color w:val="918585"/>
      <w:sz w:val="22"/>
    </w:rPr>
  </w:style>
  <w:style w:type="paragraph" w:customStyle="1" w:styleId="SideHeading">
    <w:name w:val="Side Heading"/>
    <w:basedOn w:val="HeadingBase"/>
    <w:rsid w:val="00AB5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75C"/>
    <w:pPr>
      <w:tabs>
        <w:tab w:val="num" w:pos="360"/>
      </w:tabs>
    </w:pPr>
  </w:style>
  <w:style w:type="paragraph" w:styleId="PlainText">
    <w:name w:val="Plain Text"/>
    <w:basedOn w:val="Normal"/>
    <w:link w:val="PlainTextChar"/>
    <w:rsid w:val="00AB575C"/>
    <w:rPr>
      <w:sz w:val="20"/>
    </w:rPr>
  </w:style>
  <w:style w:type="character" w:customStyle="1" w:styleId="PlainTextChar">
    <w:name w:val="Plain Text Char"/>
    <w:basedOn w:val="DefaultParagraphFont"/>
    <w:link w:val="PlainText"/>
    <w:rsid w:val="00AB57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575C"/>
    <w:rPr>
      <w:b/>
      <w:smallCaps/>
    </w:rPr>
  </w:style>
  <w:style w:type="paragraph" w:customStyle="1" w:styleId="TableListNumber">
    <w:name w:val="Table List Number"/>
    <w:basedOn w:val="ListNumber"/>
    <w:rsid w:val="00AB575C"/>
    <w:pPr>
      <w:numPr>
        <w:numId w:val="0"/>
      </w:numPr>
    </w:pPr>
  </w:style>
  <w:style w:type="paragraph" w:styleId="TOC4">
    <w:name w:val="toc 4"/>
    <w:basedOn w:val="TOCBase"/>
    <w:next w:val="Normal"/>
    <w:semiHidden/>
    <w:rsid w:val="00AB575C"/>
    <w:pPr>
      <w:tabs>
        <w:tab w:val="right" w:leader="dot" w:pos="9071"/>
      </w:tabs>
      <w:ind w:left="1701"/>
    </w:pPr>
  </w:style>
  <w:style w:type="paragraph" w:customStyle="1" w:styleId="ListAlpha">
    <w:name w:val="List Alpha"/>
    <w:basedOn w:val="List"/>
    <w:rsid w:val="00AB575C"/>
    <w:pPr>
      <w:numPr>
        <w:numId w:val="8"/>
      </w:numPr>
    </w:pPr>
  </w:style>
  <w:style w:type="paragraph" w:customStyle="1" w:styleId="ListAlpha2">
    <w:name w:val="List Alpha 2"/>
    <w:basedOn w:val="List2"/>
    <w:rsid w:val="00AB575C"/>
    <w:pPr>
      <w:numPr>
        <w:numId w:val="7"/>
      </w:numPr>
    </w:pPr>
  </w:style>
  <w:style w:type="paragraph" w:styleId="List3">
    <w:name w:val="List 3"/>
    <w:basedOn w:val="BodyText"/>
    <w:rsid w:val="00AB575C"/>
    <w:pPr>
      <w:tabs>
        <w:tab w:val="left" w:pos="1021"/>
      </w:tabs>
      <w:spacing w:before="60" w:after="60"/>
      <w:ind w:left="1020" w:hanging="340"/>
    </w:pPr>
  </w:style>
  <w:style w:type="paragraph" w:styleId="List4">
    <w:name w:val="List 4"/>
    <w:basedOn w:val="BodyText"/>
    <w:rsid w:val="00AB575C"/>
    <w:pPr>
      <w:tabs>
        <w:tab w:val="left" w:pos="1361"/>
      </w:tabs>
      <w:spacing w:before="60" w:after="60"/>
      <w:ind w:left="1361" w:hanging="340"/>
    </w:pPr>
  </w:style>
  <w:style w:type="paragraph" w:styleId="List5">
    <w:name w:val="List 5"/>
    <w:basedOn w:val="BodyText"/>
    <w:rsid w:val="00AB575C"/>
    <w:pPr>
      <w:tabs>
        <w:tab w:val="left" w:pos="1701"/>
      </w:tabs>
      <w:spacing w:before="60" w:after="60"/>
      <w:ind w:left="1701" w:hanging="340"/>
    </w:pPr>
  </w:style>
  <w:style w:type="paragraph" w:styleId="ListBullet3">
    <w:name w:val="List Bullet 3"/>
    <w:basedOn w:val="List3"/>
    <w:rsid w:val="00AB575C"/>
    <w:pPr>
      <w:numPr>
        <w:numId w:val="14"/>
      </w:numPr>
      <w:tabs>
        <w:tab w:val="clear" w:pos="1021"/>
      </w:tabs>
      <w:ind w:left="1037" w:hanging="357"/>
    </w:pPr>
  </w:style>
  <w:style w:type="paragraph" w:styleId="ListBullet4">
    <w:name w:val="List Bullet 4"/>
    <w:basedOn w:val="List4"/>
    <w:rsid w:val="00AB575C"/>
    <w:pPr>
      <w:numPr>
        <w:numId w:val="2"/>
      </w:numPr>
    </w:pPr>
  </w:style>
  <w:style w:type="paragraph" w:styleId="ListBullet5">
    <w:name w:val="List Bullet 5"/>
    <w:basedOn w:val="List5"/>
    <w:rsid w:val="00AB575C"/>
    <w:pPr>
      <w:numPr>
        <w:numId w:val="3"/>
      </w:numPr>
    </w:pPr>
  </w:style>
  <w:style w:type="paragraph" w:styleId="ListContinue2">
    <w:name w:val="List Continue 2"/>
    <w:basedOn w:val="List2"/>
    <w:rsid w:val="00AB575C"/>
    <w:pPr>
      <w:ind w:firstLine="0"/>
    </w:pPr>
  </w:style>
  <w:style w:type="paragraph" w:styleId="ListContinue3">
    <w:name w:val="List Continue 3"/>
    <w:basedOn w:val="List3"/>
    <w:rsid w:val="00AB575C"/>
    <w:pPr>
      <w:ind w:left="1021" w:firstLine="0"/>
    </w:pPr>
  </w:style>
  <w:style w:type="paragraph" w:styleId="ListContinue4">
    <w:name w:val="List Continue 4"/>
    <w:basedOn w:val="List4"/>
    <w:rsid w:val="00AB575C"/>
    <w:pPr>
      <w:ind w:firstLine="0"/>
    </w:pPr>
  </w:style>
  <w:style w:type="paragraph" w:styleId="ListContinue5">
    <w:name w:val="List Continue 5"/>
    <w:basedOn w:val="List5"/>
    <w:rsid w:val="00AB575C"/>
    <w:pPr>
      <w:ind w:firstLine="0"/>
    </w:pPr>
  </w:style>
  <w:style w:type="paragraph" w:styleId="ListNumber3">
    <w:name w:val="List Number 3"/>
    <w:basedOn w:val="List3"/>
    <w:rsid w:val="00AB575C"/>
    <w:pPr>
      <w:numPr>
        <w:numId w:val="4"/>
      </w:numPr>
    </w:pPr>
  </w:style>
  <w:style w:type="paragraph" w:styleId="ListNumber4">
    <w:name w:val="List Number 4"/>
    <w:basedOn w:val="List4"/>
    <w:rsid w:val="00AB575C"/>
    <w:pPr>
      <w:numPr>
        <w:numId w:val="5"/>
      </w:numPr>
    </w:pPr>
  </w:style>
  <w:style w:type="paragraph" w:styleId="ListNumber5">
    <w:name w:val="List Number 5"/>
    <w:basedOn w:val="List5"/>
    <w:rsid w:val="00AB575C"/>
    <w:pPr>
      <w:numPr>
        <w:numId w:val="6"/>
      </w:numPr>
    </w:pPr>
  </w:style>
  <w:style w:type="paragraph" w:styleId="BlockText">
    <w:name w:val="Block Text"/>
    <w:basedOn w:val="Normal"/>
    <w:rsid w:val="00AB575C"/>
    <w:pPr>
      <w:spacing w:after="120"/>
      <w:ind w:left="1440" w:right="1440"/>
    </w:pPr>
  </w:style>
  <w:style w:type="character" w:customStyle="1" w:styleId="Subscript">
    <w:name w:val="Subscript"/>
    <w:basedOn w:val="DefaultParagraphFont"/>
    <w:rsid w:val="00AB575C"/>
    <w:rPr>
      <w:sz w:val="16"/>
      <w:vertAlign w:val="subscript"/>
    </w:rPr>
  </w:style>
  <w:style w:type="character" w:customStyle="1" w:styleId="Superscript">
    <w:name w:val="Superscript"/>
    <w:basedOn w:val="DefaultParagraphFont"/>
    <w:rsid w:val="00AB575C"/>
    <w:rPr>
      <w:sz w:val="16"/>
      <w:vertAlign w:val="superscript"/>
    </w:rPr>
  </w:style>
  <w:style w:type="character" w:customStyle="1" w:styleId="Symbols">
    <w:name w:val="Symbols"/>
    <w:basedOn w:val="DefaultParagraphFont"/>
    <w:rsid w:val="00AB575C"/>
    <w:rPr>
      <w:rFonts w:ascii="Symbol" w:hAnsi="Symbol"/>
    </w:rPr>
  </w:style>
  <w:style w:type="character" w:customStyle="1" w:styleId="MenuOptions">
    <w:name w:val="Menu Options"/>
    <w:basedOn w:val="DefaultParagraphFont"/>
    <w:rsid w:val="00AB575C"/>
    <w:rPr>
      <w:rFonts w:ascii="Arial Narrow" w:hAnsi="Arial Narrow"/>
      <w:smallCaps/>
    </w:rPr>
  </w:style>
  <w:style w:type="character" w:customStyle="1" w:styleId="Buttons">
    <w:name w:val="Buttons"/>
    <w:basedOn w:val="DefaultParagraphFont"/>
    <w:rsid w:val="00AB575C"/>
    <w:rPr>
      <w:b/>
    </w:rPr>
  </w:style>
  <w:style w:type="character" w:customStyle="1" w:styleId="Underlined">
    <w:name w:val="Underlined"/>
    <w:basedOn w:val="DefaultParagraphFont"/>
    <w:rsid w:val="00AB575C"/>
    <w:rPr>
      <w:u w:val="single"/>
    </w:rPr>
  </w:style>
  <w:style w:type="paragraph" w:customStyle="1" w:styleId="TableBodyTextRight">
    <w:name w:val="Table Body Text Right"/>
    <w:basedOn w:val="TableBodyText"/>
    <w:rsid w:val="00AB575C"/>
    <w:pPr>
      <w:widowControl w:val="0"/>
      <w:autoSpaceDE w:val="0"/>
      <w:autoSpaceDN w:val="0"/>
      <w:adjustRightInd w:val="0"/>
      <w:jc w:val="right"/>
    </w:pPr>
    <w:rPr>
      <w:rFonts w:cs="Arial"/>
      <w:szCs w:val="18"/>
    </w:rPr>
  </w:style>
  <w:style w:type="paragraph" w:customStyle="1" w:styleId="CopyrightText">
    <w:name w:val="Copyright Text"/>
    <w:basedOn w:val="BodyText"/>
    <w:rsid w:val="00AB575C"/>
    <w:rPr>
      <w:sz w:val="18"/>
    </w:rPr>
  </w:style>
  <w:style w:type="paragraph" w:customStyle="1" w:styleId="BodySmallRight">
    <w:name w:val="Body Small Right"/>
    <w:basedOn w:val="BodyTextRight"/>
    <w:rsid w:val="00AB575C"/>
    <w:rPr>
      <w:sz w:val="18"/>
      <w:szCs w:val="18"/>
    </w:rPr>
  </w:style>
  <w:style w:type="paragraph" w:customStyle="1" w:styleId="MarginEdition">
    <w:name w:val="Margin Edition"/>
    <w:basedOn w:val="MarginNote"/>
    <w:rsid w:val="00AB575C"/>
    <w:pPr>
      <w:spacing w:before="0" w:after="0"/>
    </w:pPr>
    <w:rPr>
      <w:rFonts w:ascii="Times New Roman" w:hAnsi="Times New Roman"/>
      <w:color w:val="999999"/>
    </w:rPr>
  </w:style>
  <w:style w:type="paragraph" w:customStyle="1" w:styleId="Spacer">
    <w:name w:val="Spacer"/>
    <w:basedOn w:val="Normal"/>
    <w:rsid w:val="00AB575C"/>
    <w:rPr>
      <w:sz w:val="2"/>
      <w:szCs w:val="2"/>
    </w:rPr>
  </w:style>
  <w:style w:type="character" w:customStyle="1" w:styleId="Small">
    <w:name w:val="Small"/>
    <w:basedOn w:val="DefaultParagraphFont"/>
    <w:rsid w:val="00AB575C"/>
    <w:rPr>
      <w:sz w:val="16"/>
    </w:rPr>
  </w:style>
  <w:style w:type="paragraph" w:customStyle="1" w:styleId="WideTable">
    <w:name w:val="Wide Table"/>
    <w:basedOn w:val="Normal"/>
    <w:rsid w:val="00AB575C"/>
    <w:pPr>
      <w:ind w:left="-1418"/>
    </w:pPr>
    <w:rPr>
      <w:sz w:val="2"/>
      <w:szCs w:val="2"/>
    </w:rPr>
  </w:style>
  <w:style w:type="character" w:styleId="PageNumber">
    <w:name w:val="page number"/>
    <w:basedOn w:val="DefaultParagraphFont"/>
    <w:rsid w:val="00AB575C"/>
  </w:style>
  <w:style w:type="paragraph" w:styleId="Quote">
    <w:name w:val="Quote"/>
    <w:basedOn w:val="Heading1"/>
    <w:link w:val="QuoteChar"/>
    <w:qFormat/>
    <w:rsid w:val="00AB575C"/>
    <w:rPr>
      <w:b w:val="0"/>
      <w:sz w:val="72"/>
      <w:szCs w:val="72"/>
      <w:lang w:val="en-NZ"/>
    </w:rPr>
  </w:style>
  <w:style w:type="character" w:customStyle="1" w:styleId="QuoteChar">
    <w:name w:val="Quote Char"/>
    <w:basedOn w:val="DefaultParagraphFont"/>
    <w:link w:val="Quote"/>
    <w:rsid w:val="00AB5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75C"/>
    <w:pPr>
      <w:pageBreakBefore/>
    </w:pPr>
  </w:style>
  <w:style w:type="paragraph" w:customStyle="1" w:styleId="Border">
    <w:name w:val="Border"/>
    <w:basedOn w:val="Normal"/>
    <w:qFormat/>
    <w:rsid w:val="00AB5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75C"/>
    <w:rPr>
      <w:b/>
      <w:bCs/>
      <w:i/>
      <w:iCs/>
      <w:color w:val="auto"/>
    </w:rPr>
  </w:style>
  <w:style w:type="paragraph" w:styleId="IntenseQuote">
    <w:name w:val="Intense Quote"/>
    <w:basedOn w:val="Normal"/>
    <w:next w:val="Normal"/>
    <w:link w:val="IntenseQuoteChar"/>
    <w:uiPriority w:val="30"/>
    <w:qFormat/>
    <w:rsid w:val="00AB5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7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575C"/>
    <w:rPr>
      <w:smallCaps/>
      <w:color w:val="auto"/>
      <w:u w:val="single"/>
    </w:rPr>
  </w:style>
  <w:style w:type="character" w:styleId="IntenseReference">
    <w:name w:val="Intense Reference"/>
    <w:basedOn w:val="DefaultParagraphFont"/>
    <w:uiPriority w:val="32"/>
    <w:qFormat/>
    <w:rsid w:val="00AB575C"/>
    <w:rPr>
      <w:b/>
      <w:bCs/>
      <w:smallCaps/>
      <w:color w:val="auto"/>
      <w:spacing w:val="5"/>
      <w:u w:val="single"/>
    </w:rPr>
  </w:style>
  <w:style w:type="paragraph" w:customStyle="1" w:styleId="2ColumnHeading">
    <w:name w:val="2Column Heading"/>
    <w:basedOn w:val="BodyText"/>
    <w:qFormat/>
    <w:rsid w:val="00AB575C"/>
    <w:pPr>
      <w:spacing w:after="60"/>
      <w:ind w:left="-2268"/>
    </w:pPr>
    <w:rPr>
      <w:b/>
    </w:rPr>
  </w:style>
  <w:style w:type="paragraph" w:customStyle="1" w:styleId="Heading1TOC">
    <w:name w:val="Heading1 TOC"/>
    <w:basedOn w:val="Normal"/>
    <w:qFormat/>
    <w:rsid w:val="00AB575C"/>
    <w:pPr>
      <w:spacing w:before="240" w:after="120"/>
    </w:pPr>
    <w:rPr>
      <w:rFonts w:ascii="Times New Roman" w:hAnsi="Times New Roman"/>
      <w:b/>
      <w:sz w:val="32"/>
    </w:rPr>
  </w:style>
  <w:style w:type="paragraph" w:customStyle="1" w:styleId="Heading2TOC">
    <w:name w:val="Heading2 TOC"/>
    <w:basedOn w:val="Normal"/>
    <w:qFormat/>
    <w:rsid w:val="00AB575C"/>
    <w:pPr>
      <w:spacing w:before="240" w:after="60"/>
    </w:pPr>
    <w:rPr>
      <w:rFonts w:ascii="Times New Roman" w:hAnsi="Times New Roman"/>
      <w:b/>
      <w:sz w:val="28"/>
    </w:rPr>
  </w:style>
  <w:style w:type="character" w:customStyle="1" w:styleId="Underline">
    <w:name w:val="Underline"/>
    <w:basedOn w:val="DefaultParagraphFont"/>
    <w:qFormat/>
    <w:rsid w:val="00AB575C"/>
    <w:rPr>
      <w:u w:val="single"/>
    </w:rPr>
  </w:style>
  <w:style w:type="character" w:customStyle="1" w:styleId="BoldandItalics">
    <w:name w:val="Bold and Italics"/>
    <w:qFormat/>
    <w:rsid w:val="00AB575C"/>
    <w:rPr>
      <w:b/>
      <w:i/>
      <w:u w:val="none"/>
    </w:rPr>
  </w:style>
  <w:style w:type="paragraph" w:styleId="BalloonText">
    <w:name w:val="Balloon Text"/>
    <w:basedOn w:val="Normal"/>
    <w:link w:val="BalloonTextChar"/>
    <w:rsid w:val="00AB575C"/>
    <w:rPr>
      <w:rFonts w:ascii="Tahoma" w:hAnsi="Tahoma" w:cs="Tahoma"/>
      <w:sz w:val="16"/>
      <w:szCs w:val="16"/>
    </w:rPr>
  </w:style>
  <w:style w:type="character" w:customStyle="1" w:styleId="BalloonTextChar">
    <w:name w:val="Balloon Text Char"/>
    <w:basedOn w:val="DefaultParagraphFont"/>
    <w:link w:val="BalloonText"/>
    <w:rsid w:val="00AB57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57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57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904</Words>
  <Characters>5490</Characters>
  <Application>Microsoft Office Word</Application>
  <DocSecurity>0</DocSecurity>
  <Lines>213</Lines>
  <Paragraphs>98</Paragraphs>
  <ScaleCrop>false</ScaleCrop>
  <Company>Author-it Software Corporation Ltd.</Company>
  <LinksUpToDate>false</LinksUpToDate>
  <CharactersWithSpaces>6315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PMC554091B Analyse refractory failures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2012-05-26T19:12:00Z</dcterms:created>
  <dcterms:modified xsi:type="dcterms:W3CDTF">2012-05-26T19:12:00Z</dcterms:modified>
</cp:coreProperties>
</file>