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219F" w:rsidP="004D219F">
      <w:pPr>
        <w:pStyle w:val="Title"/>
      </w:pPr>
      <w:r>
        <w:fldChar w:fldCharType="begin"/>
      </w:r>
      <w:r>
        <w:instrText xml:space="preserve"> TITLE   \* MERGEFORMAT </w:instrText>
      </w:r>
      <w:r>
        <w:fldChar w:fldCharType="separate"/>
      </w:r>
      <w:r>
        <w:t>PMC554090B Undertake simple refractory design</w:t>
      </w:r>
      <w:r>
        <w:fldChar w:fldCharType="end"/>
      </w:r>
    </w:p>
    <w:p w:rsidR="004D219F" w:rsidP="004D219F">
      <w:pPr>
        <w:pStyle w:val="Version"/>
        <w:sectPr w:rsidSect="00C71B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71BA7" w:rsidP="00C71BA7">
      <w:pPr>
        <w:pStyle w:val="SuperHeading"/>
      </w:pPr>
      <w:r w:rsidRPr="00C71BA7">
        <w:t>PMC554090B Undertake simple refractory design</w:t>
      </w:r>
    </w:p>
    <w:p w:rsidR="00000000" w:rsidRPr="00C71BA7" w:rsidP="00C71BA7">
      <w:pPr>
        <w:pStyle w:val="SuperHeading"/>
      </w:pPr>
    </w:p>
    <w:p w:rsidR="00000000" w:rsidRPr="00C71BA7" w:rsidP="00C71BA7">
      <w:pPr>
        <w:pStyle w:val="Heading1"/>
      </w:pPr>
      <w:bookmarkStart w:id="1" w:name="O_110679"/>
      <w:bookmarkEnd w:id="1"/>
      <w:r w:rsidRPr="00C71BA7">
        <w:t>Modification History</w:t>
      </w:r>
    </w:p>
    <w:p w:rsidR="00000000" w:rsidRPr="00C71BA7" w:rsidP="00C71BA7">
      <w:pPr>
        <w:pStyle w:val="BodyText"/>
      </w:pPr>
      <w:r w:rsidRPr="00C71BA7">
        <w:t>Not applicable.</w:t>
      </w:r>
    </w:p>
    <w:p w:rsidR="00000000" w:rsidRPr="00C71BA7" w:rsidP="00C71BA7">
      <w:pPr>
        <w:pStyle w:val="AllowPageBreak"/>
      </w:pPr>
    </w:p>
    <w:p w:rsidR="00000000" w:rsidRPr="00C71BA7" w:rsidP="00C71BA7">
      <w:pPr>
        <w:pStyle w:val="Heading1"/>
      </w:pPr>
      <w:bookmarkStart w:id="2" w:name="O_110680"/>
      <w:bookmarkEnd w:id="2"/>
      <w:r w:rsidRPr="00C71BA7">
        <w:t>Unit Descriptor</w:t>
      </w:r>
    </w:p>
    <w:tbl>
      <w:tblPr>
        <w:tblW w:w="0" w:type="auto"/>
        <w:tblLayout w:type="fixed"/>
        <w:tblCellMar>
          <w:left w:w="62" w:type="dxa"/>
          <w:right w:w="62" w:type="dxa"/>
        </w:tblCellMar>
        <w:tblLook w:val="0000"/>
      </w:tblPr>
      <w:tblGrid>
        <w:gridCol w:w="2667"/>
        <w:gridCol w:w="5855"/>
      </w:tblGrid>
      <w:tr w:rsidTr="004D219F">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BodyText"/>
              <w:rPr>
                <w:lang w:val="en-NZ"/>
              </w:rPr>
            </w:pPr>
            <w:r w:rsidRPr="00C71BA7">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BA7" w:rsidP="00C71BA7">
            <w:pPr>
              <w:pStyle w:val="BodyText"/>
            </w:pPr>
            <w:r w:rsidRPr="00C71BA7">
              <w:t>This unit of competency covers applying design principles and undertaking simple design tasks. The tech</w:t>
            </w:r>
            <w:r w:rsidRPr="00C71BA7">
              <w:t>nical requirements of the design are paramount and the application of an understanding of refractories, heat transfer and refractory wear and failure mechanisms are primary. The aesthetics of the design are of little if any significance.</w:t>
            </w:r>
          </w:p>
        </w:tc>
      </w:tr>
    </w:tbl>
    <w:p w:rsidR="00000000" w:rsidRPr="00C71BA7" w:rsidP="00C71BA7">
      <w:pPr>
        <w:pStyle w:val="BodyText"/>
      </w:pPr>
    </w:p>
    <w:p w:rsidR="00000000" w:rsidRPr="00C71BA7" w:rsidP="00C71BA7">
      <w:pPr>
        <w:pStyle w:val="AllowPageBreak"/>
      </w:pPr>
    </w:p>
    <w:p w:rsidR="00000000" w:rsidRPr="00C71BA7" w:rsidP="00C71BA7">
      <w:pPr>
        <w:pStyle w:val="Heading1"/>
      </w:pPr>
      <w:bookmarkStart w:id="3" w:name="O_110681"/>
      <w:bookmarkEnd w:id="3"/>
      <w:r w:rsidRPr="00C71BA7">
        <w:t>Application of the Unit</w:t>
      </w:r>
    </w:p>
    <w:tbl>
      <w:tblPr>
        <w:tblW w:w="0" w:type="auto"/>
        <w:tblLayout w:type="fixed"/>
        <w:tblCellMar>
          <w:left w:w="62" w:type="dxa"/>
          <w:right w:w="62" w:type="dxa"/>
        </w:tblCellMar>
        <w:tblLook w:val="0000"/>
      </w:tblPr>
      <w:tblGrid>
        <w:gridCol w:w="2745"/>
        <w:gridCol w:w="5777"/>
      </w:tblGrid>
      <w:tr w:rsidTr="004D219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BodyText"/>
              <w:rPr>
                <w:lang w:val="en-NZ"/>
              </w:rPr>
            </w:pPr>
            <w:r w:rsidRPr="00C71BA7">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BA7" w:rsidP="00C71BA7">
            <w:pPr>
              <w:pStyle w:val="BodyText"/>
            </w:pPr>
            <w:r w:rsidRPr="00C71BA7">
              <w:t>This unit of competency applies to technicians who are responsible for designing simple or small refractory installations or repairs. They apply the principles of heat transfer, thermal expansion, abr</w:t>
            </w:r>
            <w:r w:rsidRPr="00C71BA7">
              <w:t>asion and structures along with a knowledge of refractory materials and installation techniques to the design to yield a product which will meet a rigid technical specification.</w:t>
            </w:r>
          </w:p>
          <w:p w:rsidR="00000000" w:rsidRPr="00C71BA7" w:rsidP="00C71BA7">
            <w:pPr>
              <w:pStyle w:val="BodyText"/>
            </w:pPr>
            <w:r w:rsidRPr="00C71BA7">
              <w:t xml:space="preserve">This unit covers a refractory design for a situation which can be achieved by </w:t>
            </w:r>
            <w:r w:rsidRPr="00C71BA7">
              <w:t>the application of standard products/components in a standard manner. It does not cover innovative products/ applications nor those situations where the design must be done by a registered engineer, although it may involve working with an engineer on a des</w:t>
            </w:r>
            <w:r w:rsidRPr="00C71BA7">
              <w:t>ign</w:t>
            </w:r>
          </w:p>
          <w:p w:rsidR="00000000" w:rsidRPr="00C71BA7" w:rsidP="00C71BA7">
            <w:pPr>
              <w:pStyle w:val="BodyText"/>
            </w:pPr>
            <w:r w:rsidRPr="00C71BA7">
              <w:t>This will typically be done by an individual technician working in liaison with customers, installers and technical experts.</w:t>
            </w:r>
          </w:p>
        </w:tc>
      </w:tr>
    </w:tbl>
    <w:p w:rsidR="00000000" w:rsidRPr="00C71BA7" w:rsidP="00C71BA7">
      <w:pPr>
        <w:pStyle w:val="BodyText"/>
      </w:pPr>
    </w:p>
    <w:p w:rsidR="00000000" w:rsidRPr="00C71BA7" w:rsidP="00C71BA7">
      <w:pPr>
        <w:pStyle w:val="AllowPageBreak"/>
      </w:pPr>
    </w:p>
    <w:p w:rsidR="00000000" w:rsidRPr="00C71BA7" w:rsidP="00C71BA7">
      <w:pPr>
        <w:pStyle w:val="Heading1"/>
      </w:pPr>
      <w:bookmarkStart w:id="4" w:name="O_110682"/>
      <w:bookmarkEnd w:id="4"/>
      <w:r w:rsidRPr="00C71BA7">
        <w:t>Licensing/Regulatory Information</w:t>
      </w:r>
    </w:p>
    <w:p w:rsidR="00000000" w:rsidRPr="00C71BA7" w:rsidP="00C71BA7">
      <w:pPr>
        <w:pStyle w:val="BodyText"/>
      </w:pPr>
      <w:r w:rsidRPr="00C71BA7">
        <w:t>Not applicable.</w:t>
      </w:r>
    </w:p>
    <w:p w:rsidR="00000000" w:rsidRPr="00C71BA7" w:rsidP="00C71BA7">
      <w:pPr>
        <w:pStyle w:val="AllowPageBreak"/>
      </w:pPr>
    </w:p>
    <w:p w:rsidR="00000000" w:rsidRPr="00C71BA7" w:rsidP="00C71BA7">
      <w:pPr>
        <w:pStyle w:val="Heading1"/>
      </w:pPr>
      <w:bookmarkStart w:id="5" w:name="O_110683"/>
      <w:bookmarkEnd w:id="5"/>
      <w:r w:rsidRPr="00C71BA7">
        <w:t>Pre-Requisites</w:t>
      </w:r>
    </w:p>
    <w:tbl>
      <w:tblPr>
        <w:tblW w:w="0" w:type="auto"/>
        <w:tblLayout w:type="fixed"/>
        <w:tblCellMar>
          <w:left w:w="62" w:type="dxa"/>
          <w:right w:w="62" w:type="dxa"/>
        </w:tblCellMar>
        <w:tblLook w:val="0000"/>
      </w:tblPr>
      <w:tblGrid>
        <w:gridCol w:w="2775"/>
        <w:gridCol w:w="1295"/>
        <w:gridCol w:w="4452"/>
      </w:tblGrid>
      <w:tr w:rsidTr="004D219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BodyText"/>
              <w:rPr>
                <w:lang w:val="en-NZ"/>
              </w:rPr>
            </w:pPr>
            <w:r w:rsidRPr="00C71BA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D21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BodyText"/>
              <w:rPr>
                <w:lang w:val="en-NZ"/>
              </w:rPr>
            </w:pPr>
          </w:p>
        </w:tc>
      </w:tr>
      <w:tr w:rsidTr="004D21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BA7" w:rsidP="00C71BA7">
            <w:pPr>
              <w:pStyle w:val="BodyText"/>
            </w:pPr>
          </w:p>
        </w:tc>
      </w:tr>
    </w:tbl>
    <w:p w:rsidR="00000000" w:rsidRPr="00C71BA7" w:rsidP="00C71BA7">
      <w:pPr>
        <w:pStyle w:val="BodyText"/>
      </w:pPr>
    </w:p>
    <w:p w:rsidR="00000000" w:rsidRPr="00C71BA7" w:rsidP="00C71BA7">
      <w:pPr>
        <w:pStyle w:val="AllowPageBreak"/>
      </w:pPr>
    </w:p>
    <w:p w:rsidR="00000000" w:rsidRPr="00C71BA7" w:rsidP="00C71BA7">
      <w:pPr>
        <w:pStyle w:val="Heading1"/>
      </w:pPr>
      <w:bookmarkStart w:id="6" w:name="O_110684"/>
      <w:bookmarkEnd w:id="6"/>
      <w:r w:rsidRPr="00C71BA7">
        <w:t>Employability Skills Information</w:t>
      </w:r>
    </w:p>
    <w:tbl>
      <w:tblPr>
        <w:tblW w:w="0" w:type="auto"/>
        <w:tblLayout w:type="fixed"/>
        <w:tblCellMar>
          <w:left w:w="62" w:type="dxa"/>
          <w:right w:w="62" w:type="dxa"/>
        </w:tblCellMar>
        <w:tblLook w:val="0000"/>
      </w:tblPr>
      <w:tblGrid>
        <w:gridCol w:w="2802"/>
        <w:gridCol w:w="5720"/>
      </w:tblGrid>
      <w:tr w:rsidTr="004D219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BodyText"/>
              <w:rPr>
                <w:lang w:val="en-NZ"/>
              </w:rPr>
            </w:pPr>
            <w:r w:rsidRPr="00C71BA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BA7" w:rsidP="00C71BA7">
            <w:pPr>
              <w:pStyle w:val="BodyText"/>
            </w:pPr>
            <w:r w:rsidRPr="00C71BA7">
              <w:t>This unit contains employability skills.</w:t>
            </w:r>
          </w:p>
        </w:tc>
      </w:tr>
    </w:tbl>
    <w:p w:rsidR="00000000" w:rsidRPr="00C71BA7" w:rsidP="00C71BA7">
      <w:pPr>
        <w:pStyle w:val="BodyText"/>
      </w:pPr>
    </w:p>
    <w:p w:rsidR="00000000" w:rsidRPr="00C71BA7" w:rsidP="00C71BA7">
      <w:pPr>
        <w:pStyle w:val="AllowPageBreak"/>
      </w:pPr>
    </w:p>
    <w:p w:rsidR="00000000" w:rsidRPr="00C71BA7" w:rsidP="00C71BA7">
      <w:pPr>
        <w:pStyle w:val="Heading1"/>
      </w:pPr>
      <w:bookmarkStart w:id="7" w:name="O_110685"/>
      <w:bookmarkEnd w:id="7"/>
      <w:r w:rsidRPr="00C71BA7">
        <w:t>Elements and Performance Criteria Pre-Content</w:t>
      </w:r>
    </w:p>
    <w:tbl>
      <w:tblPr>
        <w:tblW w:w="0" w:type="auto"/>
        <w:tblLayout w:type="fixed"/>
        <w:tblCellMar>
          <w:left w:w="62" w:type="dxa"/>
          <w:right w:w="62" w:type="dxa"/>
        </w:tblCellMar>
        <w:tblLook w:val="0000"/>
      </w:tblPr>
      <w:tblGrid>
        <w:gridCol w:w="2580"/>
        <w:gridCol w:w="5942"/>
      </w:tblGrid>
      <w:tr w:rsidTr="004D219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BodyText"/>
              <w:rPr>
                <w:lang w:val="en-NZ"/>
              </w:rPr>
            </w:pPr>
            <w:r w:rsidRPr="00C71BA7">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BA7" w:rsidP="00C71BA7">
            <w:pPr>
              <w:pStyle w:val="BodyText"/>
            </w:pPr>
            <w:r w:rsidRPr="00C71BA7">
              <w:t>Performance criteria describe the performance needed to demonstrate achievement of the element. Where bold italicised text is used, further information is detailed in the required skills and knowledge section and the range statement. Assessment of performa</w:t>
            </w:r>
            <w:r w:rsidRPr="00C71BA7">
              <w:t>nce is to be consistent with the evidence guide.</w:t>
            </w:r>
          </w:p>
        </w:tc>
      </w:tr>
    </w:tbl>
    <w:p w:rsidR="00000000" w:rsidRPr="00C71BA7" w:rsidP="00C71BA7">
      <w:pPr>
        <w:pStyle w:val="BodyText"/>
      </w:pPr>
    </w:p>
    <w:p w:rsidR="00000000" w:rsidRPr="00C71BA7" w:rsidP="00C71BA7">
      <w:pPr>
        <w:pStyle w:val="AllowPageBreak"/>
      </w:pPr>
    </w:p>
    <w:p w:rsidR="00000000" w:rsidRPr="00C71BA7" w:rsidP="00C71BA7">
      <w:pPr>
        <w:pStyle w:val="Heading1"/>
      </w:pPr>
      <w:bookmarkStart w:id="8" w:name="O_110686"/>
      <w:bookmarkEnd w:id="8"/>
      <w:r w:rsidRPr="00C71BA7">
        <w:t>Elements and Performance Criteria</w:t>
      </w:r>
    </w:p>
    <w:tbl>
      <w:tblPr>
        <w:tblW w:w="0" w:type="auto"/>
        <w:tblLayout w:type="fixed"/>
        <w:tblCellMar>
          <w:left w:w="62" w:type="dxa"/>
          <w:right w:w="62" w:type="dxa"/>
        </w:tblCellMar>
        <w:tblLook w:val="0000"/>
      </w:tblPr>
      <w:tblGrid>
        <w:gridCol w:w="2580"/>
        <w:gridCol w:w="5942"/>
      </w:tblGrid>
      <w:tr w:rsidTr="004D219F">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BA7" w:rsidP="00C71BA7">
            <w:pPr>
              <w:pStyle w:val="BodyText"/>
            </w:pPr>
            <w:r w:rsidRPr="00C71BA7">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BodyText"/>
              <w:rPr>
                <w:lang w:val="en-NZ"/>
              </w:rPr>
            </w:pPr>
            <w:r w:rsidRPr="00C71BA7">
              <w:rPr>
                <w:rStyle w:val="SpecialBold"/>
              </w:rPr>
              <w:t>PERFORMANCE CRITERIA</w:t>
            </w:r>
          </w:p>
        </w:tc>
      </w:tr>
      <w:tr w:rsidTr="004D219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List"/>
              <w:rPr>
                <w:lang w:val="en-NZ"/>
              </w:rPr>
            </w:pPr>
            <w:r w:rsidRPr="00C71BA7">
              <w:t>1.</w:t>
            </w:r>
            <w:r w:rsidRPr="00C71BA7">
              <w:tab/>
              <w:t>Establish the suitability of resources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BA7" w:rsidP="00C71BA7">
            <w:pPr>
              <w:pStyle w:val="List2"/>
            </w:pPr>
            <w:r w:rsidRPr="00C71BA7">
              <w:t>1.1.</w:t>
            </w:r>
            <w:r w:rsidRPr="00C71BA7">
              <w:tab/>
              <w:t>Check all information conforms with resources</w:t>
            </w:r>
          </w:p>
          <w:p w:rsidR="00000000" w:rsidRPr="00C71BA7" w:rsidP="00C71BA7">
            <w:pPr>
              <w:pStyle w:val="List2"/>
            </w:pPr>
            <w:r w:rsidRPr="00C71BA7">
              <w:t>1.2.</w:t>
            </w:r>
            <w:r w:rsidRPr="00C71BA7">
              <w:tab/>
            </w:r>
            <w:r w:rsidRPr="00C71BA7">
              <w:t>Record discrepancies in information</w:t>
            </w:r>
          </w:p>
          <w:p w:rsidR="00000000" w:rsidRPr="00C71BA7" w:rsidP="00C71BA7">
            <w:pPr>
              <w:pStyle w:val="List2"/>
            </w:pPr>
            <w:r w:rsidRPr="00C71BA7">
              <w:t>1.3.</w:t>
            </w:r>
            <w:r w:rsidRPr="00C71BA7">
              <w:tab/>
              <w:t>Report any inaccuracies in information to the person in charge</w:t>
            </w:r>
          </w:p>
          <w:p w:rsidR="00000000" w:rsidP="00C71BA7">
            <w:pPr>
              <w:pStyle w:val="List2"/>
              <w:rPr>
                <w:lang w:val="en-NZ"/>
              </w:rPr>
            </w:pPr>
            <w:r w:rsidRPr="00C71BA7">
              <w:t>1.4.</w:t>
            </w:r>
            <w:r w:rsidRPr="00C71BA7">
              <w:tab/>
              <w:t>Identify and select materials, components, tools and equipment</w:t>
            </w:r>
          </w:p>
        </w:tc>
      </w:tr>
      <w:tr w:rsidTr="004D219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List"/>
              <w:rPr>
                <w:lang w:val="en-NZ"/>
              </w:rPr>
            </w:pPr>
            <w:r w:rsidRPr="00C71BA7">
              <w:t>2.</w:t>
            </w:r>
            <w:r w:rsidRPr="00C71BA7">
              <w:tab/>
              <w:t>Undertake mechanical design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BA7" w:rsidP="00C71BA7">
            <w:pPr>
              <w:pStyle w:val="List2"/>
            </w:pPr>
            <w:r w:rsidRPr="00C71BA7">
              <w:t>2.1.</w:t>
            </w:r>
            <w:r w:rsidRPr="00C71BA7">
              <w:tab/>
              <w:t>Determine strength requirements</w:t>
            </w:r>
          </w:p>
          <w:p w:rsidR="00000000" w:rsidRPr="00C71BA7" w:rsidP="00C71BA7">
            <w:pPr>
              <w:pStyle w:val="List2"/>
            </w:pPr>
            <w:r w:rsidRPr="00C71BA7">
              <w:t>2.2.</w:t>
            </w:r>
            <w:r w:rsidRPr="00C71BA7">
              <w:tab/>
              <w:t xml:space="preserve">Determine </w:t>
            </w:r>
            <w:r w:rsidRPr="00C71BA7">
              <w:t>operating temperature range</w:t>
            </w:r>
          </w:p>
          <w:p w:rsidR="00000000" w:rsidRPr="00C71BA7" w:rsidP="00C71BA7">
            <w:pPr>
              <w:pStyle w:val="List2"/>
            </w:pPr>
            <w:r w:rsidRPr="00C71BA7">
              <w:t>2.3.</w:t>
            </w:r>
            <w:r w:rsidRPr="00C71BA7">
              <w:tab/>
              <w:t>Select materials/mix with appropriate mechanical strength</w:t>
            </w:r>
          </w:p>
          <w:p w:rsidR="00000000" w:rsidRPr="00C71BA7" w:rsidP="00C71BA7">
            <w:pPr>
              <w:pStyle w:val="List2"/>
            </w:pPr>
            <w:r w:rsidRPr="00C71BA7">
              <w:t>2.4.</w:t>
            </w:r>
            <w:r w:rsidRPr="00C71BA7">
              <w:tab/>
              <w:t>Identify hazards of materials and processes to be used and apply hierarchy of control to control hazards</w:t>
            </w:r>
          </w:p>
          <w:p w:rsidR="00000000" w:rsidRPr="00C71BA7" w:rsidP="00C71BA7">
            <w:pPr>
              <w:pStyle w:val="List2"/>
            </w:pPr>
            <w:r w:rsidRPr="00C71BA7">
              <w:t>2.5.</w:t>
            </w:r>
            <w:r w:rsidRPr="00C71BA7">
              <w:tab/>
              <w:t>Determine expansion which will occur for this mate</w:t>
            </w:r>
            <w:r w:rsidRPr="00C71BA7">
              <w:t>rial</w:t>
            </w:r>
          </w:p>
          <w:p w:rsidR="00000000" w:rsidP="00C71BA7">
            <w:pPr>
              <w:pStyle w:val="List2"/>
              <w:rPr>
                <w:lang w:val="en-NZ"/>
              </w:rPr>
            </w:pPr>
            <w:r w:rsidRPr="00C71BA7">
              <w:t>2.6.</w:t>
            </w:r>
            <w:r w:rsidRPr="00C71BA7">
              <w:tab/>
              <w:t>Adjust material/mix to be suitable for temperatures</w:t>
            </w:r>
          </w:p>
        </w:tc>
      </w:tr>
      <w:tr w:rsidTr="004D219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List"/>
              <w:rPr>
                <w:lang w:val="en-NZ"/>
              </w:rPr>
            </w:pPr>
            <w:r w:rsidRPr="00C71BA7">
              <w:t>3.</w:t>
            </w:r>
            <w:r w:rsidRPr="00C71BA7">
              <w:tab/>
              <w:t>Undertake thermal design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BA7" w:rsidP="00C71BA7">
            <w:pPr>
              <w:pStyle w:val="List2"/>
            </w:pPr>
            <w:r w:rsidRPr="00C71BA7">
              <w:t>3.1.</w:t>
            </w:r>
            <w:r w:rsidRPr="00C71BA7">
              <w:tab/>
              <w:t>Determine heat flow through the refractory</w:t>
            </w:r>
          </w:p>
          <w:p w:rsidR="00000000" w:rsidRPr="00C71BA7" w:rsidP="00C71BA7">
            <w:pPr>
              <w:pStyle w:val="List2"/>
            </w:pPr>
            <w:r w:rsidRPr="00C71BA7">
              <w:t>3.2.</w:t>
            </w:r>
            <w:r w:rsidRPr="00C71BA7">
              <w:tab/>
              <w:t>Determine interface temperatures for multi-component linings</w:t>
            </w:r>
          </w:p>
          <w:p w:rsidR="00000000" w:rsidRPr="00C71BA7" w:rsidP="00C71BA7">
            <w:pPr>
              <w:pStyle w:val="List2"/>
            </w:pPr>
            <w:r w:rsidRPr="00C71BA7">
              <w:t>3.3.</w:t>
            </w:r>
            <w:r w:rsidRPr="00C71BA7">
              <w:tab/>
              <w:t>Use simple software</w:t>
            </w:r>
          </w:p>
          <w:p w:rsidR="00000000" w:rsidP="00C71BA7">
            <w:pPr>
              <w:pStyle w:val="List2"/>
              <w:rPr>
                <w:lang w:val="en-NZ"/>
              </w:rPr>
            </w:pPr>
            <w:r w:rsidRPr="00C71BA7">
              <w:t>3.4.</w:t>
            </w:r>
            <w:r w:rsidRPr="00C71BA7">
              <w:tab/>
            </w:r>
            <w:r w:rsidRPr="00C71BA7">
              <w:t>Determine interface bonding/anchor issues</w:t>
            </w:r>
          </w:p>
        </w:tc>
      </w:tr>
      <w:tr w:rsidTr="004D219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List"/>
              <w:rPr>
                <w:lang w:val="en-NZ"/>
              </w:rPr>
            </w:pPr>
            <w:r w:rsidRPr="00C71BA7">
              <w:t>4.</w:t>
            </w:r>
            <w:r w:rsidRPr="00C71BA7">
              <w:tab/>
              <w:t>Specify refractory design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BA7" w:rsidP="00C71BA7">
            <w:pPr>
              <w:pStyle w:val="List2"/>
            </w:pPr>
            <w:r w:rsidRPr="00C71BA7">
              <w:t>4.1.</w:t>
            </w:r>
            <w:r w:rsidRPr="00C71BA7">
              <w:tab/>
              <w:t>Specify materials to be used</w:t>
            </w:r>
          </w:p>
          <w:p w:rsidR="00000000" w:rsidRPr="00C71BA7" w:rsidP="00C71BA7">
            <w:pPr>
              <w:pStyle w:val="List2"/>
            </w:pPr>
            <w:r w:rsidRPr="00C71BA7">
              <w:t>4.2.</w:t>
            </w:r>
            <w:r w:rsidRPr="00C71BA7">
              <w:tab/>
              <w:t>Specify installation method to be used</w:t>
            </w:r>
          </w:p>
          <w:p w:rsidR="00000000" w:rsidRPr="00C71BA7" w:rsidP="00C71BA7">
            <w:pPr>
              <w:pStyle w:val="List2"/>
            </w:pPr>
            <w:r w:rsidRPr="00C71BA7">
              <w:t>4.3.</w:t>
            </w:r>
            <w:r w:rsidRPr="00C71BA7">
              <w:tab/>
              <w:t>Confirm specification meets customer needs and installer requirements</w:t>
            </w:r>
          </w:p>
        </w:tc>
      </w:tr>
    </w:tbl>
    <w:p w:rsidR="00000000" w:rsidRPr="00C71BA7" w:rsidP="00C71BA7">
      <w:pPr>
        <w:pStyle w:val="BodyText"/>
      </w:pPr>
    </w:p>
    <w:p w:rsidR="00000000" w:rsidRPr="00C71BA7" w:rsidP="00C71BA7">
      <w:pPr>
        <w:pStyle w:val="AllowPageBreak"/>
      </w:pPr>
    </w:p>
    <w:p w:rsidR="00000000" w:rsidRPr="00C71BA7" w:rsidP="00C71BA7">
      <w:pPr>
        <w:pStyle w:val="Heading1"/>
      </w:pPr>
      <w:bookmarkStart w:id="9" w:name="O_110687"/>
      <w:bookmarkEnd w:id="9"/>
      <w:r w:rsidRPr="00C71BA7">
        <w:t>Required Ski</w:t>
      </w:r>
      <w:r w:rsidRPr="00C71BA7">
        <w:t>lls and Knowledge</w:t>
      </w:r>
    </w:p>
    <w:tbl>
      <w:tblPr>
        <w:tblW w:w="0" w:type="auto"/>
        <w:tblLayout w:type="fixed"/>
        <w:tblCellMar>
          <w:left w:w="62" w:type="dxa"/>
          <w:right w:w="62" w:type="dxa"/>
        </w:tblCellMar>
        <w:tblLook w:val="0000"/>
      </w:tblPr>
      <w:tblGrid>
        <w:gridCol w:w="8522"/>
      </w:tblGrid>
      <w:tr w:rsidTr="004D219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71BA7">
            <w:pPr>
              <w:pStyle w:val="BodyText"/>
              <w:rPr>
                <w:lang w:val="en-NZ"/>
              </w:rPr>
            </w:pPr>
            <w:r w:rsidRPr="00C71BA7">
              <w:rPr>
                <w:rStyle w:val="SpecialBold"/>
              </w:rPr>
              <w:t>REQUIRED SKILLS AND KNOWLEDGE</w:t>
            </w:r>
          </w:p>
        </w:tc>
      </w:tr>
      <w:tr w:rsidTr="004D219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BodyText"/>
              <w:rPr>
                <w:lang w:val="en-NZ"/>
              </w:rPr>
            </w:pPr>
            <w:r w:rsidRPr="00C71BA7">
              <w:t>This section describes the skills and knowledge required for this unit.</w:t>
            </w:r>
          </w:p>
        </w:tc>
      </w:tr>
      <w:tr w:rsidTr="004D21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BodyText"/>
              <w:rPr>
                <w:lang w:val="en-NZ"/>
              </w:rPr>
            </w:pPr>
            <w:r w:rsidRPr="00C71BA7">
              <w:rPr>
                <w:rStyle w:val="SpecialBold"/>
              </w:rPr>
              <w:t>Required skills</w:t>
            </w:r>
          </w:p>
        </w:tc>
      </w:tr>
      <w:tr w:rsidTr="004D21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BA7" w:rsidP="00C71BA7">
            <w:pPr>
              <w:pStyle w:val="BodyText"/>
            </w:pPr>
            <w:r w:rsidRPr="00C71BA7">
              <w:t>Required skills include:</w:t>
            </w:r>
          </w:p>
          <w:p w:rsidR="00000000" w:rsidRPr="00C71BA7" w:rsidP="00C71BA7">
            <w:pPr>
              <w:pStyle w:val="ListBullet"/>
            </w:pPr>
            <w:r w:rsidRPr="00C71BA7">
              <w:t xml:space="preserve">adjusting/correcting/responding to work requirements </w:t>
            </w:r>
          </w:p>
          <w:p w:rsidR="00000000" w:rsidRPr="00C71BA7" w:rsidP="00C71BA7">
            <w:pPr>
              <w:pStyle w:val="ListBullet"/>
            </w:pPr>
            <w:r w:rsidRPr="00C71BA7">
              <w:t>identifying and resolving problems</w:t>
            </w:r>
          </w:p>
          <w:p w:rsidR="00000000" w:rsidRPr="00C71BA7" w:rsidP="00C71BA7">
            <w:pPr>
              <w:pStyle w:val="ListBullet"/>
            </w:pPr>
            <w:r w:rsidRPr="00C71BA7">
              <w:t>using simple software for calculations</w:t>
            </w:r>
          </w:p>
          <w:p w:rsidR="00000000" w:rsidRPr="00C71BA7" w:rsidP="00C71BA7">
            <w:pPr>
              <w:pStyle w:val="ListBullet"/>
            </w:pPr>
            <w:r w:rsidRPr="00C71BA7">
              <w:t>working in a team or individually, as required</w:t>
            </w:r>
          </w:p>
          <w:p w:rsidR="00000000" w:rsidP="00C71BA7">
            <w:pPr>
              <w:pStyle w:val="ListBullet"/>
              <w:rPr>
                <w:lang w:val="en-NZ"/>
              </w:rPr>
            </w:pPr>
            <w:r w:rsidRPr="00C71BA7">
              <w:t>reading and numeracy to interpret workplace documents and technical information</w:t>
            </w:r>
          </w:p>
        </w:tc>
      </w:tr>
      <w:tr w:rsidTr="004D21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BodyText"/>
              <w:rPr>
                <w:lang w:val="en-NZ"/>
              </w:rPr>
            </w:pPr>
            <w:r w:rsidRPr="00C71BA7">
              <w:rPr>
                <w:rStyle w:val="SpecialBold"/>
              </w:rPr>
              <w:t>Required knowledge</w:t>
            </w:r>
          </w:p>
        </w:tc>
      </w:tr>
      <w:tr w:rsidTr="004D21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BA7" w:rsidP="00C71BA7">
            <w:pPr>
              <w:pStyle w:val="BodyText"/>
            </w:pPr>
            <w:r w:rsidRPr="00C71BA7">
              <w:t>Required knowledge includes:</w:t>
            </w:r>
          </w:p>
          <w:p w:rsidR="00000000" w:rsidRPr="00C71BA7" w:rsidP="00C71BA7">
            <w:pPr>
              <w:pStyle w:val="ListBullet"/>
            </w:pPr>
            <w:r w:rsidRPr="00C71BA7">
              <w:t>heat flow calculations</w:t>
            </w:r>
          </w:p>
          <w:p w:rsidR="00000000" w:rsidRPr="00C71BA7" w:rsidP="00C71BA7">
            <w:pPr>
              <w:pStyle w:val="ListBullet"/>
            </w:pPr>
            <w:r w:rsidRPr="00C71BA7">
              <w:t>awareness of oth</w:t>
            </w:r>
            <w:r w:rsidRPr="00C71BA7">
              <w:t>er relationships involved with these calculations</w:t>
            </w:r>
          </w:p>
          <w:p w:rsidR="00000000" w:rsidRPr="00C71BA7" w:rsidP="00C71BA7">
            <w:pPr>
              <w:pStyle w:val="ListBullet"/>
            </w:pPr>
            <w:r w:rsidRPr="00C71BA7">
              <w:t>refractory materials and their properties</w:t>
            </w:r>
          </w:p>
          <w:p w:rsidR="00000000" w:rsidRPr="00C71BA7" w:rsidP="00C71BA7">
            <w:pPr>
              <w:pStyle w:val="ListBullet"/>
            </w:pPr>
            <w:r w:rsidRPr="00C71BA7">
              <w:t>refractory installation techniques</w:t>
            </w:r>
          </w:p>
          <w:p w:rsidR="00000000" w:rsidRPr="00C71BA7" w:rsidP="00C71BA7">
            <w:pPr>
              <w:pStyle w:val="ListBullet"/>
            </w:pPr>
            <w:r w:rsidRPr="00C71BA7">
              <w:t>structural strength of refractories</w:t>
            </w:r>
          </w:p>
          <w:p w:rsidR="00000000" w:rsidRPr="00C71BA7" w:rsidP="00C71BA7">
            <w:pPr>
              <w:pStyle w:val="ListBullet"/>
            </w:pPr>
            <w:r w:rsidRPr="00C71BA7">
              <w:t>thermal expansion of refractories</w:t>
            </w:r>
          </w:p>
          <w:p w:rsidR="00000000" w:rsidRPr="00C71BA7" w:rsidP="00C71BA7">
            <w:pPr>
              <w:pStyle w:val="ListBullet"/>
            </w:pPr>
            <w:r w:rsidRPr="00C71BA7">
              <w:t>methods of tying refractories</w:t>
            </w:r>
          </w:p>
        </w:tc>
      </w:tr>
    </w:tbl>
    <w:p w:rsidR="00000000" w:rsidRPr="00C71BA7" w:rsidP="00C71BA7">
      <w:pPr>
        <w:pStyle w:val="BodyText"/>
      </w:pPr>
    </w:p>
    <w:p w:rsidR="00000000" w:rsidRPr="00C71BA7" w:rsidP="00C71BA7">
      <w:pPr>
        <w:pStyle w:val="AllowPageBreak"/>
      </w:pPr>
    </w:p>
    <w:p w:rsidR="00000000" w:rsidRPr="00C71BA7" w:rsidP="00C71BA7">
      <w:pPr>
        <w:pStyle w:val="Heading1"/>
      </w:pPr>
      <w:bookmarkStart w:id="10" w:name="O_110688"/>
      <w:bookmarkEnd w:id="10"/>
      <w:r w:rsidRPr="00C71BA7">
        <w:t>Evidence Guide</w:t>
      </w:r>
    </w:p>
    <w:tbl>
      <w:tblPr>
        <w:tblW w:w="9570" w:type="dxa"/>
        <w:tblLayout w:type="fixed"/>
        <w:tblCellMar>
          <w:left w:w="62" w:type="dxa"/>
          <w:right w:w="62" w:type="dxa"/>
        </w:tblCellMar>
        <w:tblLook w:val="0000"/>
      </w:tblPr>
      <w:tblGrid>
        <w:gridCol w:w="3908"/>
        <w:gridCol w:w="5662"/>
      </w:tblGrid>
      <w:tr w:rsidTr="004D219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BodyText"/>
              <w:rPr>
                <w:lang w:val="en-NZ"/>
              </w:rPr>
            </w:pPr>
            <w:r w:rsidRPr="00C71BA7">
              <w:rPr>
                <w:rStyle w:val="SpecialBold"/>
              </w:rPr>
              <w:t>EVIDENCE GUIDE</w:t>
            </w:r>
          </w:p>
        </w:tc>
      </w:tr>
      <w:tr w:rsidTr="004D21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BodyText"/>
              <w:rPr>
                <w:lang w:val="en-NZ"/>
              </w:rPr>
            </w:pPr>
            <w:r w:rsidRPr="00C71BA7">
              <w:t>The Evidence Guide provides advice on assessment and must be read in conjunction with the performance criteria, required skills and knowledge, range statement and the Assessment Guidelines for the Training Package.</w:t>
            </w:r>
          </w:p>
        </w:tc>
      </w:tr>
      <w:tr w:rsidTr="004D21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BodyText"/>
              <w:rPr>
                <w:lang w:val="en-NZ"/>
              </w:rPr>
            </w:pPr>
            <w:r w:rsidRPr="00C71BA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BodyText"/>
              <w:rPr>
                <w:lang w:val="en-NZ"/>
              </w:rPr>
            </w:pPr>
            <w:r w:rsidRPr="00C71BA7">
              <w:t>The unit will be assessed in as holistic a manner as is practical and may be integrated with the assessment of other relevant units of competency.</w:t>
            </w:r>
          </w:p>
        </w:tc>
      </w:tr>
      <w:tr w:rsidTr="004D21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BodyText"/>
              <w:rPr>
                <w:lang w:val="en-NZ"/>
              </w:rPr>
            </w:pPr>
            <w:r w:rsidRPr="00C71BA7">
              <w:rPr>
                <w:rStyle w:val="SpecialBold"/>
              </w:rPr>
              <w:t>Critical aspects for assessment and evidence required to demonstrate competency in th</w:t>
            </w:r>
            <w:r w:rsidRPr="00C71BA7">
              <w:rPr>
                <w:rStyle w:val="SpecialBold"/>
              </w:rPr>
              <w:t>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BA7" w:rsidP="00C71BA7">
            <w:pPr>
              <w:pStyle w:val="BodyText"/>
            </w:pPr>
            <w:r w:rsidRPr="00C71BA7">
              <w:t>Competence must be demonstrated in the operation of all ancillary equipment to the level required for this unit of competency.</w:t>
            </w:r>
          </w:p>
          <w:p w:rsidR="00000000" w:rsidRPr="00C71BA7" w:rsidP="00C71BA7">
            <w:pPr>
              <w:pStyle w:val="BodyText"/>
            </w:pPr>
            <w:r w:rsidRPr="00C71BA7">
              <w:t>Competence must be demonstrated in the ability to recognise and analyse potential situations requiring action and then in</w:t>
            </w:r>
            <w:r w:rsidRPr="00C71BA7">
              <w:t xml:space="preserve"> implementing appropriate corrective action.</w:t>
            </w:r>
          </w:p>
          <w:p w:rsidR="00000000" w:rsidRPr="00C71BA7" w:rsidP="00C71BA7">
            <w:pPr>
              <w:pStyle w:val="BodyText"/>
            </w:pPr>
            <w:r w:rsidRPr="00C71BA7">
              <w:t>Consistent performance should be demonstrated. In particular look to see that:</w:t>
            </w:r>
          </w:p>
          <w:p w:rsidR="00000000" w:rsidP="00C71BA7">
            <w:pPr>
              <w:pStyle w:val="ListBullet"/>
              <w:rPr>
                <w:lang w:val="en-NZ"/>
              </w:rPr>
            </w:pPr>
            <w:r w:rsidRPr="00C71BA7">
              <w:t>the technical aspects of the design are identified and an appropriate solution is proposed.</w:t>
            </w:r>
          </w:p>
        </w:tc>
      </w:tr>
      <w:tr w:rsidTr="004D21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BodyText"/>
              <w:rPr>
                <w:lang w:val="en-NZ"/>
              </w:rPr>
            </w:pPr>
            <w:r w:rsidRPr="00C71BA7">
              <w:rPr>
                <w:rStyle w:val="SpecialBold"/>
              </w:rPr>
              <w:t>Contex</w:t>
            </w:r>
            <w:r w:rsidRPr="00C71BA7">
              <w:rPr>
                <w:rStyle w:val="SpecialBold"/>
              </w:rPr>
              <w:t>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BA7" w:rsidP="00C71BA7">
            <w:pPr>
              <w:pStyle w:val="BodyText"/>
            </w:pPr>
            <w:r w:rsidRPr="00C71BA7">
              <w:t xml:space="preserve">Assessment will require access to an operating plant over an extended period of time, or a suitable method of gathering evidence of operating ability over a range of situations. </w:t>
            </w:r>
          </w:p>
          <w:p w:rsidR="00000000" w:rsidRPr="00C71BA7" w:rsidP="00C71BA7">
            <w:pPr>
              <w:pStyle w:val="BodyText"/>
            </w:pPr>
            <w:r w:rsidRPr="00C71BA7">
              <w:t>Assessment will occur over a range</w:t>
            </w:r>
            <w:r w:rsidRPr="00C71BA7">
              <w:t xml:space="preserve"> of situations which will include disruptions to normal, smooth operation.</w:t>
            </w:r>
          </w:p>
          <w:p w:rsidR="00000000" w:rsidP="00C71BA7">
            <w:pPr>
              <w:pStyle w:val="BodyText"/>
              <w:rPr>
                <w:lang w:val="en-NZ"/>
              </w:rPr>
            </w:pPr>
            <w:r w:rsidRPr="00C71BA7">
              <w:t>Simulation or case studies/scenarios may be required to allow for timely assessment of parts of this unit of competency. Simulation should be based on the actual plant and will incl</w:t>
            </w:r>
            <w:r w:rsidRPr="00C71BA7">
              <w:t>ude 'walk-throughs' of the relevant competency components. A bank of scenarios/case studies/what ifs and questions will be required to probe the reasoning behind observable actions.</w:t>
            </w:r>
          </w:p>
        </w:tc>
      </w:tr>
      <w:tr w:rsidTr="004D21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BodyText"/>
              <w:rPr>
                <w:lang w:val="en-NZ"/>
              </w:rPr>
            </w:pPr>
            <w:r w:rsidRPr="00C71BA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BA7" w:rsidP="00C71BA7">
            <w:pPr>
              <w:pStyle w:val="BodyText"/>
            </w:pPr>
            <w:r w:rsidRPr="00C71BA7">
              <w:t>It may be appropriate to assess this unit concurrent</w:t>
            </w:r>
            <w:r w:rsidRPr="00C71BA7">
              <w:t xml:space="preserve">ly with relevant teamwork and communication units. </w:t>
            </w:r>
          </w:p>
          <w:p w:rsidR="00000000" w:rsidP="00C71BA7">
            <w:pPr>
              <w:pStyle w:val="BodyText"/>
              <w:rPr>
                <w:lang w:val="en-NZ"/>
              </w:rPr>
            </w:pPr>
            <w:r w:rsidRPr="00C71BA7">
              <w:t>It may be appropriate to assess this unit concurrently with other relevant units.</w:t>
            </w:r>
          </w:p>
        </w:tc>
      </w:tr>
      <w:tr w:rsidTr="004D21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BodyText"/>
              <w:rPr>
                <w:lang w:val="en-NZ"/>
              </w:rPr>
            </w:pPr>
            <w:r w:rsidRPr="00C71BA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BA7" w:rsidP="00C71BA7">
            <w:pPr>
              <w:pStyle w:val="BodyText"/>
            </w:pPr>
            <w:r w:rsidRPr="00C71BA7">
              <w:t>Assessment processes and techniques must be culturally appropriate and appropriate to</w:t>
            </w:r>
            <w:r w:rsidRPr="00C71BA7">
              <w:t xml:space="preserve"> the language and literacy capacity of the candidate and the work being performed.</w:t>
            </w:r>
          </w:p>
        </w:tc>
      </w:tr>
    </w:tbl>
    <w:p w:rsidR="00000000" w:rsidRPr="00C71BA7" w:rsidP="00C71BA7">
      <w:pPr>
        <w:pStyle w:val="BodyText"/>
      </w:pPr>
    </w:p>
    <w:p w:rsidR="00000000" w:rsidRPr="00C71BA7" w:rsidP="00C71BA7">
      <w:pPr>
        <w:pStyle w:val="AllowPageBreak"/>
      </w:pPr>
    </w:p>
    <w:p w:rsidR="00000000" w:rsidRPr="00C71BA7" w:rsidP="00C71BA7">
      <w:pPr>
        <w:pStyle w:val="Heading1"/>
      </w:pPr>
      <w:bookmarkStart w:id="11" w:name="O_110689"/>
      <w:bookmarkEnd w:id="11"/>
      <w:r w:rsidRPr="00C71BA7">
        <w:t>Range Statement</w:t>
      </w:r>
    </w:p>
    <w:tbl>
      <w:tblPr>
        <w:tblW w:w="0" w:type="auto"/>
        <w:tblLayout w:type="fixed"/>
        <w:tblCellMar>
          <w:left w:w="62" w:type="dxa"/>
          <w:right w:w="62" w:type="dxa"/>
        </w:tblCellMar>
        <w:tblLook w:val="0000"/>
      </w:tblPr>
      <w:tblGrid>
        <w:gridCol w:w="3510"/>
        <w:gridCol w:w="5012"/>
      </w:tblGrid>
      <w:tr w:rsidTr="004D219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BodyText"/>
              <w:rPr>
                <w:lang w:val="en-NZ"/>
              </w:rPr>
            </w:pPr>
            <w:r w:rsidRPr="00C71BA7">
              <w:rPr>
                <w:rStyle w:val="SpecialBold"/>
              </w:rPr>
              <w:t>RANGE STATEMENT</w:t>
            </w:r>
          </w:p>
        </w:tc>
      </w:tr>
      <w:tr w:rsidTr="004D21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BodyText"/>
              <w:rPr>
                <w:lang w:val="en-NZ"/>
              </w:rPr>
            </w:pPr>
            <w:r w:rsidRPr="00C71BA7">
              <w:t>The range statement relates to the unit of competency as a whole. It allows for different work environments and situations that may affect performance. Bold italicised wording, if used in the performance criteria, is detailed below. Essential operating con</w:t>
            </w:r>
            <w:r w:rsidRPr="00C71BA7">
              <w:t>ditions that may be present with training and assessment (depending on the work situation, needs of the candidate, accessibility of the item, and local industry and regional contexts) may also be included.</w:t>
            </w:r>
          </w:p>
        </w:tc>
      </w:tr>
      <w:tr w:rsidTr="004D219F">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BodyText"/>
              <w:rPr>
                <w:lang w:val="en-NZ"/>
              </w:rPr>
            </w:pPr>
            <w:r w:rsidRPr="00C71BA7">
              <w:rPr>
                <w:rStyle w:val="SpecialBold"/>
              </w:rPr>
              <w:t>Procedures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BodyText"/>
              <w:rPr>
                <w:lang w:val="en-NZ"/>
              </w:rPr>
            </w:pPr>
            <w:r w:rsidRPr="00C71BA7">
              <w:t>All operations are performed in accor</w:t>
            </w:r>
            <w:r w:rsidRPr="00C71BA7">
              <w:t>dance with standard procedures and work instructions</w:t>
            </w:r>
          </w:p>
        </w:tc>
      </w:tr>
      <w:tr w:rsidTr="004D219F">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BodyText"/>
              <w:rPr>
                <w:lang w:val="en-NZ"/>
              </w:rPr>
            </w:pPr>
            <w:r w:rsidRPr="00C71BA7">
              <w:rPr>
                <w:rStyle w:val="SpecialBold"/>
              </w:rPr>
              <w:t>Refractory materials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BA7" w:rsidP="00C71BA7">
            <w:pPr>
              <w:pStyle w:val="BodyText"/>
            </w:pPr>
            <w:r w:rsidRPr="00C71BA7">
              <w:t>Refractory materials are those materials that have a resistance to temperature and include:</w:t>
            </w:r>
          </w:p>
          <w:p w:rsidR="00000000" w:rsidRPr="00C71BA7" w:rsidP="00C71BA7">
            <w:pPr>
              <w:pStyle w:val="ListBullet"/>
            </w:pPr>
            <w:r w:rsidRPr="00C71BA7">
              <w:t>alumina silicate materials (clay)</w:t>
            </w:r>
          </w:p>
          <w:p w:rsidR="00000000" w:rsidRPr="00C71BA7" w:rsidP="00C71BA7">
            <w:pPr>
              <w:pStyle w:val="ListBullet"/>
            </w:pPr>
            <w:r w:rsidRPr="00C71BA7">
              <w:t xml:space="preserve">silliminites </w:t>
            </w:r>
          </w:p>
          <w:p w:rsidR="00000000" w:rsidRPr="00C71BA7" w:rsidP="00C71BA7">
            <w:pPr>
              <w:pStyle w:val="ListBullet"/>
            </w:pPr>
            <w:r w:rsidRPr="00C71BA7">
              <w:t>bauxite</w:t>
            </w:r>
          </w:p>
          <w:p w:rsidR="00000000" w:rsidRPr="00C71BA7" w:rsidP="00C71BA7">
            <w:pPr>
              <w:pStyle w:val="ListBullet"/>
            </w:pPr>
            <w:r w:rsidRPr="00C71BA7">
              <w:t>synthetic aggregates</w:t>
            </w:r>
          </w:p>
          <w:p w:rsidR="00000000" w:rsidRPr="00C71BA7" w:rsidP="00C71BA7">
            <w:pPr>
              <w:pStyle w:val="ListBullet"/>
            </w:pPr>
            <w:r w:rsidRPr="00C71BA7">
              <w:t>silica</w:t>
            </w:r>
          </w:p>
          <w:p w:rsidR="00000000" w:rsidRPr="00C71BA7" w:rsidP="00C71BA7">
            <w:pPr>
              <w:pStyle w:val="ListBullet"/>
            </w:pPr>
            <w:r w:rsidRPr="00C71BA7">
              <w:t>magnesite</w:t>
            </w:r>
          </w:p>
          <w:p w:rsidR="00000000" w:rsidRPr="00C71BA7" w:rsidP="00C71BA7">
            <w:pPr>
              <w:pStyle w:val="ListBullet"/>
            </w:pPr>
            <w:r w:rsidRPr="00C71BA7">
              <w:t>dolomite</w:t>
            </w:r>
          </w:p>
          <w:p w:rsidR="00000000" w:rsidP="00C71BA7">
            <w:pPr>
              <w:pStyle w:val="ListBullet"/>
              <w:rPr>
                <w:lang w:val="en-NZ"/>
              </w:rPr>
            </w:pPr>
            <w:r w:rsidRPr="00C71BA7">
              <w:t>chrome ores</w:t>
            </w:r>
          </w:p>
        </w:tc>
      </w:tr>
      <w:tr w:rsidTr="004D219F">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BodyText"/>
              <w:rPr>
                <w:lang w:val="en-NZ"/>
              </w:rPr>
            </w:pPr>
            <w:r w:rsidRPr="00C71BA7">
              <w:rPr>
                <w:rStyle w:val="SpecialBold"/>
              </w:rPr>
              <w:t>Refractory installation techniques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BA7" w:rsidP="00C71BA7">
            <w:pPr>
              <w:pStyle w:val="BodyText"/>
            </w:pPr>
            <w:r w:rsidRPr="00C71BA7">
              <w:t>Refractory installation techniques include:</w:t>
            </w:r>
          </w:p>
          <w:p w:rsidR="00000000" w:rsidRPr="00C71BA7" w:rsidP="00C71BA7">
            <w:pPr>
              <w:pStyle w:val="ListBullet"/>
            </w:pPr>
            <w:r w:rsidRPr="00C71BA7">
              <w:t>bricks, blocks</w:t>
            </w:r>
          </w:p>
          <w:p w:rsidR="00000000" w:rsidRPr="00C71BA7" w:rsidP="00C71BA7">
            <w:pPr>
              <w:pStyle w:val="ListBullet"/>
            </w:pPr>
            <w:r w:rsidRPr="00C71BA7">
              <w:t>mouldables</w:t>
            </w:r>
          </w:p>
          <w:p w:rsidR="00000000" w:rsidRPr="00C71BA7" w:rsidP="00C71BA7">
            <w:pPr>
              <w:pStyle w:val="ListBullet"/>
            </w:pPr>
            <w:r w:rsidRPr="00C71BA7">
              <w:t>castable</w:t>
            </w:r>
          </w:p>
          <w:p w:rsidR="00000000" w:rsidP="00C71BA7">
            <w:pPr>
              <w:pStyle w:val="ListBullet"/>
              <w:rPr>
                <w:lang w:val="en-NZ"/>
              </w:rPr>
            </w:pPr>
            <w:r w:rsidRPr="00C71BA7">
              <w:t>spray/gunned application</w:t>
            </w:r>
          </w:p>
        </w:tc>
      </w:tr>
      <w:tr w:rsidTr="004D219F">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BodyText"/>
              <w:rPr>
                <w:lang w:val="en-NZ"/>
              </w:rPr>
            </w:pPr>
            <w:r w:rsidRPr="00C71BA7">
              <w:rPr>
                <w:rStyle w:val="SpecialBold"/>
              </w:rPr>
              <w:t>Occupational health and safety</w:t>
            </w:r>
            <w:r w:rsidRPr="00C71BA7">
              <w:t xml:space="preserve"> (</w:t>
            </w:r>
            <w:r w:rsidRPr="00C71BA7">
              <w:rPr>
                <w:rStyle w:val="SpecialBold"/>
              </w:rPr>
              <w:t>OHS</w:t>
            </w:r>
            <w:r w:rsidRPr="00C71BA7">
              <w:t>)</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BA7" w:rsidP="00C71BA7">
            <w:pPr>
              <w:pStyle w:val="BodyText"/>
            </w:pPr>
            <w:r w:rsidRPr="00C71BA7">
              <w:t>All operations are subject to stringent OHS requirements and these must not be compromised at any time. Where there is an apparent conflict between performance criteria and OHS requirements, the OHS requirements take precedence</w:t>
            </w:r>
          </w:p>
        </w:tc>
      </w:tr>
    </w:tbl>
    <w:p w:rsidR="004D219F" w:rsidP="00C71BA7">
      <w:pPr>
        <w:pStyle w:val="BodyText"/>
      </w:pPr>
    </w:p>
    <w:p w:rsidR="004D219F" w:rsidP="00C71BA7">
      <w:pPr>
        <w:pStyle w:val="BodyText"/>
      </w:pPr>
    </w:p>
    <w:p w:rsidR="00000000" w:rsidRPr="00C71BA7" w:rsidP="00C71BA7">
      <w:pPr>
        <w:pStyle w:val="Heading1"/>
      </w:pPr>
      <w:bookmarkStart w:id="12" w:name="O_110690"/>
      <w:bookmarkEnd w:id="12"/>
      <w:r w:rsidRPr="00C71BA7">
        <w:t>Unit Sec</w:t>
      </w:r>
      <w:r w:rsidRPr="00C71BA7">
        <w:t>tor(s)</w:t>
      </w:r>
    </w:p>
    <w:tbl>
      <w:tblPr>
        <w:tblW w:w="0" w:type="auto"/>
        <w:tblLayout w:type="fixed"/>
        <w:tblCellMar>
          <w:left w:w="62" w:type="dxa"/>
          <w:right w:w="62" w:type="dxa"/>
        </w:tblCellMar>
        <w:tblLook w:val="0000"/>
      </w:tblPr>
      <w:tblGrid>
        <w:gridCol w:w="2567"/>
        <w:gridCol w:w="5955"/>
      </w:tblGrid>
      <w:tr w:rsidTr="004D219F">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BodyText"/>
              <w:rPr>
                <w:lang w:val="en-NZ"/>
              </w:rPr>
            </w:pPr>
            <w:r w:rsidRPr="00C71BA7">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BA7" w:rsidP="00C71BA7">
            <w:pPr>
              <w:pStyle w:val="BodyText"/>
            </w:pPr>
            <w:r w:rsidRPr="00C71BA7">
              <w:t>Operational/technical</w:t>
            </w:r>
          </w:p>
        </w:tc>
      </w:tr>
    </w:tbl>
    <w:p w:rsidR="00000000" w:rsidRPr="00C71BA7" w:rsidP="00C71BA7">
      <w:pPr>
        <w:pStyle w:val="BodyText"/>
      </w:pPr>
    </w:p>
    <w:p w:rsidR="00000000" w:rsidRPr="00C71BA7" w:rsidP="00C71BA7">
      <w:pPr>
        <w:pStyle w:val="AllowPageBreak"/>
      </w:pPr>
    </w:p>
    <w:p w:rsidR="00000000" w:rsidRPr="00C71BA7" w:rsidP="00C71BA7">
      <w:pPr>
        <w:pStyle w:val="Heading1"/>
      </w:pPr>
      <w:bookmarkStart w:id="13" w:name="O_160215"/>
      <w:bookmarkEnd w:id="13"/>
      <w:r w:rsidRPr="00C71BA7">
        <w:t>Competency field</w:t>
      </w:r>
    </w:p>
    <w:tbl>
      <w:tblPr>
        <w:tblW w:w="0" w:type="auto"/>
        <w:tblLayout w:type="fixed"/>
        <w:tblCellMar>
          <w:left w:w="62" w:type="dxa"/>
          <w:right w:w="62" w:type="dxa"/>
        </w:tblCellMar>
        <w:tblLook w:val="0000"/>
      </w:tblPr>
      <w:tblGrid>
        <w:gridCol w:w="2784"/>
        <w:gridCol w:w="5738"/>
      </w:tblGrid>
      <w:tr w:rsidTr="004D219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BodyText"/>
              <w:rPr>
                <w:lang w:val="en-NZ"/>
              </w:rPr>
            </w:pPr>
            <w:r w:rsidRPr="00C71BA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BA7" w:rsidP="00C71BA7">
            <w:pPr>
              <w:pStyle w:val="BodyText"/>
            </w:pPr>
          </w:p>
        </w:tc>
      </w:tr>
    </w:tbl>
    <w:p w:rsidR="00000000" w:rsidRPr="00C71BA7" w:rsidP="00C71BA7">
      <w:pPr>
        <w:pStyle w:val="BodyText"/>
      </w:pPr>
    </w:p>
    <w:p w:rsidR="00000000" w:rsidRPr="00C71BA7" w:rsidP="00C71BA7">
      <w:pPr>
        <w:pStyle w:val="AllowPageBreak"/>
      </w:pPr>
    </w:p>
    <w:p w:rsidR="00000000" w:rsidRPr="00C71BA7" w:rsidP="00C71BA7">
      <w:pPr>
        <w:pStyle w:val="Heading1"/>
      </w:pPr>
      <w:bookmarkStart w:id="14" w:name="O_160214"/>
      <w:bookmarkEnd w:id="14"/>
      <w:r w:rsidRPr="00C71BA7">
        <w:t>Co-requisite units</w:t>
      </w:r>
    </w:p>
    <w:tbl>
      <w:tblPr>
        <w:tblW w:w="0" w:type="auto"/>
        <w:tblLayout w:type="fixed"/>
        <w:tblCellMar>
          <w:left w:w="62" w:type="dxa"/>
          <w:right w:w="62" w:type="dxa"/>
        </w:tblCellMar>
        <w:tblLook w:val="0000"/>
      </w:tblPr>
      <w:tblGrid>
        <w:gridCol w:w="2641"/>
        <w:gridCol w:w="1322"/>
        <w:gridCol w:w="4559"/>
      </w:tblGrid>
      <w:tr w:rsidTr="004D219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BodyText"/>
              <w:rPr>
                <w:lang w:val="en-NZ"/>
              </w:rPr>
            </w:pPr>
            <w:r w:rsidRPr="00C71BA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D21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BA7">
            <w:pPr>
              <w:pStyle w:val="BodyText"/>
              <w:rPr>
                <w:lang w:val="en-NZ"/>
              </w:rPr>
            </w:pPr>
          </w:p>
        </w:tc>
      </w:tr>
      <w:tr w:rsidTr="004D21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BA7" w:rsidP="00C71BA7">
            <w:pPr>
              <w:pStyle w:val="BodyText"/>
            </w:pPr>
          </w:p>
        </w:tc>
      </w:tr>
    </w:tbl>
    <w:p w:rsidR="00000000" w:rsidRPr="00C71BA7" w:rsidP="00C71BA7">
      <w:pPr>
        <w:pStyle w:val="BodyText"/>
      </w:pPr>
    </w:p>
    <w:p w:rsidR="00000000" w:rsidRPr="00C71BA7" w:rsidP="00C71BA7"/>
    <w:sectPr w:rsidSect="00C71B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B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219F" w:rsidP="004D21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B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19F" w:rsidP="00C71B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D219F" w:rsidP="00C71B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D219F" w:rsidP="00C71B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B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219F" w:rsidP="004D21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B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19F" w:rsidP="00C71BA7">
    <w:pPr>
      <w:pStyle w:val="Header"/>
      <w:framePr w:wrap="around"/>
    </w:pPr>
    <w:r>
      <w:fldChar w:fldCharType="begin"/>
    </w:r>
    <w:r>
      <w:instrText xml:space="preserve"> TITLE   \* MERGEFORMAT </w:instrText>
    </w:r>
    <w:r>
      <w:fldChar w:fldCharType="separate"/>
    </w:r>
    <w:r>
      <w:t>PMC554090B Undertake simple refractory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219F" w:rsidP="00C71B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A4CD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3044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B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1BA7"/>
    <w:pPr>
      <w:spacing w:before="360" w:after="60"/>
      <w:outlineLvl w:val="0"/>
    </w:pPr>
    <w:rPr>
      <w:sz w:val="32"/>
    </w:rPr>
  </w:style>
  <w:style w:type="paragraph" w:styleId="Heading2">
    <w:name w:val="heading 2"/>
    <w:basedOn w:val="HeadingBase"/>
    <w:next w:val="BodyText"/>
    <w:link w:val="Heading2Char"/>
    <w:qFormat/>
    <w:rsid w:val="00C71BA7"/>
    <w:pPr>
      <w:keepLines/>
      <w:spacing w:before="240" w:after="120"/>
      <w:outlineLvl w:val="1"/>
    </w:pPr>
    <w:rPr>
      <w:sz w:val="28"/>
      <w:szCs w:val="40"/>
    </w:rPr>
  </w:style>
  <w:style w:type="paragraph" w:styleId="Heading3">
    <w:name w:val="heading 3"/>
    <w:basedOn w:val="HeadingBase"/>
    <w:next w:val="BodyText"/>
    <w:link w:val="Heading3Char"/>
    <w:qFormat/>
    <w:rsid w:val="00C71BA7"/>
    <w:pPr>
      <w:spacing w:before="180" w:after="120"/>
      <w:outlineLvl w:val="2"/>
    </w:pPr>
    <w:rPr>
      <w:spacing w:val="-10"/>
      <w:kern w:val="32"/>
    </w:rPr>
  </w:style>
  <w:style w:type="paragraph" w:styleId="Heading4">
    <w:name w:val="heading 4"/>
    <w:basedOn w:val="HeadingBase"/>
    <w:next w:val="BodyText"/>
    <w:link w:val="Heading4Char"/>
    <w:qFormat/>
    <w:rsid w:val="00C71BA7"/>
    <w:pPr>
      <w:spacing w:before="160" w:after="120"/>
      <w:outlineLvl w:val="3"/>
    </w:pPr>
    <w:rPr>
      <w:sz w:val="22"/>
    </w:rPr>
  </w:style>
  <w:style w:type="paragraph" w:styleId="Heading5">
    <w:name w:val="heading 5"/>
    <w:basedOn w:val="HeadingBase"/>
    <w:next w:val="Normal"/>
    <w:link w:val="Heading5Char"/>
    <w:qFormat/>
    <w:rsid w:val="00C71BA7"/>
    <w:pPr>
      <w:spacing w:before="80"/>
      <w:outlineLvl w:val="4"/>
    </w:pPr>
    <w:rPr>
      <w:color w:val="918585"/>
      <w:sz w:val="20"/>
    </w:rPr>
  </w:style>
  <w:style w:type="paragraph" w:styleId="Heading6">
    <w:name w:val="heading 6"/>
    <w:basedOn w:val="HeadingBase"/>
    <w:next w:val="Normal"/>
    <w:link w:val="Heading6Char"/>
    <w:qFormat/>
    <w:rsid w:val="00C71BA7"/>
    <w:pPr>
      <w:spacing w:before="60"/>
      <w:outlineLvl w:val="5"/>
    </w:pPr>
    <w:rPr>
      <w:color w:val="918585"/>
      <w:sz w:val="20"/>
    </w:rPr>
  </w:style>
  <w:style w:type="paragraph" w:styleId="Heading7">
    <w:name w:val="heading 7"/>
    <w:basedOn w:val="Normal"/>
    <w:next w:val="Normal"/>
    <w:link w:val="Heading7Char"/>
    <w:qFormat/>
    <w:rsid w:val="00C71BA7"/>
    <w:pPr>
      <w:ind w:left="720"/>
      <w:outlineLvl w:val="6"/>
    </w:pPr>
    <w:rPr>
      <w:i/>
    </w:rPr>
  </w:style>
  <w:style w:type="paragraph" w:styleId="Heading8">
    <w:name w:val="heading 8"/>
    <w:basedOn w:val="Normal"/>
    <w:next w:val="Normal"/>
    <w:link w:val="Heading8Char"/>
    <w:qFormat/>
    <w:rsid w:val="00C71BA7"/>
    <w:pPr>
      <w:ind w:left="720"/>
      <w:outlineLvl w:val="7"/>
    </w:pPr>
    <w:rPr>
      <w:i/>
    </w:rPr>
  </w:style>
  <w:style w:type="paragraph" w:styleId="Heading9">
    <w:name w:val="heading 9"/>
    <w:basedOn w:val="Normal"/>
    <w:next w:val="Normal"/>
    <w:link w:val="Heading9Char"/>
    <w:qFormat/>
    <w:rsid w:val="00C71BA7"/>
    <w:pPr>
      <w:ind w:left="720"/>
      <w:outlineLvl w:val="8"/>
    </w:pPr>
    <w:rPr>
      <w:i/>
    </w:rPr>
  </w:style>
  <w:style w:type="character" w:default="1" w:styleId="DefaultParagraphFont">
    <w:name w:val="Default Paragraph Font"/>
    <w:uiPriority w:val="1"/>
    <w:unhideWhenUsed/>
    <w:rsid w:val="00C71B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1BA7"/>
  </w:style>
  <w:style w:type="character" w:customStyle="1" w:styleId="Heading1Char">
    <w:name w:val="Heading 1 Char"/>
    <w:basedOn w:val="DefaultParagraphFont"/>
    <w:link w:val="Heading1"/>
    <w:rsid w:val="00C71BA7"/>
    <w:rPr>
      <w:rFonts w:ascii="Times New Roman" w:eastAsia="Times New Roman" w:hAnsi="Times New Roman" w:cs="Times New Roman"/>
      <w:b/>
      <w:sz w:val="32"/>
      <w:szCs w:val="20"/>
      <w:lang w:eastAsia="en-US"/>
    </w:rPr>
  </w:style>
  <w:style w:type="paragraph" w:styleId="BodyText">
    <w:name w:val="Body Text"/>
    <w:basedOn w:val="Normal"/>
    <w:link w:val="BodyTextChar"/>
    <w:rsid w:val="00C71B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1BA7"/>
    <w:rPr>
      <w:rFonts w:ascii="Times New Roman" w:eastAsia="Times New Roman" w:hAnsi="Times New Roman" w:cs="Times New Roman"/>
      <w:sz w:val="24"/>
      <w:lang w:val="en-US" w:eastAsia="en-US"/>
    </w:rPr>
  </w:style>
  <w:style w:type="paragraph" w:styleId="Footer">
    <w:name w:val="footer"/>
    <w:basedOn w:val="Normal"/>
    <w:link w:val="FooterChar"/>
    <w:rsid w:val="00C71B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1BA7"/>
    <w:rPr>
      <w:rFonts w:ascii="Times New Roman" w:eastAsia="Times New Roman" w:hAnsi="Times New Roman" w:cs="Times New Roman"/>
      <w:sz w:val="16"/>
      <w:lang w:val="en-US" w:eastAsia="en-US"/>
    </w:rPr>
  </w:style>
  <w:style w:type="paragraph" w:styleId="List">
    <w:name w:val="List"/>
    <w:basedOn w:val="BodyText"/>
    <w:next w:val="BodyText"/>
    <w:rsid w:val="00C71BA7"/>
    <w:pPr>
      <w:tabs>
        <w:tab w:val="left" w:pos="340"/>
      </w:tabs>
      <w:spacing w:before="60" w:after="60"/>
      <w:ind w:left="340" w:hanging="340"/>
    </w:pPr>
  </w:style>
  <w:style w:type="paragraph" w:styleId="ListBullet">
    <w:name w:val="List Bullet"/>
    <w:basedOn w:val="List"/>
    <w:rsid w:val="00C71BA7"/>
    <w:pPr>
      <w:numPr>
        <w:numId w:val="12"/>
      </w:numPr>
      <w:tabs>
        <w:tab w:val="clear" w:pos="340"/>
      </w:tabs>
      <w:spacing w:before="40" w:after="40"/>
    </w:pPr>
  </w:style>
  <w:style w:type="character" w:customStyle="1" w:styleId="SpecialBold">
    <w:name w:val="Special Bold"/>
    <w:basedOn w:val="DefaultParagraphFont"/>
    <w:rsid w:val="00C71BA7"/>
    <w:rPr>
      <w:b/>
      <w:spacing w:val="0"/>
    </w:rPr>
  </w:style>
  <w:style w:type="paragraph" w:styleId="Header">
    <w:name w:val="header"/>
    <w:basedOn w:val="Normal"/>
    <w:link w:val="HeaderChar"/>
    <w:rsid w:val="00C71B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1B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1BA7"/>
    <w:pPr>
      <w:spacing w:before="240" w:after="120"/>
      <w:outlineLvl w:val="0"/>
    </w:pPr>
    <w:rPr>
      <w:rFonts w:ascii="Times New Roman" w:hAnsi="Times New Roman"/>
      <w:b/>
      <w:sz w:val="28"/>
    </w:rPr>
  </w:style>
  <w:style w:type="paragraph" w:customStyle="1" w:styleId="AllowPageBreak">
    <w:name w:val="AllowPageBreak"/>
    <w:rsid w:val="00C71B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1BA7"/>
    <w:pPr>
      <w:tabs>
        <w:tab w:val="left" w:pos="680"/>
      </w:tabs>
      <w:spacing w:before="60" w:after="60"/>
      <w:ind w:left="680" w:hanging="340"/>
    </w:pPr>
  </w:style>
  <w:style w:type="character" w:customStyle="1" w:styleId="Heading2Char">
    <w:name w:val="Heading 2 Char"/>
    <w:basedOn w:val="DefaultParagraphFont"/>
    <w:link w:val="Heading2"/>
    <w:rsid w:val="00C71B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1B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1B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1B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1B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1B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1B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1BA7"/>
    <w:rPr>
      <w:rFonts w:ascii="Courier New" w:eastAsia="Times New Roman" w:hAnsi="Courier New" w:cs="Times New Roman"/>
      <w:i/>
      <w:szCs w:val="20"/>
      <w:lang w:val="en-US" w:eastAsia="en-US"/>
    </w:rPr>
  </w:style>
  <w:style w:type="paragraph" w:customStyle="1" w:styleId="HeadingBase">
    <w:name w:val="Heading Base"/>
    <w:rsid w:val="00C71B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1BA7"/>
    <w:pPr>
      <w:tabs>
        <w:tab w:val="right" w:leader="dot" w:pos="9072"/>
      </w:tabs>
      <w:ind w:left="567"/>
    </w:pPr>
    <w:rPr>
      <w:szCs w:val="22"/>
    </w:rPr>
  </w:style>
  <w:style w:type="paragraph" w:customStyle="1" w:styleId="TOCBase">
    <w:name w:val="TOC Base"/>
    <w:rsid w:val="00C71B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1BA7"/>
    <w:pPr>
      <w:tabs>
        <w:tab w:val="right" w:leader="dot" w:pos="9072"/>
      </w:tabs>
      <w:spacing w:before="40" w:after="40"/>
      <w:ind w:left="284"/>
    </w:pPr>
    <w:rPr>
      <w:rFonts w:ascii="Times New Roman" w:hAnsi="Times New Roman"/>
    </w:rPr>
  </w:style>
  <w:style w:type="paragraph" w:styleId="TOC1">
    <w:name w:val="toc 1"/>
    <w:basedOn w:val="TOCBase"/>
    <w:next w:val="Normal"/>
    <w:rsid w:val="00C71B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1BA7"/>
    <w:pPr>
      <w:spacing w:before="5040"/>
      <w:jc w:val="center"/>
    </w:pPr>
    <w:rPr>
      <w:sz w:val="48"/>
      <w:szCs w:val="72"/>
      <w:lang w:val="en-US"/>
    </w:rPr>
  </w:style>
  <w:style w:type="character" w:customStyle="1" w:styleId="TitleChar">
    <w:name w:val="Title Char"/>
    <w:basedOn w:val="DefaultParagraphFont"/>
    <w:link w:val="Title"/>
    <w:rsid w:val="00C71B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1BA7"/>
    <w:pPr>
      <w:tabs>
        <w:tab w:val="left" w:pos="3600"/>
        <w:tab w:val="left" w:pos="3958"/>
      </w:tabs>
    </w:pPr>
  </w:style>
  <w:style w:type="paragraph" w:customStyle="1" w:styleId="Note">
    <w:name w:val="Note"/>
    <w:basedOn w:val="BodyText"/>
    <w:rsid w:val="00C71B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1BA7"/>
    <w:pPr>
      <w:framePr w:wrap="auto" w:hAnchor="text" w:y="6049"/>
    </w:pPr>
    <w:rPr>
      <w:color w:val="000000"/>
      <w:sz w:val="40"/>
    </w:rPr>
  </w:style>
  <w:style w:type="paragraph" w:customStyle="1" w:styleId="TOCTitle">
    <w:name w:val="TOCTitle"/>
    <w:basedOn w:val="Heading1"/>
    <w:rsid w:val="00C71BA7"/>
    <w:pPr>
      <w:spacing w:after="240"/>
      <w:jc w:val="center"/>
      <w:outlineLvl w:val="9"/>
    </w:pPr>
    <w:rPr>
      <w:caps/>
    </w:rPr>
  </w:style>
  <w:style w:type="paragraph" w:customStyle="1" w:styleId="Version">
    <w:name w:val="Version"/>
    <w:rsid w:val="00C71B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1BA7"/>
    <w:pPr>
      <w:numPr>
        <w:numId w:val="13"/>
      </w:numPr>
      <w:tabs>
        <w:tab w:val="clear" w:pos="680"/>
      </w:tabs>
    </w:pPr>
  </w:style>
  <w:style w:type="paragraph" w:styleId="Index1">
    <w:name w:val="index 1"/>
    <w:basedOn w:val="Normal"/>
    <w:next w:val="Normal"/>
    <w:semiHidden/>
    <w:rsid w:val="00C71BA7"/>
    <w:pPr>
      <w:keepNext w:val="0"/>
      <w:tabs>
        <w:tab w:val="right" w:pos="4176"/>
      </w:tabs>
      <w:ind w:left="198" w:hanging="198"/>
    </w:pPr>
    <w:rPr>
      <w:rFonts w:ascii="Garamond" w:hAnsi="Garamond"/>
    </w:rPr>
  </w:style>
  <w:style w:type="paragraph" w:styleId="IndexHeading">
    <w:name w:val="index heading"/>
    <w:basedOn w:val="Normal"/>
    <w:next w:val="Index1"/>
    <w:semiHidden/>
    <w:rsid w:val="00C71BA7"/>
    <w:pPr>
      <w:spacing w:before="120" w:after="120"/>
    </w:pPr>
    <w:rPr>
      <w:rFonts w:ascii="Arial" w:hAnsi="Arial"/>
      <w:b/>
      <w:color w:val="918585"/>
      <w:sz w:val="24"/>
    </w:rPr>
  </w:style>
  <w:style w:type="paragraph" w:customStyle="1" w:styleId="Chapter">
    <w:name w:val="Chapter"/>
    <w:basedOn w:val="Normal"/>
    <w:rsid w:val="00C71BA7"/>
    <w:pPr>
      <w:spacing w:before="240"/>
    </w:pPr>
    <w:rPr>
      <w:rFonts w:ascii="Times New Roman" w:hAnsi="Times New Roman"/>
      <w:smallCaps/>
      <w:spacing w:val="80"/>
      <w:sz w:val="28"/>
    </w:rPr>
  </w:style>
  <w:style w:type="paragraph" w:customStyle="1" w:styleId="InChapter">
    <w:name w:val="InChapter"/>
    <w:basedOn w:val="Heading3"/>
    <w:rsid w:val="00C71BA7"/>
    <w:pPr>
      <w:spacing w:after="240"/>
      <w:outlineLvl w:val="9"/>
    </w:pPr>
    <w:rPr>
      <w:noProof/>
    </w:rPr>
  </w:style>
  <w:style w:type="paragraph" w:styleId="Index2">
    <w:name w:val="index 2"/>
    <w:basedOn w:val="Normal"/>
    <w:next w:val="Normal"/>
    <w:semiHidden/>
    <w:rsid w:val="00C71BA7"/>
    <w:pPr>
      <w:tabs>
        <w:tab w:val="right" w:pos="4176"/>
      </w:tabs>
      <w:ind w:left="568" w:hanging="284"/>
    </w:pPr>
    <w:rPr>
      <w:rFonts w:ascii="Garamond" w:hAnsi="Garamond"/>
    </w:rPr>
  </w:style>
  <w:style w:type="paragraph" w:customStyle="1" w:styleId="Byline">
    <w:name w:val="Byline"/>
    <w:rsid w:val="00C71B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1BA7"/>
    <w:pPr>
      <w:tabs>
        <w:tab w:val="clear" w:pos="3600"/>
        <w:tab w:val="clear" w:pos="3958"/>
      </w:tabs>
      <w:jc w:val="right"/>
    </w:pPr>
  </w:style>
  <w:style w:type="character" w:styleId="Emphasis">
    <w:name w:val="Emphasis"/>
    <w:basedOn w:val="DefaultParagraphFont"/>
    <w:qFormat/>
    <w:rsid w:val="00C71BA7"/>
    <w:rPr>
      <w:i/>
    </w:rPr>
  </w:style>
  <w:style w:type="paragraph" w:styleId="Caption">
    <w:name w:val="caption"/>
    <w:basedOn w:val="BodyText"/>
    <w:next w:val="Normal"/>
    <w:qFormat/>
    <w:rsid w:val="00C71BA7"/>
    <w:pPr>
      <w:framePr w:w="2268" w:hSpace="181" w:vSpace="181" w:wrap="around" w:vAnchor="text" w:hAnchor="page" w:x="1135" w:y="285" w:anchorLock="1"/>
    </w:pPr>
    <w:rPr>
      <w:i/>
    </w:rPr>
  </w:style>
  <w:style w:type="paragraph" w:customStyle="1" w:styleId="MiniTOCTitle">
    <w:name w:val="MiniTOCTitle"/>
    <w:basedOn w:val="Heading4"/>
    <w:rsid w:val="00C71BA7"/>
    <w:pPr>
      <w:spacing w:before="240"/>
      <w:outlineLvl w:val="9"/>
    </w:pPr>
    <w:rPr>
      <w:noProof/>
      <w:sz w:val="24"/>
    </w:rPr>
  </w:style>
  <w:style w:type="paragraph" w:customStyle="1" w:styleId="MiniTOCItem">
    <w:name w:val="MiniTOCItem"/>
    <w:basedOn w:val="ListBullet"/>
    <w:rsid w:val="00C71BA7"/>
    <w:pPr>
      <w:numPr>
        <w:numId w:val="0"/>
      </w:numPr>
      <w:tabs>
        <w:tab w:val="right" w:leader="dot" w:pos="6521"/>
      </w:tabs>
      <w:spacing w:before="0" w:after="0"/>
    </w:pPr>
  </w:style>
  <w:style w:type="paragraph" w:customStyle="1" w:styleId="TOFTitle">
    <w:name w:val="TOFTitle"/>
    <w:basedOn w:val="TOCTitle"/>
    <w:rsid w:val="00C71BA7"/>
  </w:style>
  <w:style w:type="paragraph" w:styleId="TableofFigures">
    <w:name w:val="table of figures"/>
    <w:basedOn w:val="Normal"/>
    <w:next w:val="Normal"/>
    <w:semiHidden/>
    <w:rsid w:val="00C71BA7"/>
    <w:pPr>
      <w:tabs>
        <w:tab w:val="right" w:leader="dot" w:pos="9072"/>
      </w:tabs>
      <w:ind w:left="970" w:hanging="403"/>
    </w:pPr>
    <w:rPr>
      <w:rFonts w:ascii="Times New Roman" w:hAnsi="Times New Roman"/>
      <w:b/>
    </w:rPr>
  </w:style>
  <w:style w:type="paragraph" w:styleId="ListNumber">
    <w:name w:val="List Number"/>
    <w:basedOn w:val="List"/>
    <w:rsid w:val="00C71BA7"/>
    <w:pPr>
      <w:numPr>
        <w:numId w:val="10"/>
      </w:numPr>
    </w:pPr>
  </w:style>
  <w:style w:type="character" w:customStyle="1" w:styleId="WingdingSymbols">
    <w:name w:val="Wingding Symbols"/>
    <w:rsid w:val="00C71BA7"/>
    <w:rPr>
      <w:rFonts w:ascii="Wingdings" w:hAnsi="Wingdings"/>
    </w:rPr>
  </w:style>
  <w:style w:type="paragraph" w:customStyle="1" w:styleId="TableHeading">
    <w:name w:val="Table Heading"/>
    <w:basedOn w:val="HeadingBase"/>
    <w:rsid w:val="00C71BA7"/>
    <w:pPr>
      <w:keepLines/>
      <w:pBdr>
        <w:bottom w:val="single" w:sz="6" w:space="1" w:color="918585"/>
      </w:pBdr>
      <w:spacing w:before="240"/>
    </w:pPr>
  </w:style>
  <w:style w:type="character" w:customStyle="1" w:styleId="HotSpot">
    <w:name w:val="HotSpot"/>
    <w:rsid w:val="00C71BA7"/>
    <w:rPr>
      <w:color w:val="0033CC"/>
      <w:u w:val="none"/>
    </w:rPr>
  </w:style>
  <w:style w:type="paragraph" w:customStyle="1" w:styleId="BodyTextRight">
    <w:name w:val="Body Text Right"/>
    <w:basedOn w:val="BodyText"/>
    <w:rsid w:val="00C71BA7"/>
    <w:pPr>
      <w:spacing w:before="0" w:after="0"/>
      <w:jc w:val="right"/>
    </w:pPr>
  </w:style>
  <w:style w:type="paragraph" w:styleId="Index3">
    <w:name w:val="index 3"/>
    <w:basedOn w:val="ListNumber2"/>
    <w:next w:val="Normal"/>
    <w:semiHidden/>
    <w:rsid w:val="00C71BA7"/>
    <w:pPr>
      <w:numPr>
        <w:numId w:val="0"/>
      </w:numPr>
      <w:tabs>
        <w:tab w:val="right" w:leader="dot" w:pos="4176"/>
      </w:tabs>
    </w:pPr>
  </w:style>
  <w:style w:type="paragraph" w:styleId="ListNumber2">
    <w:name w:val="List Number 2"/>
    <w:basedOn w:val="List2"/>
    <w:rsid w:val="00C71BA7"/>
    <w:pPr>
      <w:numPr>
        <w:numId w:val="9"/>
      </w:numPr>
      <w:tabs>
        <w:tab w:val="clear" w:pos="1060"/>
      </w:tabs>
    </w:pPr>
  </w:style>
  <w:style w:type="paragraph" w:customStyle="1" w:styleId="MarginNote">
    <w:name w:val="Margin Note"/>
    <w:basedOn w:val="BodyText"/>
    <w:rsid w:val="00C71B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1B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1B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1BA7"/>
    <w:rPr>
      <w:sz w:val="32"/>
    </w:rPr>
  </w:style>
  <w:style w:type="paragraph" w:customStyle="1" w:styleId="HeadingProcedure">
    <w:name w:val="Heading Procedure"/>
    <w:basedOn w:val="HeadingBase"/>
    <w:next w:val="Normal"/>
    <w:rsid w:val="00C71BA7"/>
    <w:pPr>
      <w:tabs>
        <w:tab w:val="left" w:pos="0"/>
      </w:tabs>
      <w:spacing w:before="120" w:after="60"/>
    </w:pPr>
    <w:rPr>
      <w:i/>
      <w:color w:val="918585"/>
      <w:sz w:val="22"/>
    </w:rPr>
  </w:style>
  <w:style w:type="paragraph" w:customStyle="1" w:styleId="TableBodyText">
    <w:name w:val="Table Body Text"/>
    <w:basedOn w:val="BodyText"/>
    <w:rsid w:val="00C71BA7"/>
    <w:pPr>
      <w:spacing w:before="60" w:after="60"/>
    </w:pPr>
  </w:style>
  <w:style w:type="paragraph" w:styleId="ListContinue">
    <w:name w:val="List Continue"/>
    <w:basedOn w:val="List"/>
    <w:rsid w:val="00C71BA7"/>
    <w:pPr>
      <w:ind w:firstLine="0"/>
    </w:pPr>
  </w:style>
  <w:style w:type="paragraph" w:customStyle="1" w:styleId="ListNote">
    <w:name w:val="List Note"/>
    <w:basedOn w:val="List"/>
    <w:rsid w:val="00C71BA7"/>
    <w:pPr>
      <w:pBdr>
        <w:top w:val="single" w:sz="6" w:space="2" w:color="918585"/>
        <w:bottom w:val="single" w:sz="6" w:space="2" w:color="918585"/>
      </w:pBdr>
      <w:tabs>
        <w:tab w:val="left" w:pos="1021"/>
      </w:tabs>
      <w:ind w:firstLine="0"/>
    </w:pPr>
  </w:style>
  <w:style w:type="paragraph" w:customStyle="1" w:styleId="Warning">
    <w:name w:val="Warning"/>
    <w:basedOn w:val="BodyText"/>
    <w:rsid w:val="00C71BA7"/>
    <w:pPr>
      <w:shd w:val="clear" w:color="auto" w:fill="D9D9D9"/>
      <w:tabs>
        <w:tab w:val="left" w:pos="992"/>
      </w:tabs>
      <w:ind w:left="119" w:right="119"/>
    </w:pPr>
    <w:rPr>
      <w:sz w:val="20"/>
    </w:rPr>
  </w:style>
  <w:style w:type="paragraph" w:customStyle="1" w:styleId="MarginIcons">
    <w:name w:val="Margin Icons"/>
    <w:basedOn w:val="BodyText"/>
    <w:rsid w:val="00C71B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1BA7"/>
    <w:rPr>
      <w:rFonts w:ascii="Courier New" w:hAnsi="Courier New"/>
    </w:rPr>
  </w:style>
  <w:style w:type="paragraph" w:customStyle="1" w:styleId="NoteBullet">
    <w:name w:val="Note Bullet"/>
    <w:basedOn w:val="Note"/>
    <w:rsid w:val="00C71BA7"/>
    <w:pPr>
      <w:tabs>
        <w:tab w:val="clear" w:pos="680"/>
      </w:tabs>
      <w:spacing w:before="60" w:after="60"/>
    </w:pPr>
  </w:style>
  <w:style w:type="paragraph" w:customStyle="1" w:styleId="SubHeading2">
    <w:name w:val="SubHeading2"/>
    <w:basedOn w:val="HeadingBase"/>
    <w:rsid w:val="00C71BA7"/>
    <w:pPr>
      <w:spacing w:before="240" w:after="60"/>
    </w:pPr>
    <w:rPr>
      <w:sz w:val="20"/>
    </w:rPr>
  </w:style>
  <w:style w:type="paragraph" w:customStyle="1" w:styleId="SubHeading1">
    <w:name w:val="SubHeading1"/>
    <w:basedOn w:val="HeadingBase"/>
    <w:rsid w:val="00C71BA7"/>
    <w:pPr>
      <w:spacing w:before="240" w:after="60"/>
    </w:pPr>
    <w:rPr>
      <w:color w:val="918585"/>
      <w:sz w:val="22"/>
    </w:rPr>
  </w:style>
  <w:style w:type="paragraph" w:customStyle="1" w:styleId="SideHeading">
    <w:name w:val="Side Heading"/>
    <w:basedOn w:val="HeadingBase"/>
    <w:rsid w:val="00C71B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1BA7"/>
    <w:pPr>
      <w:tabs>
        <w:tab w:val="num" w:pos="360"/>
      </w:tabs>
    </w:pPr>
  </w:style>
  <w:style w:type="paragraph" w:styleId="PlainText">
    <w:name w:val="Plain Text"/>
    <w:basedOn w:val="Normal"/>
    <w:link w:val="PlainTextChar"/>
    <w:rsid w:val="00C71BA7"/>
    <w:rPr>
      <w:sz w:val="20"/>
    </w:rPr>
  </w:style>
  <w:style w:type="character" w:customStyle="1" w:styleId="PlainTextChar">
    <w:name w:val="Plain Text Char"/>
    <w:basedOn w:val="DefaultParagraphFont"/>
    <w:link w:val="PlainText"/>
    <w:rsid w:val="00C71B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1BA7"/>
    <w:rPr>
      <w:b/>
      <w:smallCaps/>
    </w:rPr>
  </w:style>
  <w:style w:type="paragraph" w:customStyle="1" w:styleId="TableListNumber">
    <w:name w:val="Table List Number"/>
    <w:basedOn w:val="ListNumber"/>
    <w:rsid w:val="00C71BA7"/>
    <w:pPr>
      <w:numPr>
        <w:numId w:val="0"/>
      </w:numPr>
    </w:pPr>
  </w:style>
  <w:style w:type="paragraph" w:styleId="TOC4">
    <w:name w:val="toc 4"/>
    <w:basedOn w:val="TOCBase"/>
    <w:next w:val="Normal"/>
    <w:semiHidden/>
    <w:rsid w:val="00C71BA7"/>
    <w:pPr>
      <w:tabs>
        <w:tab w:val="right" w:leader="dot" w:pos="9071"/>
      </w:tabs>
      <w:ind w:left="1701"/>
    </w:pPr>
  </w:style>
  <w:style w:type="paragraph" w:customStyle="1" w:styleId="ListAlpha">
    <w:name w:val="List Alpha"/>
    <w:basedOn w:val="List"/>
    <w:rsid w:val="00C71BA7"/>
    <w:pPr>
      <w:numPr>
        <w:numId w:val="8"/>
      </w:numPr>
    </w:pPr>
  </w:style>
  <w:style w:type="paragraph" w:customStyle="1" w:styleId="ListAlpha2">
    <w:name w:val="List Alpha 2"/>
    <w:basedOn w:val="List2"/>
    <w:rsid w:val="00C71BA7"/>
    <w:pPr>
      <w:numPr>
        <w:numId w:val="7"/>
      </w:numPr>
    </w:pPr>
  </w:style>
  <w:style w:type="paragraph" w:styleId="List3">
    <w:name w:val="List 3"/>
    <w:basedOn w:val="BodyText"/>
    <w:rsid w:val="00C71BA7"/>
    <w:pPr>
      <w:tabs>
        <w:tab w:val="left" w:pos="1021"/>
      </w:tabs>
      <w:spacing w:before="60" w:after="60"/>
      <w:ind w:left="1020" w:hanging="340"/>
    </w:pPr>
  </w:style>
  <w:style w:type="paragraph" w:styleId="List4">
    <w:name w:val="List 4"/>
    <w:basedOn w:val="BodyText"/>
    <w:rsid w:val="00C71BA7"/>
    <w:pPr>
      <w:tabs>
        <w:tab w:val="left" w:pos="1361"/>
      </w:tabs>
      <w:spacing w:before="60" w:after="60"/>
      <w:ind w:left="1361" w:hanging="340"/>
    </w:pPr>
  </w:style>
  <w:style w:type="paragraph" w:styleId="List5">
    <w:name w:val="List 5"/>
    <w:basedOn w:val="BodyText"/>
    <w:rsid w:val="00C71BA7"/>
    <w:pPr>
      <w:tabs>
        <w:tab w:val="left" w:pos="1701"/>
      </w:tabs>
      <w:spacing w:before="60" w:after="60"/>
      <w:ind w:left="1701" w:hanging="340"/>
    </w:pPr>
  </w:style>
  <w:style w:type="paragraph" w:styleId="ListBullet3">
    <w:name w:val="List Bullet 3"/>
    <w:basedOn w:val="List3"/>
    <w:rsid w:val="00C71BA7"/>
    <w:pPr>
      <w:numPr>
        <w:numId w:val="14"/>
      </w:numPr>
      <w:tabs>
        <w:tab w:val="clear" w:pos="1021"/>
      </w:tabs>
      <w:ind w:left="1037" w:hanging="357"/>
    </w:pPr>
  </w:style>
  <w:style w:type="paragraph" w:styleId="ListBullet4">
    <w:name w:val="List Bullet 4"/>
    <w:basedOn w:val="List4"/>
    <w:rsid w:val="00C71BA7"/>
    <w:pPr>
      <w:numPr>
        <w:numId w:val="2"/>
      </w:numPr>
    </w:pPr>
  </w:style>
  <w:style w:type="paragraph" w:styleId="ListBullet5">
    <w:name w:val="List Bullet 5"/>
    <w:basedOn w:val="List5"/>
    <w:rsid w:val="00C71BA7"/>
    <w:pPr>
      <w:numPr>
        <w:numId w:val="3"/>
      </w:numPr>
    </w:pPr>
  </w:style>
  <w:style w:type="paragraph" w:styleId="ListContinue2">
    <w:name w:val="List Continue 2"/>
    <w:basedOn w:val="List2"/>
    <w:rsid w:val="00C71BA7"/>
    <w:pPr>
      <w:ind w:firstLine="0"/>
    </w:pPr>
  </w:style>
  <w:style w:type="paragraph" w:styleId="ListContinue3">
    <w:name w:val="List Continue 3"/>
    <w:basedOn w:val="List3"/>
    <w:rsid w:val="00C71BA7"/>
    <w:pPr>
      <w:ind w:left="1021" w:firstLine="0"/>
    </w:pPr>
  </w:style>
  <w:style w:type="paragraph" w:styleId="ListContinue4">
    <w:name w:val="List Continue 4"/>
    <w:basedOn w:val="List4"/>
    <w:rsid w:val="00C71BA7"/>
    <w:pPr>
      <w:ind w:firstLine="0"/>
    </w:pPr>
  </w:style>
  <w:style w:type="paragraph" w:styleId="ListContinue5">
    <w:name w:val="List Continue 5"/>
    <w:basedOn w:val="List5"/>
    <w:rsid w:val="00C71BA7"/>
    <w:pPr>
      <w:ind w:firstLine="0"/>
    </w:pPr>
  </w:style>
  <w:style w:type="paragraph" w:styleId="ListNumber3">
    <w:name w:val="List Number 3"/>
    <w:basedOn w:val="List3"/>
    <w:rsid w:val="00C71BA7"/>
    <w:pPr>
      <w:numPr>
        <w:numId w:val="4"/>
      </w:numPr>
    </w:pPr>
  </w:style>
  <w:style w:type="paragraph" w:styleId="ListNumber4">
    <w:name w:val="List Number 4"/>
    <w:basedOn w:val="List4"/>
    <w:rsid w:val="00C71BA7"/>
    <w:pPr>
      <w:numPr>
        <w:numId w:val="5"/>
      </w:numPr>
    </w:pPr>
  </w:style>
  <w:style w:type="paragraph" w:styleId="ListNumber5">
    <w:name w:val="List Number 5"/>
    <w:basedOn w:val="List5"/>
    <w:rsid w:val="00C71BA7"/>
    <w:pPr>
      <w:numPr>
        <w:numId w:val="6"/>
      </w:numPr>
    </w:pPr>
  </w:style>
  <w:style w:type="paragraph" w:styleId="BlockText">
    <w:name w:val="Block Text"/>
    <w:basedOn w:val="Normal"/>
    <w:rsid w:val="00C71BA7"/>
    <w:pPr>
      <w:spacing w:after="120"/>
      <w:ind w:left="1440" w:right="1440"/>
    </w:pPr>
  </w:style>
  <w:style w:type="character" w:customStyle="1" w:styleId="Subscript">
    <w:name w:val="Subscript"/>
    <w:basedOn w:val="DefaultParagraphFont"/>
    <w:rsid w:val="00C71BA7"/>
    <w:rPr>
      <w:sz w:val="16"/>
      <w:vertAlign w:val="subscript"/>
    </w:rPr>
  </w:style>
  <w:style w:type="character" w:customStyle="1" w:styleId="Superscript">
    <w:name w:val="Superscript"/>
    <w:basedOn w:val="DefaultParagraphFont"/>
    <w:rsid w:val="00C71BA7"/>
    <w:rPr>
      <w:sz w:val="16"/>
      <w:vertAlign w:val="superscript"/>
    </w:rPr>
  </w:style>
  <w:style w:type="character" w:customStyle="1" w:styleId="Symbols">
    <w:name w:val="Symbols"/>
    <w:basedOn w:val="DefaultParagraphFont"/>
    <w:rsid w:val="00C71BA7"/>
    <w:rPr>
      <w:rFonts w:ascii="Symbol" w:hAnsi="Symbol"/>
    </w:rPr>
  </w:style>
  <w:style w:type="character" w:customStyle="1" w:styleId="MenuOptions">
    <w:name w:val="Menu Options"/>
    <w:basedOn w:val="DefaultParagraphFont"/>
    <w:rsid w:val="00C71BA7"/>
    <w:rPr>
      <w:rFonts w:ascii="Arial Narrow" w:hAnsi="Arial Narrow"/>
      <w:smallCaps/>
    </w:rPr>
  </w:style>
  <w:style w:type="character" w:customStyle="1" w:styleId="Buttons">
    <w:name w:val="Buttons"/>
    <w:basedOn w:val="DefaultParagraphFont"/>
    <w:rsid w:val="00C71BA7"/>
    <w:rPr>
      <w:b/>
    </w:rPr>
  </w:style>
  <w:style w:type="character" w:customStyle="1" w:styleId="Underlined">
    <w:name w:val="Underlined"/>
    <w:basedOn w:val="DefaultParagraphFont"/>
    <w:rsid w:val="00C71BA7"/>
    <w:rPr>
      <w:u w:val="single"/>
    </w:rPr>
  </w:style>
  <w:style w:type="paragraph" w:customStyle="1" w:styleId="TableBodyTextRight">
    <w:name w:val="Table Body Text Right"/>
    <w:basedOn w:val="TableBodyText"/>
    <w:rsid w:val="00C71BA7"/>
    <w:pPr>
      <w:widowControl w:val="0"/>
      <w:autoSpaceDE w:val="0"/>
      <w:autoSpaceDN w:val="0"/>
      <w:adjustRightInd w:val="0"/>
      <w:jc w:val="right"/>
    </w:pPr>
    <w:rPr>
      <w:rFonts w:cs="Arial"/>
      <w:szCs w:val="18"/>
    </w:rPr>
  </w:style>
  <w:style w:type="paragraph" w:customStyle="1" w:styleId="CopyrightText">
    <w:name w:val="Copyright Text"/>
    <w:basedOn w:val="BodyText"/>
    <w:rsid w:val="00C71BA7"/>
    <w:rPr>
      <w:sz w:val="18"/>
    </w:rPr>
  </w:style>
  <w:style w:type="paragraph" w:customStyle="1" w:styleId="BodySmallRight">
    <w:name w:val="Body Small Right"/>
    <w:basedOn w:val="BodyTextRight"/>
    <w:rsid w:val="00C71BA7"/>
    <w:rPr>
      <w:sz w:val="18"/>
      <w:szCs w:val="18"/>
    </w:rPr>
  </w:style>
  <w:style w:type="paragraph" w:customStyle="1" w:styleId="MarginEdition">
    <w:name w:val="Margin Edition"/>
    <w:basedOn w:val="MarginNote"/>
    <w:rsid w:val="00C71BA7"/>
    <w:pPr>
      <w:spacing w:before="0" w:after="0"/>
    </w:pPr>
    <w:rPr>
      <w:rFonts w:ascii="Times New Roman" w:hAnsi="Times New Roman"/>
      <w:color w:val="999999"/>
    </w:rPr>
  </w:style>
  <w:style w:type="paragraph" w:customStyle="1" w:styleId="Spacer">
    <w:name w:val="Spacer"/>
    <w:basedOn w:val="Normal"/>
    <w:rsid w:val="00C71BA7"/>
    <w:rPr>
      <w:sz w:val="2"/>
      <w:szCs w:val="2"/>
    </w:rPr>
  </w:style>
  <w:style w:type="character" w:customStyle="1" w:styleId="Small">
    <w:name w:val="Small"/>
    <w:basedOn w:val="DefaultParagraphFont"/>
    <w:rsid w:val="00C71BA7"/>
    <w:rPr>
      <w:sz w:val="16"/>
    </w:rPr>
  </w:style>
  <w:style w:type="paragraph" w:customStyle="1" w:styleId="WideTable">
    <w:name w:val="Wide Table"/>
    <w:basedOn w:val="Normal"/>
    <w:rsid w:val="00C71BA7"/>
    <w:pPr>
      <w:ind w:left="-1418"/>
    </w:pPr>
    <w:rPr>
      <w:sz w:val="2"/>
      <w:szCs w:val="2"/>
    </w:rPr>
  </w:style>
  <w:style w:type="character" w:styleId="PageNumber">
    <w:name w:val="page number"/>
    <w:basedOn w:val="DefaultParagraphFont"/>
    <w:rsid w:val="00C71BA7"/>
  </w:style>
  <w:style w:type="paragraph" w:styleId="Quote">
    <w:name w:val="Quote"/>
    <w:basedOn w:val="Heading1"/>
    <w:link w:val="QuoteChar"/>
    <w:qFormat/>
    <w:rsid w:val="00C71BA7"/>
    <w:rPr>
      <w:b w:val="0"/>
      <w:sz w:val="72"/>
      <w:szCs w:val="72"/>
      <w:lang w:val="en-NZ"/>
    </w:rPr>
  </w:style>
  <w:style w:type="character" w:customStyle="1" w:styleId="QuoteChar">
    <w:name w:val="Quote Char"/>
    <w:basedOn w:val="DefaultParagraphFont"/>
    <w:link w:val="Quote"/>
    <w:rsid w:val="00C71B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1BA7"/>
    <w:pPr>
      <w:pageBreakBefore/>
    </w:pPr>
  </w:style>
  <w:style w:type="paragraph" w:customStyle="1" w:styleId="Border">
    <w:name w:val="Border"/>
    <w:basedOn w:val="Normal"/>
    <w:qFormat/>
    <w:rsid w:val="00C71B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1BA7"/>
    <w:rPr>
      <w:b/>
      <w:bCs/>
      <w:i/>
      <w:iCs/>
      <w:color w:val="auto"/>
    </w:rPr>
  </w:style>
  <w:style w:type="paragraph" w:styleId="IntenseQuote">
    <w:name w:val="Intense Quote"/>
    <w:basedOn w:val="Normal"/>
    <w:next w:val="Normal"/>
    <w:link w:val="IntenseQuoteChar"/>
    <w:uiPriority w:val="30"/>
    <w:qFormat/>
    <w:rsid w:val="00C71B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1B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1BA7"/>
    <w:rPr>
      <w:smallCaps/>
      <w:color w:val="auto"/>
      <w:u w:val="single"/>
    </w:rPr>
  </w:style>
  <w:style w:type="character" w:styleId="IntenseReference">
    <w:name w:val="Intense Reference"/>
    <w:basedOn w:val="DefaultParagraphFont"/>
    <w:uiPriority w:val="32"/>
    <w:qFormat/>
    <w:rsid w:val="00C71BA7"/>
    <w:rPr>
      <w:b/>
      <w:bCs/>
      <w:smallCaps/>
      <w:color w:val="auto"/>
      <w:spacing w:val="5"/>
      <w:u w:val="single"/>
    </w:rPr>
  </w:style>
  <w:style w:type="paragraph" w:customStyle="1" w:styleId="2ColumnHeading">
    <w:name w:val="2Column Heading"/>
    <w:basedOn w:val="BodyText"/>
    <w:qFormat/>
    <w:rsid w:val="00C71BA7"/>
    <w:pPr>
      <w:spacing w:after="60"/>
      <w:ind w:left="-2268"/>
    </w:pPr>
    <w:rPr>
      <w:b/>
    </w:rPr>
  </w:style>
  <w:style w:type="paragraph" w:customStyle="1" w:styleId="Heading1TOC">
    <w:name w:val="Heading1 TOC"/>
    <w:basedOn w:val="Normal"/>
    <w:qFormat/>
    <w:rsid w:val="00C71BA7"/>
    <w:pPr>
      <w:spacing w:before="240" w:after="120"/>
    </w:pPr>
    <w:rPr>
      <w:rFonts w:ascii="Times New Roman" w:hAnsi="Times New Roman"/>
      <w:b/>
      <w:sz w:val="32"/>
    </w:rPr>
  </w:style>
  <w:style w:type="paragraph" w:customStyle="1" w:styleId="Heading2TOC">
    <w:name w:val="Heading2 TOC"/>
    <w:basedOn w:val="Normal"/>
    <w:qFormat/>
    <w:rsid w:val="00C71BA7"/>
    <w:pPr>
      <w:spacing w:before="240" w:after="60"/>
    </w:pPr>
    <w:rPr>
      <w:rFonts w:ascii="Times New Roman" w:hAnsi="Times New Roman"/>
      <w:b/>
      <w:sz w:val="28"/>
    </w:rPr>
  </w:style>
  <w:style w:type="character" w:customStyle="1" w:styleId="Underline">
    <w:name w:val="Underline"/>
    <w:basedOn w:val="DefaultParagraphFont"/>
    <w:qFormat/>
    <w:rsid w:val="00C71BA7"/>
    <w:rPr>
      <w:u w:val="single"/>
    </w:rPr>
  </w:style>
  <w:style w:type="character" w:customStyle="1" w:styleId="BoldandItalics">
    <w:name w:val="Bold and Italics"/>
    <w:qFormat/>
    <w:rsid w:val="00C71BA7"/>
    <w:rPr>
      <w:b/>
      <w:i/>
      <w:u w:val="none"/>
    </w:rPr>
  </w:style>
  <w:style w:type="paragraph" w:styleId="BalloonText">
    <w:name w:val="Balloon Text"/>
    <w:basedOn w:val="Normal"/>
    <w:link w:val="BalloonTextChar"/>
    <w:rsid w:val="00C71BA7"/>
    <w:rPr>
      <w:rFonts w:ascii="Tahoma" w:hAnsi="Tahoma" w:cs="Tahoma"/>
      <w:sz w:val="16"/>
      <w:szCs w:val="16"/>
    </w:rPr>
  </w:style>
  <w:style w:type="character" w:customStyle="1" w:styleId="BalloonTextChar">
    <w:name w:val="Balloon Text Char"/>
    <w:basedOn w:val="DefaultParagraphFont"/>
    <w:link w:val="BalloonText"/>
    <w:rsid w:val="00C71B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1B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1B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1015</Words>
  <Characters>6314</Characters>
  <Application>Microsoft Office Word</Application>
  <DocSecurity>0</DocSecurity>
  <Lines>241</Lines>
  <Paragraphs>115</Paragraphs>
  <ScaleCrop>false</ScaleCrop>
  <Company>Author-it Software Corporation Ltd.</Company>
  <LinksUpToDate>false</LinksUpToDate>
  <CharactersWithSpaces>7242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PMC554090B Undertake simple refractory design</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2012-05-26T19:12:00Z</dcterms:created>
  <dcterms:modified xsi:type="dcterms:W3CDTF">2012-05-26T19:12:00Z</dcterms:modified>
</cp:coreProperties>
</file>