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529" w:rsidP="00634529">
      <w:pPr>
        <w:pStyle w:val="Title"/>
      </w:pPr>
      <w:r>
        <w:fldChar w:fldCharType="begin"/>
      </w:r>
      <w:r>
        <w:instrText xml:space="preserve"> TITLE   \* MERGEFORMAT </w:instrText>
      </w:r>
      <w:r>
        <w:fldChar w:fldCharType="separate"/>
      </w:r>
      <w:r>
        <w:t>PMC552095B Prepare for, install and repair ceramic fibre</w:t>
      </w:r>
      <w:r>
        <w:fldChar w:fldCharType="end"/>
      </w:r>
    </w:p>
    <w:p w:rsidR="00634529" w:rsidP="00634529">
      <w:pPr>
        <w:pStyle w:val="Version"/>
        <w:sectPr w:rsidSect="00E646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4632" w:rsidP="00E64632">
      <w:pPr>
        <w:pStyle w:val="SuperHeading"/>
      </w:pPr>
      <w:r w:rsidRPr="00E64632">
        <w:t>PMC552095B Prepare for, install and repair ceramic fibre</w:t>
      </w:r>
    </w:p>
    <w:p w:rsidR="00000000" w:rsidRPr="00E64632" w:rsidP="00E64632">
      <w:pPr>
        <w:pStyle w:val="SuperHeading"/>
      </w:pPr>
    </w:p>
    <w:p w:rsidR="00000000" w:rsidRPr="00E64632" w:rsidP="00E64632">
      <w:pPr>
        <w:pStyle w:val="Heading1"/>
      </w:pPr>
      <w:bookmarkStart w:id="1" w:name="O_110511"/>
      <w:bookmarkEnd w:id="1"/>
      <w:r w:rsidRPr="00E64632">
        <w:t>Modification History</w:t>
      </w:r>
    </w:p>
    <w:p w:rsidR="00000000" w:rsidRPr="00E64632" w:rsidP="00E64632">
      <w:pPr>
        <w:pStyle w:val="BodyText"/>
      </w:pPr>
      <w:r w:rsidRPr="00E64632">
        <w:t>Not applicable.</w:t>
      </w:r>
    </w:p>
    <w:p w:rsidR="00000000" w:rsidRPr="00E64632" w:rsidP="00E64632">
      <w:pPr>
        <w:pStyle w:val="AllowPageBreak"/>
      </w:pPr>
    </w:p>
    <w:p w:rsidR="00000000" w:rsidRPr="00E64632" w:rsidP="00E64632">
      <w:pPr>
        <w:pStyle w:val="Heading1"/>
      </w:pPr>
      <w:bookmarkStart w:id="2" w:name="O_110512"/>
      <w:bookmarkEnd w:id="2"/>
      <w:r w:rsidRPr="00E64632">
        <w:t>Unit Descriptor</w:t>
      </w:r>
    </w:p>
    <w:tbl>
      <w:tblPr>
        <w:tblW w:w="0" w:type="auto"/>
        <w:tblLayout w:type="fixed"/>
        <w:tblCellMar>
          <w:left w:w="62" w:type="dxa"/>
          <w:right w:w="62" w:type="dxa"/>
        </w:tblCellMar>
        <w:tblLook w:val="0000"/>
      </w:tblPr>
      <w:tblGrid>
        <w:gridCol w:w="2671"/>
        <w:gridCol w:w="5851"/>
      </w:tblGrid>
      <w:tr w:rsidTr="0063452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This unit of competency covers the installation of ceramic fibre refractory. It involves int</w:t>
            </w:r>
            <w:r w:rsidRPr="00E64632">
              <w:t>erpreting information, following safe work practices, installing and repairing ceramic fibre and using tools and ancillary equipment.</w:t>
            </w: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3" w:name="O_110513"/>
      <w:bookmarkEnd w:id="3"/>
      <w:r w:rsidRPr="00E64632">
        <w:t>Application of the Unit</w:t>
      </w:r>
    </w:p>
    <w:tbl>
      <w:tblPr>
        <w:tblW w:w="0" w:type="auto"/>
        <w:tblLayout w:type="fixed"/>
        <w:tblCellMar>
          <w:left w:w="62" w:type="dxa"/>
          <w:right w:w="62" w:type="dxa"/>
        </w:tblCellMar>
        <w:tblLook w:val="0000"/>
      </w:tblPr>
      <w:tblGrid>
        <w:gridCol w:w="2753"/>
        <w:gridCol w:w="5769"/>
      </w:tblGrid>
      <w:tr w:rsidTr="0063452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This unit of competency applies to operators who install and/or repair ceramic fibre refractory. Ceramic fibre may be the total requirements for the job, or it may need to join other refractory.</w:t>
            </w:r>
          </w:p>
          <w:p w:rsidR="00000000" w:rsidRPr="00E64632" w:rsidP="00E64632">
            <w:pPr>
              <w:pStyle w:val="BodyText"/>
            </w:pPr>
            <w:r w:rsidRPr="00E64632">
              <w:t>This competency is typically performed by operators working e</w:t>
            </w:r>
            <w:r w:rsidRPr="00E64632">
              <w:t>ither independently or as part of a work team. At all times they would be liaising and cooperating with other members of the team.</w:t>
            </w: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4" w:name="O_110514"/>
      <w:bookmarkEnd w:id="4"/>
      <w:r w:rsidRPr="00E64632">
        <w:t>Licensing/Regulatory Information</w:t>
      </w:r>
    </w:p>
    <w:p w:rsidR="00000000" w:rsidRPr="00E64632" w:rsidP="00E64632">
      <w:pPr>
        <w:pStyle w:val="BodyText"/>
      </w:pPr>
      <w:r w:rsidRPr="00E64632">
        <w:t>Not applicable.</w:t>
      </w:r>
    </w:p>
    <w:p w:rsidR="00000000" w:rsidRPr="00E64632" w:rsidP="00E64632">
      <w:pPr>
        <w:pStyle w:val="AllowPageBreak"/>
      </w:pPr>
    </w:p>
    <w:p w:rsidR="00000000" w:rsidRPr="00E64632" w:rsidP="00E64632">
      <w:pPr>
        <w:pStyle w:val="Heading1"/>
      </w:pPr>
      <w:bookmarkStart w:id="5" w:name="O_110516"/>
      <w:bookmarkEnd w:id="5"/>
      <w:r w:rsidRPr="00E64632">
        <w:t>Pre-Requisites</w:t>
      </w:r>
    </w:p>
    <w:tbl>
      <w:tblPr>
        <w:tblW w:w="0" w:type="auto"/>
        <w:tblLayout w:type="fixed"/>
        <w:tblCellMar>
          <w:left w:w="62" w:type="dxa"/>
          <w:right w:w="62" w:type="dxa"/>
        </w:tblCellMar>
        <w:tblLook w:val="0000"/>
      </w:tblPr>
      <w:tblGrid>
        <w:gridCol w:w="2775"/>
        <w:gridCol w:w="1295"/>
        <w:gridCol w:w="4452"/>
      </w:tblGrid>
      <w:tr w:rsidTr="006345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p>
        </w:tc>
      </w:tr>
      <w:tr w:rsidTr="006345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p>
        </w:tc>
      </w:tr>
      <w:tr w:rsidTr="006345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6" w:name="O_110515"/>
      <w:bookmarkEnd w:id="6"/>
      <w:r w:rsidRPr="00E64632">
        <w:t>Employability Skills Information</w:t>
      </w:r>
    </w:p>
    <w:tbl>
      <w:tblPr>
        <w:tblW w:w="0" w:type="auto"/>
        <w:tblLayout w:type="fixed"/>
        <w:tblCellMar>
          <w:left w:w="62" w:type="dxa"/>
          <w:right w:w="62" w:type="dxa"/>
        </w:tblCellMar>
        <w:tblLook w:val="0000"/>
      </w:tblPr>
      <w:tblGrid>
        <w:gridCol w:w="2802"/>
        <w:gridCol w:w="5720"/>
      </w:tblGrid>
      <w:tr w:rsidTr="006345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This unit contains employability skills.</w:t>
            </w: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7" w:name="O_110517"/>
      <w:bookmarkEnd w:id="7"/>
      <w:r w:rsidRPr="00E64632">
        <w:t>Elements and Performance Criteria Pre-Content</w:t>
      </w:r>
    </w:p>
    <w:tbl>
      <w:tblPr>
        <w:tblW w:w="0" w:type="auto"/>
        <w:tblLayout w:type="fixed"/>
        <w:tblCellMar>
          <w:left w:w="62" w:type="dxa"/>
          <w:right w:w="62" w:type="dxa"/>
        </w:tblCellMar>
        <w:tblLook w:val="0000"/>
      </w:tblPr>
      <w:tblGrid>
        <w:gridCol w:w="2589"/>
        <w:gridCol w:w="5933"/>
      </w:tblGrid>
      <w:tr w:rsidTr="0063452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Performance criteria describe the performance needed to demonstrate achievement of the element. Where bold italicised text is used, further information is detailed in the required skills and knowledge section and the range statement. Assessment of performa</w:t>
            </w:r>
            <w:r w:rsidRPr="00E64632">
              <w:t>nce is to be consistent with the evidence guide.</w:t>
            </w: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8" w:name="O_110518"/>
      <w:bookmarkEnd w:id="8"/>
      <w:r w:rsidRPr="00E64632">
        <w:t>Elements and Performance Criteria</w:t>
      </w:r>
    </w:p>
    <w:tbl>
      <w:tblPr>
        <w:tblW w:w="0" w:type="auto"/>
        <w:tblLayout w:type="fixed"/>
        <w:tblCellMar>
          <w:left w:w="62" w:type="dxa"/>
          <w:right w:w="62" w:type="dxa"/>
        </w:tblCellMar>
        <w:tblLook w:val="0000"/>
      </w:tblPr>
      <w:tblGrid>
        <w:gridCol w:w="2589"/>
        <w:gridCol w:w="5933"/>
      </w:tblGrid>
      <w:tr w:rsidTr="00634529">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PERFORMANCE CRITERIA</w:t>
            </w:r>
          </w:p>
        </w:tc>
      </w:tr>
      <w:tr w:rsidTr="0063452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List"/>
              <w:rPr>
                <w:lang w:val="en-NZ"/>
              </w:rPr>
            </w:pPr>
            <w:r w:rsidRPr="00E64632">
              <w:t>1.</w:t>
            </w:r>
            <w:r w:rsidRPr="00E64632">
              <w:tab/>
              <w:t>Establish the suitability of resources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List2"/>
            </w:pPr>
            <w:r w:rsidRPr="00E64632">
              <w:t>1.1.</w:t>
            </w:r>
            <w:r w:rsidRPr="00E64632">
              <w:tab/>
              <w:t>Check all information conforms with resources</w:t>
            </w:r>
          </w:p>
          <w:p w:rsidR="00000000" w:rsidRPr="00E64632" w:rsidP="00E64632">
            <w:pPr>
              <w:pStyle w:val="List2"/>
            </w:pPr>
            <w:r w:rsidRPr="00E64632">
              <w:t>1.2.</w:t>
            </w:r>
            <w:r w:rsidRPr="00E64632">
              <w:tab/>
              <w:t>Record discrepa</w:t>
            </w:r>
            <w:r w:rsidRPr="00E64632">
              <w:t>ncies in information</w:t>
            </w:r>
          </w:p>
          <w:p w:rsidR="00000000" w:rsidRPr="00E64632" w:rsidP="00E64632">
            <w:pPr>
              <w:pStyle w:val="List2"/>
            </w:pPr>
            <w:r w:rsidRPr="00E64632">
              <w:t>1.3.</w:t>
            </w:r>
            <w:r w:rsidRPr="00E64632">
              <w:tab/>
              <w:t>Report any inaccuracies in information to the person in charge</w:t>
            </w:r>
          </w:p>
          <w:p w:rsidR="00000000" w:rsidP="00E64632">
            <w:pPr>
              <w:pStyle w:val="List2"/>
              <w:rPr>
                <w:lang w:val="en-NZ"/>
              </w:rPr>
            </w:pPr>
            <w:r w:rsidRPr="00E64632">
              <w:t>1.4.</w:t>
            </w:r>
            <w:r w:rsidRPr="00E64632">
              <w:tab/>
              <w:t>Identify and select materials, components, tools and equipment</w:t>
            </w:r>
          </w:p>
        </w:tc>
      </w:tr>
      <w:tr w:rsidTr="0063452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List"/>
              <w:rPr>
                <w:lang w:val="en-NZ"/>
              </w:rPr>
            </w:pPr>
            <w:r w:rsidRPr="00E64632">
              <w:t>2.</w:t>
            </w:r>
            <w:r w:rsidRPr="00E64632">
              <w:tab/>
              <w:t>Prepare for and install ceramic fibre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List2"/>
            </w:pPr>
            <w:r w:rsidRPr="00E64632">
              <w:t>2.1.</w:t>
            </w:r>
            <w:r w:rsidRPr="00E64632">
              <w:tab/>
              <w:t>Prepare backgrounds, cutting out, demolition and key</w:t>
            </w:r>
            <w:r w:rsidRPr="00E64632">
              <w:t>ing</w:t>
            </w:r>
          </w:p>
          <w:p w:rsidR="00000000" w:rsidRPr="00E64632" w:rsidP="00E64632">
            <w:pPr>
              <w:pStyle w:val="List2"/>
            </w:pPr>
            <w:r w:rsidRPr="00E64632">
              <w:t>2.2.</w:t>
            </w:r>
            <w:r w:rsidRPr="00E64632">
              <w:tab/>
              <w:t>Install extraction equipment</w:t>
            </w:r>
          </w:p>
          <w:p w:rsidR="00000000" w:rsidRPr="00E64632" w:rsidP="00E64632">
            <w:pPr>
              <w:pStyle w:val="List2"/>
            </w:pPr>
            <w:r w:rsidRPr="00E64632">
              <w:t>2.3.</w:t>
            </w:r>
            <w:r w:rsidRPr="00E64632">
              <w:tab/>
              <w:t>Weld anchors using automatic stud guns</w:t>
            </w:r>
          </w:p>
          <w:p w:rsidR="00000000" w:rsidRPr="00E64632" w:rsidP="00E64632">
            <w:pPr>
              <w:pStyle w:val="List2"/>
            </w:pPr>
            <w:r w:rsidRPr="00E64632">
              <w:t>2.4.</w:t>
            </w:r>
            <w:r w:rsidRPr="00E64632">
              <w:tab/>
              <w:t>Install ceramic fibre and make correct joints</w:t>
            </w:r>
          </w:p>
          <w:p w:rsidR="00000000" w:rsidP="00E64632">
            <w:pPr>
              <w:pStyle w:val="List2"/>
              <w:rPr>
                <w:lang w:val="en-NZ"/>
              </w:rPr>
            </w:pPr>
            <w:r w:rsidRPr="00E64632">
              <w:t>2.5.</w:t>
            </w:r>
            <w:r w:rsidRPr="00E64632">
              <w:tab/>
              <w:t>Repair ceramic fibre</w:t>
            </w:r>
          </w:p>
        </w:tc>
      </w:tr>
      <w:tr w:rsidTr="00634529">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List"/>
              <w:rPr>
                <w:lang w:val="en-NZ"/>
              </w:rPr>
            </w:pPr>
            <w:r w:rsidRPr="00E64632">
              <w:t>3.</w:t>
            </w:r>
            <w:r w:rsidRPr="00E64632">
              <w:tab/>
              <w:t>Contribute to controlling hazards in work area</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List2"/>
            </w:pPr>
            <w:r w:rsidRPr="00E64632">
              <w:t>3.1.</w:t>
            </w:r>
            <w:r w:rsidRPr="00E64632">
              <w:tab/>
              <w:t>Identify hazards in work area</w:t>
            </w:r>
          </w:p>
          <w:p w:rsidR="00000000" w:rsidRPr="00E64632" w:rsidP="00E64632">
            <w:pPr>
              <w:pStyle w:val="List2"/>
            </w:pPr>
            <w:r w:rsidRPr="00E64632">
              <w:t>3.2.</w:t>
            </w:r>
            <w:r w:rsidRPr="00E64632">
              <w:tab/>
            </w:r>
            <w:r w:rsidRPr="00E64632">
              <w:t>Assess risks arising from those hazards</w:t>
            </w:r>
          </w:p>
          <w:p w:rsidR="00000000" w:rsidRPr="00E64632" w:rsidP="00E64632">
            <w:pPr>
              <w:pStyle w:val="List2"/>
            </w:pPr>
            <w:r w:rsidRPr="00E64632">
              <w:t>3.3.</w:t>
            </w:r>
            <w:r w:rsidRPr="00E64632">
              <w:tab/>
              <w:t>Take appropriate action to control risks to procedures and duty of care</w:t>
            </w: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9" w:name="O_110519"/>
      <w:bookmarkEnd w:id="9"/>
      <w:r w:rsidRPr="00E64632">
        <w:t>Required Skills and Knowledge</w:t>
      </w:r>
    </w:p>
    <w:tbl>
      <w:tblPr>
        <w:tblW w:w="0" w:type="auto"/>
        <w:tblLayout w:type="fixed"/>
        <w:tblCellMar>
          <w:left w:w="62" w:type="dxa"/>
          <w:right w:w="62" w:type="dxa"/>
        </w:tblCellMar>
        <w:tblLook w:val="0000"/>
      </w:tblPr>
      <w:tblGrid>
        <w:gridCol w:w="8522"/>
      </w:tblGrid>
      <w:tr w:rsidTr="006345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REQUIRED SKILLS AND KNOWLEDGE</w:t>
            </w:r>
          </w:p>
        </w:tc>
      </w:tr>
      <w:tr w:rsidTr="006345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t>This section describes the skills and knowledge required fo</w:t>
            </w:r>
            <w:r w:rsidRPr="00E64632">
              <w:t>r this unit.</w:t>
            </w:r>
          </w:p>
        </w:tc>
      </w:tr>
      <w:tr w:rsidTr="006345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Required skills</w:t>
            </w:r>
          </w:p>
        </w:tc>
      </w:tr>
      <w:tr w:rsidTr="006345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Required skills include:</w:t>
            </w:r>
          </w:p>
          <w:p w:rsidR="00000000" w:rsidRPr="00E64632" w:rsidP="00E64632">
            <w:pPr>
              <w:pStyle w:val="ListBullet"/>
            </w:pPr>
            <w:r w:rsidRPr="00E64632">
              <w:t>observing and monitoring work practices</w:t>
            </w:r>
          </w:p>
          <w:p w:rsidR="00000000" w:rsidRPr="00E64632" w:rsidP="00E64632">
            <w:pPr>
              <w:pStyle w:val="ListBullet"/>
            </w:pPr>
            <w:r w:rsidRPr="00E64632">
              <w:t xml:space="preserve">adjusting/correcting/responding to work requirements </w:t>
            </w:r>
          </w:p>
          <w:p w:rsidR="00000000" w:rsidRPr="00E64632" w:rsidP="00E64632">
            <w:pPr>
              <w:pStyle w:val="ListBullet"/>
            </w:pPr>
            <w:r w:rsidRPr="00E64632">
              <w:t>identifying and solving problems</w:t>
            </w:r>
          </w:p>
          <w:p w:rsidR="00000000" w:rsidRPr="00E64632" w:rsidP="00E64632">
            <w:pPr>
              <w:pStyle w:val="ListBullet"/>
            </w:pPr>
            <w:r w:rsidRPr="00E64632">
              <w:t>manual skills</w:t>
            </w:r>
          </w:p>
          <w:p w:rsidR="00000000" w:rsidRPr="00E64632" w:rsidP="00E64632">
            <w:pPr>
              <w:pStyle w:val="ListBullet"/>
            </w:pPr>
            <w:r w:rsidRPr="00E64632">
              <w:t>physical handling skills</w:t>
            </w:r>
          </w:p>
          <w:p w:rsidR="00000000" w:rsidRPr="00E64632" w:rsidP="00E64632">
            <w:pPr>
              <w:pStyle w:val="ListBullet"/>
            </w:pPr>
            <w:r w:rsidRPr="00E64632">
              <w:t>using tools and equipment safely</w:t>
            </w:r>
          </w:p>
          <w:p w:rsidR="00000000" w:rsidRPr="00E64632" w:rsidP="00E64632">
            <w:pPr>
              <w:pStyle w:val="ListBullet"/>
            </w:pPr>
            <w:r w:rsidRPr="00E64632">
              <w:t>working in a team or individually, as required</w:t>
            </w:r>
          </w:p>
          <w:p w:rsidR="00000000" w:rsidP="00E64632">
            <w:pPr>
              <w:pStyle w:val="ListBullet"/>
              <w:rPr>
                <w:lang w:val="en-NZ"/>
              </w:rPr>
            </w:pPr>
            <w:r w:rsidRPr="00E64632">
              <w:t>reading and numeracy to interpret workplace documents and technical information</w:t>
            </w:r>
          </w:p>
        </w:tc>
      </w:tr>
      <w:tr w:rsidTr="006345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Required knowledge</w:t>
            </w:r>
          </w:p>
        </w:tc>
      </w:tr>
      <w:tr w:rsidTr="006345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Required knowledge includes:</w:t>
            </w:r>
          </w:p>
          <w:p w:rsidR="00000000" w:rsidRPr="00E64632" w:rsidP="00E64632">
            <w:pPr>
              <w:pStyle w:val="ListBullet"/>
            </w:pPr>
            <w:r w:rsidRPr="00E64632">
              <w:t>types and characteristics of ceramic fibre</w:t>
            </w:r>
          </w:p>
          <w:p w:rsidR="00000000" w:rsidRPr="00E64632" w:rsidP="00E64632">
            <w:pPr>
              <w:pStyle w:val="ListBullet"/>
            </w:pPr>
            <w:r w:rsidRPr="00E64632">
              <w:t>dust hazards and methods of minimis</w:t>
            </w:r>
            <w:r w:rsidRPr="00E64632">
              <w:t>ing risks</w:t>
            </w:r>
          </w:p>
          <w:p w:rsidR="00000000" w:rsidRPr="00E64632" w:rsidP="00E64632">
            <w:pPr>
              <w:pStyle w:val="ListBullet"/>
            </w:pPr>
            <w:r w:rsidRPr="00E64632">
              <w:t>types and uses of respiratory equipment</w:t>
            </w:r>
          </w:p>
          <w:p w:rsidR="00000000" w:rsidRPr="00E64632" w:rsidP="00E64632">
            <w:pPr>
              <w:pStyle w:val="ListBullet"/>
            </w:pPr>
            <w:r w:rsidRPr="00E64632">
              <w:t>types and uses of extraction devices</w:t>
            </w:r>
          </w:p>
          <w:p w:rsidR="00000000" w:rsidRPr="00E64632" w:rsidP="00E64632">
            <w:pPr>
              <w:pStyle w:val="ListBullet"/>
            </w:pPr>
            <w:r w:rsidRPr="00E64632">
              <w:t>anchorage systems</w:t>
            </w:r>
          </w:p>
          <w:p w:rsidR="00000000" w:rsidRPr="00E64632" w:rsidP="00E64632">
            <w:pPr>
              <w:pStyle w:val="ListBullet"/>
            </w:pPr>
            <w:r w:rsidRPr="00E64632">
              <w:t>methods of welding anchors to background surfaces</w:t>
            </w:r>
          </w:p>
          <w:p w:rsidR="00000000" w:rsidRPr="00E64632" w:rsidP="00E64632">
            <w:pPr>
              <w:pStyle w:val="ListBullet"/>
            </w:pPr>
            <w:r w:rsidRPr="00E64632">
              <w:t>methods of installing and jointing ceramic fibre</w:t>
            </w:r>
          </w:p>
          <w:p w:rsidR="00000000" w:rsidRPr="00E64632" w:rsidP="00E64632">
            <w:pPr>
              <w:pStyle w:val="ListBullet"/>
            </w:pPr>
            <w:r w:rsidRPr="00E64632">
              <w:t>methods of rigidising surface of installed ceramic f</w:t>
            </w:r>
            <w:r w:rsidRPr="00E64632">
              <w:t>ibre</w:t>
            </w:r>
          </w:p>
          <w:p w:rsidR="00000000" w:rsidRPr="00E64632" w:rsidP="00E64632">
            <w:pPr>
              <w:pStyle w:val="ListBullet"/>
            </w:pPr>
            <w:r w:rsidRPr="00E64632">
              <w:t>types and uses of temporary support</w:t>
            </w:r>
          </w:p>
          <w:p w:rsidR="00000000" w:rsidRPr="00E64632" w:rsidP="00E64632">
            <w:pPr>
              <w:pStyle w:val="ListBullet"/>
            </w:pPr>
            <w:r w:rsidRPr="00E64632">
              <w:t>methods of protecting work during installation</w:t>
            </w:r>
          </w:p>
          <w:p w:rsidR="00000000" w:rsidRPr="00E64632" w:rsidP="00E64632">
            <w:pPr>
              <w:pStyle w:val="ListBullet"/>
            </w:pPr>
            <w:r w:rsidRPr="00E64632">
              <w:t>safeguards to take during reinstatement work</w:t>
            </w:r>
          </w:p>
          <w:p w:rsidR="00000000" w:rsidRPr="00E64632" w:rsidP="00E64632">
            <w:pPr>
              <w:pStyle w:val="ListBullet"/>
            </w:pPr>
            <w:r w:rsidRPr="00E64632">
              <w:t>methods of removing damaged refractory</w:t>
            </w:r>
          </w:p>
          <w:p w:rsidR="00000000" w:rsidRPr="00E64632" w:rsidP="00E64632">
            <w:pPr>
              <w:pStyle w:val="ListBullet"/>
            </w:pPr>
            <w:r w:rsidRPr="00E64632">
              <w:t>methods of keying, bonding new to existing</w:t>
            </w:r>
          </w:p>
          <w:p w:rsidR="00000000" w:rsidRPr="00E64632" w:rsidP="00E64632">
            <w:pPr>
              <w:pStyle w:val="ListBullet"/>
            </w:pPr>
            <w:r w:rsidRPr="00E64632">
              <w:t>materials sources</w:t>
            </w:r>
          </w:p>
          <w:p w:rsidR="00000000" w:rsidRPr="00E64632" w:rsidP="00E64632">
            <w:pPr>
              <w:pStyle w:val="ListBullet"/>
            </w:pPr>
            <w:r w:rsidRPr="00E64632">
              <w:t>materials types/categorisation</w:t>
            </w:r>
          </w:p>
          <w:p w:rsidR="00000000" w:rsidRPr="00E64632" w:rsidP="00E64632">
            <w:pPr>
              <w:pStyle w:val="ListBullet"/>
            </w:pPr>
            <w:r w:rsidRPr="00E64632">
              <w:t>methods of production</w:t>
            </w:r>
          </w:p>
          <w:p w:rsidR="00000000" w:rsidRPr="00E64632" w:rsidP="00E64632">
            <w:pPr>
              <w:pStyle w:val="ListBullet"/>
            </w:pPr>
            <w:r w:rsidRPr="00E64632">
              <w:t>familiarity with installation techniques</w:t>
            </w:r>
          </w:p>
          <w:p w:rsidR="00000000" w:rsidRPr="00E64632" w:rsidP="00E64632">
            <w:pPr>
              <w:pStyle w:val="ListBullet"/>
            </w:pPr>
            <w:r w:rsidRPr="00E64632">
              <w:t>familiarity with principles of selection</w:t>
            </w:r>
          </w:p>
          <w:p w:rsidR="00000000" w:rsidRPr="00E64632" w:rsidP="00E64632">
            <w:pPr>
              <w:pStyle w:val="ListBullet"/>
            </w:pPr>
            <w:r w:rsidRPr="00E64632">
              <w:t>familiarity with variety of applications</w:t>
            </w: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10" w:name="O_110520"/>
      <w:bookmarkEnd w:id="10"/>
      <w:r w:rsidRPr="00E64632">
        <w:t>Evidence Guide</w:t>
      </w:r>
    </w:p>
    <w:tbl>
      <w:tblPr>
        <w:tblW w:w="9570" w:type="dxa"/>
        <w:tblLayout w:type="fixed"/>
        <w:tblCellMar>
          <w:left w:w="62" w:type="dxa"/>
          <w:right w:w="62" w:type="dxa"/>
        </w:tblCellMar>
        <w:tblLook w:val="0000"/>
      </w:tblPr>
      <w:tblGrid>
        <w:gridCol w:w="3908"/>
        <w:gridCol w:w="5662"/>
      </w:tblGrid>
      <w:tr w:rsidTr="006345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EVIDENCE GUIDE</w:t>
            </w:r>
          </w:p>
        </w:tc>
      </w:tr>
      <w:tr w:rsidTr="006345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t>The Evidence Guide provides advice on assessment and must be read in conjunction with the performance criteria, required skills and knowledge, range statement and the Assessment Guidelines for the Training Package.</w:t>
            </w:r>
          </w:p>
        </w:tc>
      </w:tr>
      <w:tr w:rsidTr="00634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t>The unit will be</w:t>
            </w:r>
            <w:r w:rsidRPr="00E64632">
              <w:t xml:space="preserve"> assessed in as holistic a manner as is practical and may be integrated with the assessment of other relevant units of competency.</w:t>
            </w:r>
          </w:p>
        </w:tc>
      </w:tr>
      <w:tr w:rsidTr="00634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Competence must be demonstrated in the operation of all ancillary equipment to the level required for this unit of competency.</w:t>
            </w:r>
          </w:p>
          <w:p w:rsidR="00000000" w:rsidRPr="00E64632" w:rsidP="00E64632">
            <w:pPr>
              <w:pStyle w:val="BodyText"/>
            </w:pPr>
            <w:r w:rsidRPr="00E64632">
              <w:t>Competence must be demonstrated in the ability to recognise and analyse potential situations requiring action and then in impleme</w:t>
            </w:r>
            <w:r w:rsidRPr="00E64632">
              <w:t>nting appropriate corrective action.</w:t>
            </w:r>
          </w:p>
          <w:p w:rsidR="00000000" w:rsidRPr="00E64632" w:rsidP="00E64632">
            <w:pPr>
              <w:pStyle w:val="BodyText"/>
            </w:pPr>
            <w:r w:rsidRPr="00E64632">
              <w:t>Consistent performance should be demonstrated. In particular look to see that:</w:t>
            </w:r>
          </w:p>
          <w:p w:rsidR="00000000" w:rsidRPr="00E64632" w:rsidP="00E64632">
            <w:pPr>
              <w:pStyle w:val="ListBullet"/>
            </w:pPr>
            <w:r w:rsidRPr="00E64632">
              <w:t>appropriate attachment of the ceramic fibre is ensured</w:t>
            </w:r>
          </w:p>
          <w:p w:rsidR="00000000" w:rsidP="00E64632">
            <w:pPr>
              <w:pStyle w:val="ListBullet"/>
              <w:rPr>
                <w:lang w:val="en-NZ"/>
              </w:rPr>
            </w:pPr>
            <w:r w:rsidRPr="00E64632">
              <w:t>jointing is correct.</w:t>
            </w:r>
          </w:p>
        </w:tc>
      </w:tr>
      <w:tr w:rsidTr="00634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Assessment wi</w:t>
            </w:r>
            <w:r w:rsidRPr="00E64632">
              <w:t xml:space="preserve">ll require access to an operating plant over an extended period of time, or a suitable method of gathering evidence of operating ability over a range of situations. </w:t>
            </w:r>
          </w:p>
          <w:p w:rsidR="00000000" w:rsidRPr="00E64632" w:rsidP="00E64632">
            <w:pPr>
              <w:pStyle w:val="BodyText"/>
            </w:pPr>
            <w:r w:rsidRPr="00E64632">
              <w:t>Assessment will occur over a range of situations which will include disruptions to normal,</w:t>
            </w:r>
            <w:r w:rsidRPr="00E64632">
              <w:t xml:space="preserve"> smooth operation.</w:t>
            </w:r>
          </w:p>
          <w:p w:rsidR="00000000" w:rsidP="00E64632">
            <w:pPr>
              <w:pStyle w:val="BodyText"/>
              <w:rPr>
                <w:lang w:val="en-NZ"/>
              </w:rPr>
            </w:pPr>
            <w:r w:rsidRPr="00E64632">
              <w:t>Simulation or case studies/scenarios may be required to allow for timely assessment of parts of this unit of competency. Simulation should be based on the actual plant and will include 'walk-throughs' of the relevant competency component</w:t>
            </w:r>
            <w:r w:rsidRPr="00E64632">
              <w:t>s. A bank of scenarios/case studies/what ifs and questions will be required to probe the reasoning behind observable actions.</w:t>
            </w:r>
          </w:p>
        </w:tc>
      </w:tr>
      <w:tr w:rsidTr="00634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In all plants it may be appropriate to assess this unit concurrently with relevant teamwork and communicatio</w:t>
            </w:r>
            <w:r w:rsidRPr="00E64632">
              <w:t xml:space="preserve">n units. </w:t>
            </w:r>
          </w:p>
          <w:p w:rsidR="00000000" w:rsidP="00E64632">
            <w:pPr>
              <w:pStyle w:val="BodyText"/>
              <w:rPr>
                <w:lang w:val="en-NZ"/>
              </w:rPr>
            </w:pPr>
            <w:r w:rsidRPr="00E64632">
              <w:t>It may be appropriate to assess this unit concurrently with other relevant units.</w:t>
            </w:r>
          </w:p>
        </w:tc>
      </w:tr>
      <w:tr w:rsidTr="006345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 xml:space="preserve">Assessment processes and techniques must be culturally appropriate and appropriate to the language and literacy </w:t>
            </w:r>
            <w:r w:rsidRPr="00E64632">
              <w:t>capacity of the candidate and the work being performed.</w:t>
            </w: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11" w:name="O_110521"/>
      <w:bookmarkEnd w:id="11"/>
      <w:r w:rsidRPr="00E64632">
        <w:t>Range Statement</w:t>
      </w:r>
    </w:p>
    <w:tbl>
      <w:tblPr>
        <w:tblW w:w="0" w:type="auto"/>
        <w:tblLayout w:type="fixed"/>
        <w:tblCellMar>
          <w:left w:w="62" w:type="dxa"/>
          <w:right w:w="62" w:type="dxa"/>
        </w:tblCellMar>
        <w:tblLook w:val="0000"/>
      </w:tblPr>
      <w:tblGrid>
        <w:gridCol w:w="3475"/>
        <w:gridCol w:w="5047"/>
      </w:tblGrid>
      <w:tr w:rsidTr="006345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RANGE STATEMENT</w:t>
            </w:r>
          </w:p>
        </w:tc>
      </w:tr>
      <w:tr w:rsidTr="006345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t xml:space="preserve">The range statement relates to the </w:t>
            </w:r>
            <w:r w:rsidRPr="00E64632">
              <w:t>unit of competency as a whole. It allows for different work environments and situations that may affect performance. Bold italicised wording, if used in the performance criteria, is detailed below. Essential operating conditions that may be present with tr</w:t>
            </w:r>
            <w:r w:rsidRPr="00E64632">
              <w:t>aining and assessment (depending on the work situation, needs of the candidate, accessibility of the item, and local industry and regional contexts) may also be included.</w:t>
            </w:r>
          </w:p>
        </w:tc>
      </w:tr>
      <w:tr w:rsidTr="00634529">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Procedures</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t>All operations are performed in accordance with standard procedures and work instructions</w:t>
            </w:r>
          </w:p>
        </w:tc>
      </w:tr>
      <w:tr w:rsidTr="00634529">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Tools and equipment</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Tools and equipment include:</w:t>
            </w:r>
          </w:p>
          <w:p w:rsidR="00000000" w:rsidRPr="00E64632" w:rsidP="00E64632">
            <w:pPr>
              <w:pStyle w:val="ListBullet"/>
            </w:pPr>
            <w:r w:rsidRPr="00E64632">
              <w:t>fibre handling equipment</w:t>
            </w:r>
          </w:p>
          <w:p w:rsidR="00000000" w:rsidRPr="00E64632" w:rsidP="00E64632">
            <w:pPr>
              <w:pStyle w:val="ListBullet"/>
            </w:pPr>
            <w:r w:rsidRPr="00E64632">
              <w:t>fibre/other refractory mixing equipment</w:t>
            </w:r>
          </w:p>
          <w:p w:rsidR="00000000" w:rsidRPr="00E64632" w:rsidP="00E64632">
            <w:pPr>
              <w:pStyle w:val="ListBullet"/>
            </w:pPr>
            <w:r w:rsidRPr="00E64632">
              <w:t>lifting and placing equipment</w:t>
            </w:r>
          </w:p>
          <w:p w:rsidR="00000000" w:rsidP="00E64632">
            <w:pPr>
              <w:pStyle w:val="ListBullet"/>
              <w:rPr>
                <w:lang w:val="en-NZ"/>
              </w:rPr>
            </w:pPr>
            <w:r w:rsidRPr="00E64632">
              <w:t>equipment allowing a</w:t>
            </w:r>
            <w:r w:rsidRPr="00E64632">
              <w:t>ccess</w:t>
            </w:r>
          </w:p>
        </w:tc>
      </w:tr>
      <w:tr w:rsidTr="00634529">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Installation</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Installation includes:</w:t>
            </w:r>
          </w:p>
          <w:p w:rsidR="00000000" w:rsidRPr="00E64632" w:rsidP="00E64632">
            <w:pPr>
              <w:pStyle w:val="ListBullet"/>
            </w:pPr>
            <w:r w:rsidRPr="00E64632">
              <w:t xml:space="preserve">correct thickness </w:t>
            </w:r>
          </w:p>
          <w:p w:rsidR="00000000" w:rsidRPr="00E64632" w:rsidP="00E64632">
            <w:pPr>
              <w:pStyle w:val="ListBullet"/>
            </w:pPr>
            <w:r w:rsidRPr="00E64632">
              <w:t>conforming to required curves and angles</w:t>
            </w:r>
          </w:p>
          <w:p w:rsidR="00000000" w:rsidRPr="00E64632" w:rsidP="00E64632">
            <w:pPr>
              <w:pStyle w:val="ListBullet"/>
            </w:pPr>
            <w:r w:rsidRPr="00E64632">
              <w:t>tying to structure</w:t>
            </w:r>
          </w:p>
          <w:p w:rsidR="00000000" w:rsidP="00E64632">
            <w:pPr>
              <w:pStyle w:val="ListBullet"/>
              <w:rPr>
                <w:lang w:val="en-NZ"/>
              </w:rPr>
            </w:pPr>
            <w:r w:rsidRPr="00E64632">
              <w:t xml:space="preserve">keying/inyterfacing to existing refractory </w:t>
            </w:r>
          </w:p>
        </w:tc>
      </w:tr>
      <w:tr w:rsidTr="00634529">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Occupational health and safety</w:t>
            </w:r>
            <w:r w:rsidRPr="00E64632">
              <w:t xml:space="preserve"> (</w:t>
            </w:r>
            <w:r w:rsidRPr="00E64632">
              <w:rPr>
                <w:rStyle w:val="SpecialBold"/>
              </w:rPr>
              <w:t>OHS</w:t>
            </w:r>
            <w:r w:rsidRPr="00E64632">
              <w:t>)</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All operations are subject to stringent OHS requirements and these must not be compromised at any time. Where there is an apparent conflict between performance criteria and OHS requirements, the OHS requirements take precedence</w:t>
            </w:r>
          </w:p>
        </w:tc>
      </w:tr>
    </w:tbl>
    <w:p w:rsidR="00634529" w:rsidP="00E64632">
      <w:pPr>
        <w:pStyle w:val="BodyText"/>
      </w:pPr>
    </w:p>
    <w:p w:rsidR="00634529" w:rsidP="00E64632">
      <w:pPr>
        <w:pStyle w:val="BodyText"/>
      </w:pPr>
    </w:p>
    <w:p w:rsidR="00000000" w:rsidRPr="00E64632" w:rsidP="00E64632">
      <w:pPr>
        <w:pStyle w:val="Heading1"/>
      </w:pPr>
      <w:bookmarkStart w:id="12" w:name="O_110522"/>
      <w:bookmarkEnd w:id="12"/>
      <w:r w:rsidRPr="00E64632">
        <w:t>Unit Sector(s)</w:t>
      </w:r>
    </w:p>
    <w:tbl>
      <w:tblPr>
        <w:tblW w:w="0" w:type="auto"/>
        <w:tblLayout w:type="fixed"/>
        <w:tblCellMar>
          <w:left w:w="62" w:type="dxa"/>
          <w:right w:w="62" w:type="dxa"/>
        </w:tblCellMar>
        <w:tblLook w:val="0000"/>
      </w:tblPr>
      <w:tblGrid>
        <w:gridCol w:w="2567"/>
        <w:gridCol w:w="5955"/>
      </w:tblGrid>
      <w:tr w:rsidTr="0063452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r w:rsidRPr="00E64632">
              <w:t>Operational/technical</w:t>
            </w: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13" w:name="O_160187"/>
      <w:bookmarkEnd w:id="13"/>
      <w:r w:rsidRPr="00E64632">
        <w:t>Competency field</w:t>
      </w:r>
    </w:p>
    <w:tbl>
      <w:tblPr>
        <w:tblW w:w="0" w:type="auto"/>
        <w:tblLayout w:type="fixed"/>
        <w:tblCellMar>
          <w:left w:w="62" w:type="dxa"/>
          <w:right w:w="62" w:type="dxa"/>
        </w:tblCellMar>
        <w:tblLook w:val="0000"/>
      </w:tblPr>
      <w:tblGrid>
        <w:gridCol w:w="2784"/>
        <w:gridCol w:w="5738"/>
      </w:tblGrid>
      <w:tr w:rsidTr="006345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p>
        </w:tc>
      </w:tr>
    </w:tbl>
    <w:p w:rsidR="00000000" w:rsidRPr="00E64632" w:rsidP="00E64632">
      <w:pPr>
        <w:pStyle w:val="BodyText"/>
      </w:pPr>
    </w:p>
    <w:p w:rsidR="00000000" w:rsidRPr="00E64632" w:rsidP="00E64632">
      <w:pPr>
        <w:pStyle w:val="AllowPageBreak"/>
      </w:pPr>
    </w:p>
    <w:p w:rsidR="00000000" w:rsidRPr="00E64632" w:rsidP="00E64632">
      <w:pPr>
        <w:pStyle w:val="Heading1"/>
      </w:pPr>
      <w:bookmarkStart w:id="14" w:name="O_160186"/>
      <w:bookmarkEnd w:id="14"/>
      <w:r w:rsidRPr="00E64632">
        <w:t>Co-requisite units</w:t>
      </w:r>
    </w:p>
    <w:tbl>
      <w:tblPr>
        <w:tblW w:w="0" w:type="auto"/>
        <w:tblLayout w:type="fixed"/>
        <w:tblCellMar>
          <w:left w:w="62" w:type="dxa"/>
          <w:right w:w="62" w:type="dxa"/>
        </w:tblCellMar>
        <w:tblLook w:val="0000"/>
      </w:tblPr>
      <w:tblGrid>
        <w:gridCol w:w="2641"/>
        <w:gridCol w:w="1322"/>
        <w:gridCol w:w="4559"/>
      </w:tblGrid>
      <w:tr w:rsidTr="006345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r w:rsidRPr="00E646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45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632">
            <w:pPr>
              <w:pStyle w:val="BodyText"/>
              <w:rPr>
                <w:lang w:val="en-NZ"/>
              </w:rPr>
            </w:pPr>
          </w:p>
        </w:tc>
      </w:tr>
      <w:tr w:rsidTr="006345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632" w:rsidP="00E64632">
            <w:pPr>
              <w:pStyle w:val="BodyText"/>
            </w:pPr>
          </w:p>
        </w:tc>
      </w:tr>
    </w:tbl>
    <w:p w:rsidR="00000000" w:rsidRPr="00E64632" w:rsidP="00E64632">
      <w:pPr>
        <w:pStyle w:val="BodyText"/>
      </w:pPr>
    </w:p>
    <w:p w:rsidR="00000000" w:rsidRPr="00E64632" w:rsidP="00E64632"/>
    <w:sectPr w:rsidSect="00E646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529" w:rsidP="00634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29" w:rsidP="00E64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4529" w:rsidP="00E646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4529" w:rsidP="00E646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529" w:rsidP="006345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29" w:rsidP="00E64632">
    <w:pPr>
      <w:pStyle w:val="Header"/>
      <w:framePr w:wrap="around"/>
    </w:pPr>
    <w:r>
      <w:fldChar w:fldCharType="begin"/>
    </w:r>
    <w:r>
      <w:instrText xml:space="preserve"> TITLE   \* MERGEFORMAT </w:instrText>
    </w:r>
    <w:r>
      <w:fldChar w:fldCharType="separate"/>
    </w:r>
    <w:r>
      <w:t>PMC552095B Prepare for, install and repair ceramic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4529" w:rsidP="00E646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26A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26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6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4632"/>
    <w:pPr>
      <w:spacing w:before="360" w:after="60"/>
      <w:outlineLvl w:val="0"/>
    </w:pPr>
    <w:rPr>
      <w:sz w:val="32"/>
    </w:rPr>
  </w:style>
  <w:style w:type="paragraph" w:styleId="Heading2">
    <w:name w:val="heading 2"/>
    <w:basedOn w:val="HeadingBase"/>
    <w:next w:val="BodyText"/>
    <w:link w:val="Heading2Char"/>
    <w:qFormat/>
    <w:rsid w:val="00E64632"/>
    <w:pPr>
      <w:keepLines/>
      <w:spacing w:before="240" w:after="120"/>
      <w:outlineLvl w:val="1"/>
    </w:pPr>
    <w:rPr>
      <w:sz w:val="28"/>
      <w:szCs w:val="40"/>
    </w:rPr>
  </w:style>
  <w:style w:type="paragraph" w:styleId="Heading3">
    <w:name w:val="heading 3"/>
    <w:basedOn w:val="HeadingBase"/>
    <w:next w:val="BodyText"/>
    <w:link w:val="Heading3Char"/>
    <w:qFormat/>
    <w:rsid w:val="00E64632"/>
    <w:pPr>
      <w:spacing w:before="180" w:after="120"/>
      <w:outlineLvl w:val="2"/>
    </w:pPr>
    <w:rPr>
      <w:spacing w:val="-10"/>
      <w:kern w:val="32"/>
    </w:rPr>
  </w:style>
  <w:style w:type="paragraph" w:styleId="Heading4">
    <w:name w:val="heading 4"/>
    <w:basedOn w:val="HeadingBase"/>
    <w:next w:val="BodyText"/>
    <w:link w:val="Heading4Char"/>
    <w:qFormat/>
    <w:rsid w:val="00E64632"/>
    <w:pPr>
      <w:spacing w:before="160" w:after="120"/>
      <w:outlineLvl w:val="3"/>
    </w:pPr>
    <w:rPr>
      <w:sz w:val="22"/>
    </w:rPr>
  </w:style>
  <w:style w:type="paragraph" w:styleId="Heading5">
    <w:name w:val="heading 5"/>
    <w:basedOn w:val="HeadingBase"/>
    <w:next w:val="Normal"/>
    <w:link w:val="Heading5Char"/>
    <w:qFormat/>
    <w:rsid w:val="00E64632"/>
    <w:pPr>
      <w:spacing w:before="80"/>
      <w:outlineLvl w:val="4"/>
    </w:pPr>
    <w:rPr>
      <w:color w:val="918585"/>
      <w:sz w:val="20"/>
    </w:rPr>
  </w:style>
  <w:style w:type="paragraph" w:styleId="Heading6">
    <w:name w:val="heading 6"/>
    <w:basedOn w:val="HeadingBase"/>
    <w:next w:val="Normal"/>
    <w:link w:val="Heading6Char"/>
    <w:qFormat/>
    <w:rsid w:val="00E64632"/>
    <w:pPr>
      <w:spacing w:before="60"/>
      <w:outlineLvl w:val="5"/>
    </w:pPr>
    <w:rPr>
      <w:color w:val="918585"/>
      <w:sz w:val="20"/>
    </w:rPr>
  </w:style>
  <w:style w:type="paragraph" w:styleId="Heading7">
    <w:name w:val="heading 7"/>
    <w:basedOn w:val="Normal"/>
    <w:next w:val="Normal"/>
    <w:link w:val="Heading7Char"/>
    <w:qFormat/>
    <w:rsid w:val="00E64632"/>
    <w:pPr>
      <w:ind w:left="720"/>
      <w:outlineLvl w:val="6"/>
    </w:pPr>
    <w:rPr>
      <w:i/>
    </w:rPr>
  </w:style>
  <w:style w:type="paragraph" w:styleId="Heading8">
    <w:name w:val="heading 8"/>
    <w:basedOn w:val="Normal"/>
    <w:next w:val="Normal"/>
    <w:link w:val="Heading8Char"/>
    <w:qFormat/>
    <w:rsid w:val="00E64632"/>
    <w:pPr>
      <w:ind w:left="720"/>
      <w:outlineLvl w:val="7"/>
    </w:pPr>
    <w:rPr>
      <w:i/>
    </w:rPr>
  </w:style>
  <w:style w:type="paragraph" w:styleId="Heading9">
    <w:name w:val="heading 9"/>
    <w:basedOn w:val="Normal"/>
    <w:next w:val="Normal"/>
    <w:link w:val="Heading9Char"/>
    <w:qFormat/>
    <w:rsid w:val="00E64632"/>
    <w:pPr>
      <w:ind w:left="720"/>
      <w:outlineLvl w:val="8"/>
    </w:pPr>
    <w:rPr>
      <w:i/>
    </w:rPr>
  </w:style>
  <w:style w:type="character" w:default="1" w:styleId="DefaultParagraphFont">
    <w:name w:val="Default Paragraph Font"/>
    <w:uiPriority w:val="1"/>
    <w:unhideWhenUsed/>
    <w:rsid w:val="00E64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632"/>
  </w:style>
  <w:style w:type="character" w:customStyle="1" w:styleId="Heading1Char">
    <w:name w:val="Heading 1 Char"/>
    <w:basedOn w:val="DefaultParagraphFont"/>
    <w:link w:val="Heading1"/>
    <w:rsid w:val="00E64632"/>
    <w:rPr>
      <w:rFonts w:ascii="Times New Roman" w:eastAsia="Times New Roman" w:hAnsi="Times New Roman" w:cs="Times New Roman"/>
      <w:b/>
      <w:sz w:val="32"/>
      <w:szCs w:val="20"/>
      <w:lang w:eastAsia="en-US"/>
    </w:rPr>
  </w:style>
  <w:style w:type="paragraph" w:styleId="BodyText">
    <w:name w:val="Body Text"/>
    <w:basedOn w:val="Normal"/>
    <w:link w:val="BodyTextChar"/>
    <w:rsid w:val="00E646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632"/>
    <w:rPr>
      <w:rFonts w:ascii="Times New Roman" w:eastAsia="Times New Roman" w:hAnsi="Times New Roman" w:cs="Times New Roman"/>
      <w:sz w:val="24"/>
      <w:lang w:val="en-US" w:eastAsia="en-US"/>
    </w:rPr>
  </w:style>
  <w:style w:type="paragraph" w:styleId="Footer">
    <w:name w:val="footer"/>
    <w:basedOn w:val="Normal"/>
    <w:link w:val="FooterChar"/>
    <w:rsid w:val="00E64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632"/>
    <w:rPr>
      <w:rFonts w:ascii="Times New Roman" w:eastAsia="Times New Roman" w:hAnsi="Times New Roman" w:cs="Times New Roman"/>
      <w:sz w:val="16"/>
      <w:lang w:val="en-US" w:eastAsia="en-US"/>
    </w:rPr>
  </w:style>
  <w:style w:type="paragraph" w:styleId="List">
    <w:name w:val="List"/>
    <w:basedOn w:val="BodyText"/>
    <w:next w:val="BodyText"/>
    <w:rsid w:val="00E64632"/>
    <w:pPr>
      <w:tabs>
        <w:tab w:val="left" w:pos="340"/>
      </w:tabs>
      <w:spacing w:before="60" w:after="60"/>
      <w:ind w:left="340" w:hanging="340"/>
    </w:pPr>
  </w:style>
  <w:style w:type="paragraph" w:styleId="ListBullet">
    <w:name w:val="List Bullet"/>
    <w:basedOn w:val="List"/>
    <w:rsid w:val="00E64632"/>
    <w:pPr>
      <w:numPr>
        <w:numId w:val="12"/>
      </w:numPr>
      <w:tabs>
        <w:tab w:val="clear" w:pos="340"/>
      </w:tabs>
      <w:spacing w:before="40" w:after="40"/>
    </w:pPr>
  </w:style>
  <w:style w:type="character" w:customStyle="1" w:styleId="SpecialBold">
    <w:name w:val="Special Bold"/>
    <w:basedOn w:val="DefaultParagraphFont"/>
    <w:rsid w:val="00E64632"/>
    <w:rPr>
      <w:b/>
      <w:spacing w:val="0"/>
    </w:rPr>
  </w:style>
  <w:style w:type="paragraph" w:styleId="Header">
    <w:name w:val="header"/>
    <w:basedOn w:val="Normal"/>
    <w:link w:val="HeaderChar"/>
    <w:rsid w:val="00E64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6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4632"/>
    <w:pPr>
      <w:spacing w:before="240" w:after="120"/>
      <w:outlineLvl w:val="0"/>
    </w:pPr>
    <w:rPr>
      <w:rFonts w:ascii="Times New Roman" w:hAnsi="Times New Roman"/>
      <w:b/>
      <w:sz w:val="28"/>
    </w:rPr>
  </w:style>
  <w:style w:type="paragraph" w:customStyle="1" w:styleId="AllowPageBreak">
    <w:name w:val="AllowPageBreak"/>
    <w:rsid w:val="00E646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632"/>
    <w:pPr>
      <w:tabs>
        <w:tab w:val="left" w:pos="680"/>
      </w:tabs>
      <w:spacing w:before="60" w:after="60"/>
      <w:ind w:left="680" w:hanging="340"/>
    </w:pPr>
  </w:style>
  <w:style w:type="character" w:customStyle="1" w:styleId="Heading2Char">
    <w:name w:val="Heading 2 Char"/>
    <w:basedOn w:val="DefaultParagraphFont"/>
    <w:link w:val="Heading2"/>
    <w:rsid w:val="00E64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6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46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4632"/>
    <w:rPr>
      <w:rFonts w:ascii="Courier New" w:eastAsia="Times New Roman" w:hAnsi="Courier New" w:cs="Times New Roman"/>
      <w:i/>
      <w:szCs w:val="20"/>
      <w:lang w:val="en-US" w:eastAsia="en-US"/>
    </w:rPr>
  </w:style>
  <w:style w:type="paragraph" w:customStyle="1" w:styleId="HeadingBase">
    <w:name w:val="Heading Base"/>
    <w:rsid w:val="00E64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632"/>
    <w:pPr>
      <w:tabs>
        <w:tab w:val="right" w:leader="dot" w:pos="9072"/>
      </w:tabs>
      <w:ind w:left="567"/>
    </w:pPr>
    <w:rPr>
      <w:szCs w:val="22"/>
    </w:rPr>
  </w:style>
  <w:style w:type="paragraph" w:customStyle="1" w:styleId="TOCBase">
    <w:name w:val="TOC Base"/>
    <w:rsid w:val="00E64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632"/>
    <w:pPr>
      <w:tabs>
        <w:tab w:val="right" w:leader="dot" w:pos="9072"/>
      </w:tabs>
      <w:spacing w:before="40" w:after="40"/>
      <w:ind w:left="284"/>
    </w:pPr>
    <w:rPr>
      <w:rFonts w:ascii="Times New Roman" w:hAnsi="Times New Roman"/>
    </w:rPr>
  </w:style>
  <w:style w:type="paragraph" w:styleId="TOC1">
    <w:name w:val="toc 1"/>
    <w:basedOn w:val="TOCBase"/>
    <w:next w:val="Normal"/>
    <w:rsid w:val="00E646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632"/>
    <w:pPr>
      <w:spacing w:before="5040"/>
      <w:jc w:val="center"/>
    </w:pPr>
    <w:rPr>
      <w:sz w:val="48"/>
      <w:szCs w:val="72"/>
      <w:lang w:val="en-US"/>
    </w:rPr>
  </w:style>
  <w:style w:type="character" w:customStyle="1" w:styleId="TitleChar">
    <w:name w:val="Title Char"/>
    <w:basedOn w:val="DefaultParagraphFont"/>
    <w:link w:val="Title"/>
    <w:rsid w:val="00E64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632"/>
    <w:pPr>
      <w:tabs>
        <w:tab w:val="left" w:pos="3600"/>
        <w:tab w:val="left" w:pos="3958"/>
      </w:tabs>
    </w:pPr>
  </w:style>
  <w:style w:type="paragraph" w:customStyle="1" w:styleId="Note">
    <w:name w:val="Note"/>
    <w:basedOn w:val="BodyText"/>
    <w:rsid w:val="00E64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632"/>
    <w:pPr>
      <w:framePr w:wrap="auto" w:hAnchor="text" w:y="6049"/>
    </w:pPr>
    <w:rPr>
      <w:color w:val="000000"/>
      <w:sz w:val="40"/>
    </w:rPr>
  </w:style>
  <w:style w:type="paragraph" w:customStyle="1" w:styleId="TOCTitle">
    <w:name w:val="TOCTitle"/>
    <w:basedOn w:val="Heading1"/>
    <w:rsid w:val="00E64632"/>
    <w:pPr>
      <w:spacing w:after="240"/>
      <w:jc w:val="center"/>
      <w:outlineLvl w:val="9"/>
    </w:pPr>
    <w:rPr>
      <w:caps/>
    </w:rPr>
  </w:style>
  <w:style w:type="paragraph" w:customStyle="1" w:styleId="Version">
    <w:name w:val="Version"/>
    <w:rsid w:val="00E646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632"/>
    <w:pPr>
      <w:numPr>
        <w:numId w:val="13"/>
      </w:numPr>
      <w:tabs>
        <w:tab w:val="clear" w:pos="680"/>
      </w:tabs>
    </w:pPr>
  </w:style>
  <w:style w:type="paragraph" w:styleId="Index1">
    <w:name w:val="index 1"/>
    <w:basedOn w:val="Normal"/>
    <w:next w:val="Normal"/>
    <w:semiHidden/>
    <w:rsid w:val="00E64632"/>
    <w:pPr>
      <w:keepNext w:val="0"/>
      <w:tabs>
        <w:tab w:val="right" w:pos="4176"/>
      </w:tabs>
      <w:ind w:left="198" w:hanging="198"/>
    </w:pPr>
    <w:rPr>
      <w:rFonts w:ascii="Garamond" w:hAnsi="Garamond"/>
    </w:rPr>
  </w:style>
  <w:style w:type="paragraph" w:styleId="IndexHeading">
    <w:name w:val="index heading"/>
    <w:basedOn w:val="Normal"/>
    <w:next w:val="Index1"/>
    <w:semiHidden/>
    <w:rsid w:val="00E64632"/>
    <w:pPr>
      <w:spacing w:before="120" w:after="120"/>
    </w:pPr>
    <w:rPr>
      <w:rFonts w:ascii="Arial" w:hAnsi="Arial"/>
      <w:b/>
      <w:color w:val="918585"/>
      <w:sz w:val="24"/>
    </w:rPr>
  </w:style>
  <w:style w:type="paragraph" w:customStyle="1" w:styleId="Chapter">
    <w:name w:val="Chapter"/>
    <w:basedOn w:val="Normal"/>
    <w:rsid w:val="00E64632"/>
    <w:pPr>
      <w:spacing w:before="240"/>
    </w:pPr>
    <w:rPr>
      <w:rFonts w:ascii="Times New Roman" w:hAnsi="Times New Roman"/>
      <w:smallCaps/>
      <w:spacing w:val="80"/>
      <w:sz w:val="28"/>
    </w:rPr>
  </w:style>
  <w:style w:type="paragraph" w:customStyle="1" w:styleId="InChapter">
    <w:name w:val="InChapter"/>
    <w:basedOn w:val="Heading3"/>
    <w:rsid w:val="00E64632"/>
    <w:pPr>
      <w:spacing w:after="240"/>
      <w:outlineLvl w:val="9"/>
    </w:pPr>
    <w:rPr>
      <w:noProof/>
    </w:rPr>
  </w:style>
  <w:style w:type="paragraph" w:styleId="Index2">
    <w:name w:val="index 2"/>
    <w:basedOn w:val="Normal"/>
    <w:next w:val="Normal"/>
    <w:semiHidden/>
    <w:rsid w:val="00E64632"/>
    <w:pPr>
      <w:tabs>
        <w:tab w:val="right" w:pos="4176"/>
      </w:tabs>
      <w:ind w:left="568" w:hanging="284"/>
    </w:pPr>
    <w:rPr>
      <w:rFonts w:ascii="Garamond" w:hAnsi="Garamond"/>
    </w:rPr>
  </w:style>
  <w:style w:type="paragraph" w:customStyle="1" w:styleId="Byline">
    <w:name w:val="Byline"/>
    <w:rsid w:val="00E64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632"/>
    <w:pPr>
      <w:tabs>
        <w:tab w:val="clear" w:pos="3600"/>
        <w:tab w:val="clear" w:pos="3958"/>
      </w:tabs>
      <w:jc w:val="right"/>
    </w:pPr>
  </w:style>
  <w:style w:type="character" w:styleId="Emphasis">
    <w:name w:val="Emphasis"/>
    <w:basedOn w:val="DefaultParagraphFont"/>
    <w:qFormat/>
    <w:rsid w:val="00E64632"/>
    <w:rPr>
      <w:i/>
    </w:rPr>
  </w:style>
  <w:style w:type="paragraph" w:styleId="Caption">
    <w:name w:val="caption"/>
    <w:basedOn w:val="BodyText"/>
    <w:next w:val="Normal"/>
    <w:qFormat/>
    <w:rsid w:val="00E64632"/>
    <w:pPr>
      <w:framePr w:w="2268" w:hSpace="181" w:vSpace="181" w:wrap="around" w:vAnchor="text" w:hAnchor="page" w:x="1135" w:y="285" w:anchorLock="1"/>
    </w:pPr>
    <w:rPr>
      <w:i/>
    </w:rPr>
  </w:style>
  <w:style w:type="paragraph" w:customStyle="1" w:styleId="MiniTOCTitle">
    <w:name w:val="MiniTOCTitle"/>
    <w:basedOn w:val="Heading4"/>
    <w:rsid w:val="00E64632"/>
    <w:pPr>
      <w:spacing w:before="240"/>
      <w:outlineLvl w:val="9"/>
    </w:pPr>
    <w:rPr>
      <w:noProof/>
      <w:sz w:val="24"/>
    </w:rPr>
  </w:style>
  <w:style w:type="paragraph" w:customStyle="1" w:styleId="MiniTOCItem">
    <w:name w:val="MiniTOCItem"/>
    <w:basedOn w:val="ListBullet"/>
    <w:rsid w:val="00E64632"/>
    <w:pPr>
      <w:numPr>
        <w:numId w:val="0"/>
      </w:numPr>
      <w:tabs>
        <w:tab w:val="right" w:leader="dot" w:pos="6521"/>
      </w:tabs>
      <w:spacing w:before="0" w:after="0"/>
    </w:pPr>
  </w:style>
  <w:style w:type="paragraph" w:customStyle="1" w:styleId="TOFTitle">
    <w:name w:val="TOFTitle"/>
    <w:basedOn w:val="TOCTitle"/>
    <w:rsid w:val="00E64632"/>
  </w:style>
  <w:style w:type="paragraph" w:styleId="TableofFigures">
    <w:name w:val="table of figures"/>
    <w:basedOn w:val="Normal"/>
    <w:next w:val="Normal"/>
    <w:semiHidden/>
    <w:rsid w:val="00E64632"/>
    <w:pPr>
      <w:tabs>
        <w:tab w:val="right" w:leader="dot" w:pos="9072"/>
      </w:tabs>
      <w:ind w:left="970" w:hanging="403"/>
    </w:pPr>
    <w:rPr>
      <w:rFonts w:ascii="Times New Roman" w:hAnsi="Times New Roman"/>
      <w:b/>
    </w:rPr>
  </w:style>
  <w:style w:type="paragraph" w:styleId="ListNumber">
    <w:name w:val="List Number"/>
    <w:basedOn w:val="List"/>
    <w:rsid w:val="00E64632"/>
    <w:pPr>
      <w:numPr>
        <w:numId w:val="10"/>
      </w:numPr>
    </w:pPr>
  </w:style>
  <w:style w:type="character" w:customStyle="1" w:styleId="WingdingSymbols">
    <w:name w:val="Wingding Symbols"/>
    <w:rsid w:val="00E64632"/>
    <w:rPr>
      <w:rFonts w:ascii="Wingdings" w:hAnsi="Wingdings"/>
    </w:rPr>
  </w:style>
  <w:style w:type="paragraph" w:customStyle="1" w:styleId="TableHeading">
    <w:name w:val="Table Heading"/>
    <w:basedOn w:val="HeadingBase"/>
    <w:rsid w:val="00E64632"/>
    <w:pPr>
      <w:keepLines/>
      <w:pBdr>
        <w:bottom w:val="single" w:sz="6" w:space="1" w:color="918585"/>
      </w:pBdr>
      <w:spacing w:before="240"/>
    </w:pPr>
  </w:style>
  <w:style w:type="character" w:customStyle="1" w:styleId="HotSpot">
    <w:name w:val="HotSpot"/>
    <w:rsid w:val="00E64632"/>
    <w:rPr>
      <w:color w:val="0033CC"/>
      <w:u w:val="none"/>
    </w:rPr>
  </w:style>
  <w:style w:type="paragraph" w:customStyle="1" w:styleId="BodyTextRight">
    <w:name w:val="Body Text Right"/>
    <w:basedOn w:val="BodyText"/>
    <w:rsid w:val="00E64632"/>
    <w:pPr>
      <w:spacing w:before="0" w:after="0"/>
      <w:jc w:val="right"/>
    </w:pPr>
  </w:style>
  <w:style w:type="paragraph" w:styleId="Index3">
    <w:name w:val="index 3"/>
    <w:basedOn w:val="ListNumber2"/>
    <w:next w:val="Normal"/>
    <w:semiHidden/>
    <w:rsid w:val="00E64632"/>
    <w:pPr>
      <w:numPr>
        <w:numId w:val="0"/>
      </w:numPr>
      <w:tabs>
        <w:tab w:val="right" w:leader="dot" w:pos="4176"/>
      </w:tabs>
    </w:pPr>
  </w:style>
  <w:style w:type="paragraph" w:styleId="ListNumber2">
    <w:name w:val="List Number 2"/>
    <w:basedOn w:val="List2"/>
    <w:rsid w:val="00E64632"/>
    <w:pPr>
      <w:numPr>
        <w:numId w:val="9"/>
      </w:numPr>
      <w:tabs>
        <w:tab w:val="clear" w:pos="1060"/>
      </w:tabs>
    </w:pPr>
  </w:style>
  <w:style w:type="paragraph" w:customStyle="1" w:styleId="MarginNote">
    <w:name w:val="Margin Note"/>
    <w:basedOn w:val="BodyText"/>
    <w:rsid w:val="00E64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6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4632"/>
    <w:rPr>
      <w:sz w:val="32"/>
    </w:rPr>
  </w:style>
  <w:style w:type="paragraph" w:customStyle="1" w:styleId="HeadingProcedure">
    <w:name w:val="Heading Procedure"/>
    <w:basedOn w:val="HeadingBase"/>
    <w:next w:val="Normal"/>
    <w:rsid w:val="00E64632"/>
    <w:pPr>
      <w:tabs>
        <w:tab w:val="left" w:pos="0"/>
      </w:tabs>
      <w:spacing w:before="120" w:after="60"/>
    </w:pPr>
    <w:rPr>
      <w:i/>
      <w:color w:val="918585"/>
      <w:sz w:val="22"/>
    </w:rPr>
  </w:style>
  <w:style w:type="paragraph" w:customStyle="1" w:styleId="TableBodyText">
    <w:name w:val="Table Body Text"/>
    <w:basedOn w:val="BodyText"/>
    <w:rsid w:val="00E64632"/>
    <w:pPr>
      <w:spacing w:before="60" w:after="60"/>
    </w:pPr>
  </w:style>
  <w:style w:type="paragraph" w:styleId="ListContinue">
    <w:name w:val="List Continue"/>
    <w:basedOn w:val="List"/>
    <w:rsid w:val="00E64632"/>
    <w:pPr>
      <w:ind w:firstLine="0"/>
    </w:pPr>
  </w:style>
  <w:style w:type="paragraph" w:customStyle="1" w:styleId="ListNote">
    <w:name w:val="List Note"/>
    <w:basedOn w:val="List"/>
    <w:rsid w:val="00E64632"/>
    <w:pPr>
      <w:pBdr>
        <w:top w:val="single" w:sz="6" w:space="2" w:color="918585"/>
        <w:bottom w:val="single" w:sz="6" w:space="2" w:color="918585"/>
      </w:pBdr>
      <w:tabs>
        <w:tab w:val="left" w:pos="1021"/>
      </w:tabs>
      <w:ind w:firstLine="0"/>
    </w:pPr>
  </w:style>
  <w:style w:type="paragraph" w:customStyle="1" w:styleId="Warning">
    <w:name w:val="Warning"/>
    <w:basedOn w:val="BodyText"/>
    <w:rsid w:val="00E64632"/>
    <w:pPr>
      <w:shd w:val="clear" w:color="auto" w:fill="D9D9D9"/>
      <w:tabs>
        <w:tab w:val="left" w:pos="992"/>
      </w:tabs>
      <w:ind w:left="119" w:right="119"/>
    </w:pPr>
    <w:rPr>
      <w:sz w:val="20"/>
    </w:rPr>
  </w:style>
  <w:style w:type="paragraph" w:customStyle="1" w:styleId="MarginIcons">
    <w:name w:val="Margin Icons"/>
    <w:basedOn w:val="BodyText"/>
    <w:rsid w:val="00E64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632"/>
    <w:rPr>
      <w:rFonts w:ascii="Courier New" w:hAnsi="Courier New"/>
    </w:rPr>
  </w:style>
  <w:style w:type="paragraph" w:customStyle="1" w:styleId="NoteBullet">
    <w:name w:val="Note Bullet"/>
    <w:basedOn w:val="Note"/>
    <w:rsid w:val="00E64632"/>
    <w:pPr>
      <w:tabs>
        <w:tab w:val="clear" w:pos="680"/>
      </w:tabs>
      <w:spacing w:before="60" w:after="60"/>
    </w:pPr>
  </w:style>
  <w:style w:type="paragraph" w:customStyle="1" w:styleId="SubHeading2">
    <w:name w:val="SubHeading2"/>
    <w:basedOn w:val="HeadingBase"/>
    <w:rsid w:val="00E64632"/>
    <w:pPr>
      <w:spacing w:before="240" w:after="60"/>
    </w:pPr>
    <w:rPr>
      <w:sz w:val="20"/>
    </w:rPr>
  </w:style>
  <w:style w:type="paragraph" w:customStyle="1" w:styleId="SubHeading1">
    <w:name w:val="SubHeading1"/>
    <w:basedOn w:val="HeadingBase"/>
    <w:rsid w:val="00E64632"/>
    <w:pPr>
      <w:spacing w:before="240" w:after="60"/>
    </w:pPr>
    <w:rPr>
      <w:color w:val="918585"/>
      <w:sz w:val="22"/>
    </w:rPr>
  </w:style>
  <w:style w:type="paragraph" w:customStyle="1" w:styleId="SideHeading">
    <w:name w:val="Side Heading"/>
    <w:basedOn w:val="HeadingBase"/>
    <w:rsid w:val="00E64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632"/>
    <w:pPr>
      <w:tabs>
        <w:tab w:val="num" w:pos="360"/>
      </w:tabs>
    </w:pPr>
  </w:style>
  <w:style w:type="paragraph" w:styleId="PlainText">
    <w:name w:val="Plain Text"/>
    <w:basedOn w:val="Normal"/>
    <w:link w:val="PlainTextChar"/>
    <w:rsid w:val="00E64632"/>
    <w:rPr>
      <w:sz w:val="20"/>
    </w:rPr>
  </w:style>
  <w:style w:type="character" w:customStyle="1" w:styleId="PlainTextChar">
    <w:name w:val="Plain Text Char"/>
    <w:basedOn w:val="DefaultParagraphFont"/>
    <w:link w:val="PlainText"/>
    <w:rsid w:val="00E646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4632"/>
    <w:rPr>
      <w:b/>
      <w:smallCaps/>
    </w:rPr>
  </w:style>
  <w:style w:type="paragraph" w:customStyle="1" w:styleId="TableListNumber">
    <w:name w:val="Table List Number"/>
    <w:basedOn w:val="ListNumber"/>
    <w:rsid w:val="00E64632"/>
    <w:pPr>
      <w:numPr>
        <w:numId w:val="0"/>
      </w:numPr>
    </w:pPr>
  </w:style>
  <w:style w:type="paragraph" w:styleId="TOC4">
    <w:name w:val="toc 4"/>
    <w:basedOn w:val="TOCBase"/>
    <w:next w:val="Normal"/>
    <w:semiHidden/>
    <w:rsid w:val="00E64632"/>
    <w:pPr>
      <w:tabs>
        <w:tab w:val="right" w:leader="dot" w:pos="9071"/>
      </w:tabs>
      <w:ind w:left="1701"/>
    </w:pPr>
  </w:style>
  <w:style w:type="paragraph" w:customStyle="1" w:styleId="ListAlpha">
    <w:name w:val="List Alpha"/>
    <w:basedOn w:val="List"/>
    <w:rsid w:val="00E64632"/>
    <w:pPr>
      <w:numPr>
        <w:numId w:val="8"/>
      </w:numPr>
    </w:pPr>
  </w:style>
  <w:style w:type="paragraph" w:customStyle="1" w:styleId="ListAlpha2">
    <w:name w:val="List Alpha 2"/>
    <w:basedOn w:val="List2"/>
    <w:rsid w:val="00E64632"/>
    <w:pPr>
      <w:numPr>
        <w:numId w:val="7"/>
      </w:numPr>
    </w:pPr>
  </w:style>
  <w:style w:type="paragraph" w:styleId="List3">
    <w:name w:val="List 3"/>
    <w:basedOn w:val="BodyText"/>
    <w:rsid w:val="00E64632"/>
    <w:pPr>
      <w:tabs>
        <w:tab w:val="left" w:pos="1021"/>
      </w:tabs>
      <w:spacing w:before="60" w:after="60"/>
      <w:ind w:left="1020" w:hanging="340"/>
    </w:pPr>
  </w:style>
  <w:style w:type="paragraph" w:styleId="List4">
    <w:name w:val="List 4"/>
    <w:basedOn w:val="BodyText"/>
    <w:rsid w:val="00E64632"/>
    <w:pPr>
      <w:tabs>
        <w:tab w:val="left" w:pos="1361"/>
      </w:tabs>
      <w:spacing w:before="60" w:after="60"/>
      <w:ind w:left="1361" w:hanging="340"/>
    </w:pPr>
  </w:style>
  <w:style w:type="paragraph" w:styleId="List5">
    <w:name w:val="List 5"/>
    <w:basedOn w:val="BodyText"/>
    <w:rsid w:val="00E64632"/>
    <w:pPr>
      <w:tabs>
        <w:tab w:val="left" w:pos="1701"/>
      </w:tabs>
      <w:spacing w:before="60" w:after="60"/>
      <w:ind w:left="1701" w:hanging="340"/>
    </w:pPr>
  </w:style>
  <w:style w:type="paragraph" w:styleId="ListBullet3">
    <w:name w:val="List Bullet 3"/>
    <w:basedOn w:val="List3"/>
    <w:rsid w:val="00E64632"/>
    <w:pPr>
      <w:numPr>
        <w:numId w:val="14"/>
      </w:numPr>
      <w:tabs>
        <w:tab w:val="clear" w:pos="1021"/>
      </w:tabs>
      <w:ind w:left="1037" w:hanging="357"/>
    </w:pPr>
  </w:style>
  <w:style w:type="paragraph" w:styleId="ListBullet4">
    <w:name w:val="List Bullet 4"/>
    <w:basedOn w:val="List4"/>
    <w:rsid w:val="00E64632"/>
    <w:pPr>
      <w:numPr>
        <w:numId w:val="2"/>
      </w:numPr>
    </w:pPr>
  </w:style>
  <w:style w:type="paragraph" w:styleId="ListBullet5">
    <w:name w:val="List Bullet 5"/>
    <w:basedOn w:val="List5"/>
    <w:rsid w:val="00E64632"/>
    <w:pPr>
      <w:numPr>
        <w:numId w:val="3"/>
      </w:numPr>
    </w:pPr>
  </w:style>
  <w:style w:type="paragraph" w:styleId="ListContinue2">
    <w:name w:val="List Continue 2"/>
    <w:basedOn w:val="List2"/>
    <w:rsid w:val="00E64632"/>
    <w:pPr>
      <w:ind w:firstLine="0"/>
    </w:pPr>
  </w:style>
  <w:style w:type="paragraph" w:styleId="ListContinue3">
    <w:name w:val="List Continue 3"/>
    <w:basedOn w:val="List3"/>
    <w:rsid w:val="00E64632"/>
    <w:pPr>
      <w:ind w:left="1021" w:firstLine="0"/>
    </w:pPr>
  </w:style>
  <w:style w:type="paragraph" w:styleId="ListContinue4">
    <w:name w:val="List Continue 4"/>
    <w:basedOn w:val="List4"/>
    <w:rsid w:val="00E64632"/>
    <w:pPr>
      <w:ind w:firstLine="0"/>
    </w:pPr>
  </w:style>
  <w:style w:type="paragraph" w:styleId="ListContinue5">
    <w:name w:val="List Continue 5"/>
    <w:basedOn w:val="List5"/>
    <w:rsid w:val="00E64632"/>
    <w:pPr>
      <w:ind w:firstLine="0"/>
    </w:pPr>
  </w:style>
  <w:style w:type="paragraph" w:styleId="ListNumber3">
    <w:name w:val="List Number 3"/>
    <w:basedOn w:val="List3"/>
    <w:rsid w:val="00E64632"/>
    <w:pPr>
      <w:numPr>
        <w:numId w:val="4"/>
      </w:numPr>
    </w:pPr>
  </w:style>
  <w:style w:type="paragraph" w:styleId="ListNumber4">
    <w:name w:val="List Number 4"/>
    <w:basedOn w:val="List4"/>
    <w:rsid w:val="00E64632"/>
    <w:pPr>
      <w:numPr>
        <w:numId w:val="5"/>
      </w:numPr>
    </w:pPr>
  </w:style>
  <w:style w:type="paragraph" w:styleId="ListNumber5">
    <w:name w:val="List Number 5"/>
    <w:basedOn w:val="List5"/>
    <w:rsid w:val="00E64632"/>
    <w:pPr>
      <w:numPr>
        <w:numId w:val="6"/>
      </w:numPr>
    </w:pPr>
  </w:style>
  <w:style w:type="paragraph" w:styleId="BlockText">
    <w:name w:val="Block Text"/>
    <w:basedOn w:val="Normal"/>
    <w:rsid w:val="00E64632"/>
    <w:pPr>
      <w:spacing w:after="120"/>
      <w:ind w:left="1440" w:right="1440"/>
    </w:pPr>
  </w:style>
  <w:style w:type="character" w:customStyle="1" w:styleId="Subscript">
    <w:name w:val="Subscript"/>
    <w:basedOn w:val="DefaultParagraphFont"/>
    <w:rsid w:val="00E64632"/>
    <w:rPr>
      <w:sz w:val="16"/>
      <w:vertAlign w:val="subscript"/>
    </w:rPr>
  </w:style>
  <w:style w:type="character" w:customStyle="1" w:styleId="Superscript">
    <w:name w:val="Superscript"/>
    <w:basedOn w:val="DefaultParagraphFont"/>
    <w:rsid w:val="00E64632"/>
    <w:rPr>
      <w:sz w:val="16"/>
      <w:vertAlign w:val="superscript"/>
    </w:rPr>
  </w:style>
  <w:style w:type="character" w:customStyle="1" w:styleId="Symbols">
    <w:name w:val="Symbols"/>
    <w:basedOn w:val="DefaultParagraphFont"/>
    <w:rsid w:val="00E64632"/>
    <w:rPr>
      <w:rFonts w:ascii="Symbol" w:hAnsi="Symbol"/>
    </w:rPr>
  </w:style>
  <w:style w:type="character" w:customStyle="1" w:styleId="MenuOptions">
    <w:name w:val="Menu Options"/>
    <w:basedOn w:val="DefaultParagraphFont"/>
    <w:rsid w:val="00E64632"/>
    <w:rPr>
      <w:rFonts w:ascii="Arial Narrow" w:hAnsi="Arial Narrow"/>
      <w:smallCaps/>
    </w:rPr>
  </w:style>
  <w:style w:type="character" w:customStyle="1" w:styleId="Buttons">
    <w:name w:val="Buttons"/>
    <w:basedOn w:val="DefaultParagraphFont"/>
    <w:rsid w:val="00E64632"/>
    <w:rPr>
      <w:b/>
    </w:rPr>
  </w:style>
  <w:style w:type="character" w:customStyle="1" w:styleId="Underlined">
    <w:name w:val="Underlined"/>
    <w:basedOn w:val="DefaultParagraphFont"/>
    <w:rsid w:val="00E64632"/>
    <w:rPr>
      <w:u w:val="single"/>
    </w:rPr>
  </w:style>
  <w:style w:type="paragraph" w:customStyle="1" w:styleId="TableBodyTextRight">
    <w:name w:val="Table Body Text Right"/>
    <w:basedOn w:val="TableBodyText"/>
    <w:rsid w:val="00E64632"/>
    <w:pPr>
      <w:widowControl w:val="0"/>
      <w:autoSpaceDE w:val="0"/>
      <w:autoSpaceDN w:val="0"/>
      <w:adjustRightInd w:val="0"/>
      <w:jc w:val="right"/>
    </w:pPr>
    <w:rPr>
      <w:rFonts w:cs="Arial"/>
      <w:szCs w:val="18"/>
    </w:rPr>
  </w:style>
  <w:style w:type="paragraph" w:customStyle="1" w:styleId="CopyrightText">
    <w:name w:val="Copyright Text"/>
    <w:basedOn w:val="BodyText"/>
    <w:rsid w:val="00E64632"/>
    <w:rPr>
      <w:sz w:val="18"/>
    </w:rPr>
  </w:style>
  <w:style w:type="paragraph" w:customStyle="1" w:styleId="BodySmallRight">
    <w:name w:val="Body Small Right"/>
    <w:basedOn w:val="BodyTextRight"/>
    <w:rsid w:val="00E64632"/>
    <w:rPr>
      <w:sz w:val="18"/>
      <w:szCs w:val="18"/>
    </w:rPr>
  </w:style>
  <w:style w:type="paragraph" w:customStyle="1" w:styleId="MarginEdition">
    <w:name w:val="Margin Edition"/>
    <w:basedOn w:val="MarginNote"/>
    <w:rsid w:val="00E64632"/>
    <w:pPr>
      <w:spacing w:before="0" w:after="0"/>
    </w:pPr>
    <w:rPr>
      <w:rFonts w:ascii="Times New Roman" w:hAnsi="Times New Roman"/>
      <w:color w:val="999999"/>
    </w:rPr>
  </w:style>
  <w:style w:type="paragraph" w:customStyle="1" w:styleId="Spacer">
    <w:name w:val="Spacer"/>
    <w:basedOn w:val="Normal"/>
    <w:rsid w:val="00E64632"/>
    <w:rPr>
      <w:sz w:val="2"/>
      <w:szCs w:val="2"/>
    </w:rPr>
  </w:style>
  <w:style w:type="character" w:customStyle="1" w:styleId="Small">
    <w:name w:val="Small"/>
    <w:basedOn w:val="DefaultParagraphFont"/>
    <w:rsid w:val="00E64632"/>
    <w:rPr>
      <w:sz w:val="16"/>
    </w:rPr>
  </w:style>
  <w:style w:type="paragraph" w:customStyle="1" w:styleId="WideTable">
    <w:name w:val="Wide Table"/>
    <w:basedOn w:val="Normal"/>
    <w:rsid w:val="00E64632"/>
    <w:pPr>
      <w:ind w:left="-1418"/>
    </w:pPr>
    <w:rPr>
      <w:sz w:val="2"/>
      <w:szCs w:val="2"/>
    </w:rPr>
  </w:style>
  <w:style w:type="character" w:styleId="PageNumber">
    <w:name w:val="page number"/>
    <w:basedOn w:val="DefaultParagraphFont"/>
    <w:rsid w:val="00E64632"/>
  </w:style>
  <w:style w:type="paragraph" w:styleId="Quote">
    <w:name w:val="Quote"/>
    <w:basedOn w:val="Heading1"/>
    <w:link w:val="QuoteChar"/>
    <w:qFormat/>
    <w:rsid w:val="00E64632"/>
    <w:rPr>
      <w:b w:val="0"/>
      <w:sz w:val="72"/>
      <w:szCs w:val="72"/>
      <w:lang w:val="en-NZ"/>
    </w:rPr>
  </w:style>
  <w:style w:type="character" w:customStyle="1" w:styleId="QuoteChar">
    <w:name w:val="Quote Char"/>
    <w:basedOn w:val="DefaultParagraphFont"/>
    <w:link w:val="Quote"/>
    <w:rsid w:val="00E64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632"/>
    <w:pPr>
      <w:pageBreakBefore/>
    </w:pPr>
  </w:style>
  <w:style w:type="paragraph" w:customStyle="1" w:styleId="Border">
    <w:name w:val="Border"/>
    <w:basedOn w:val="Normal"/>
    <w:qFormat/>
    <w:rsid w:val="00E64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632"/>
    <w:rPr>
      <w:b/>
      <w:bCs/>
      <w:i/>
      <w:iCs/>
      <w:color w:val="auto"/>
    </w:rPr>
  </w:style>
  <w:style w:type="paragraph" w:styleId="IntenseQuote">
    <w:name w:val="Intense Quote"/>
    <w:basedOn w:val="Normal"/>
    <w:next w:val="Normal"/>
    <w:link w:val="IntenseQuoteChar"/>
    <w:uiPriority w:val="30"/>
    <w:qFormat/>
    <w:rsid w:val="00E64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6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4632"/>
    <w:rPr>
      <w:smallCaps/>
      <w:color w:val="auto"/>
      <w:u w:val="single"/>
    </w:rPr>
  </w:style>
  <w:style w:type="character" w:styleId="IntenseReference">
    <w:name w:val="Intense Reference"/>
    <w:basedOn w:val="DefaultParagraphFont"/>
    <w:uiPriority w:val="32"/>
    <w:qFormat/>
    <w:rsid w:val="00E64632"/>
    <w:rPr>
      <w:b/>
      <w:bCs/>
      <w:smallCaps/>
      <w:color w:val="auto"/>
      <w:spacing w:val="5"/>
      <w:u w:val="single"/>
    </w:rPr>
  </w:style>
  <w:style w:type="paragraph" w:customStyle="1" w:styleId="2ColumnHeading">
    <w:name w:val="2Column Heading"/>
    <w:basedOn w:val="BodyText"/>
    <w:qFormat/>
    <w:rsid w:val="00E64632"/>
    <w:pPr>
      <w:spacing w:after="60"/>
      <w:ind w:left="-2268"/>
    </w:pPr>
    <w:rPr>
      <w:b/>
    </w:rPr>
  </w:style>
  <w:style w:type="paragraph" w:customStyle="1" w:styleId="Heading1TOC">
    <w:name w:val="Heading1 TOC"/>
    <w:basedOn w:val="Normal"/>
    <w:qFormat/>
    <w:rsid w:val="00E64632"/>
    <w:pPr>
      <w:spacing w:before="240" w:after="120"/>
    </w:pPr>
    <w:rPr>
      <w:rFonts w:ascii="Times New Roman" w:hAnsi="Times New Roman"/>
      <w:b/>
      <w:sz w:val="32"/>
    </w:rPr>
  </w:style>
  <w:style w:type="paragraph" w:customStyle="1" w:styleId="Heading2TOC">
    <w:name w:val="Heading2 TOC"/>
    <w:basedOn w:val="Normal"/>
    <w:qFormat/>
    <w:rsid w:val="00E64632"/>
    <w:pPr>
      <w:spacing w:before="240" w:after="60"/>
    </w:pPr>
    <w:rPr>
      <w:rFonts w:ascii="Times New Roman" w:hAnsi="Times New Roman"/>
      <w:b/>
      <w:sz w:val="28"/>
    </w:rPr>
  </w:style>
  <w:style w:type="character" w:customStyle="1" w:styleId="Underline">
    <w:name w:val="Underline"/>
    <w:basedOn w:val="DefaultParagraphFont"/>
    <w:qFormat/>
    <w:rsid w:val="00E64632"/>
    <w:rPr>
      <w:u w:val="single"/>
    </w:rPr>
  </w:style>
  <w:style w:type="character" w:customStyle="1" w:styleId="BoldandItalics">
    <w:name w:val="Bold and Italics"/>
    <w:qFormat/>
    <w:rsid w:val="00E64632"/>
    <w:rPr>
      <w:b/>
      <w:i/>
      <w:u w:val="none"/>
    </w:rPr>
  </w:style>
  <w:style w:type="paragraph" w:styleId="BalloonText">
    <w:name w:val="Balloon Text"/>
    <w:basedOn w:val="Normal"/>
    <w:link w:val="BalloonTextChar"/>
    <w:rsid w:val="00E64632"/>
    <w:rPr>
      <w:rFonts w:ascii="Tahoma" w:hAnsi="Tahoma" w:cs="Tahoma"/>
      <w:sz w:val="16"/>
      <w:szCs w:val="16"/>
    </w:rPr>
  </w:style>
  <w:style w:type="character" w:customStyle="1" w:styleId="BalloonTextChar">
    <w:name w:val="Balloon Text Char"/>
    <w:basedOn w:val="DefaultParagraphFont"/>
    <w:link w:val="BalloonText"/>
    <w:rsid w:val="00E646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46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6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979</Words>
  <Characters>5989</Characters>
  <Application>Microsoft Office Word</Application>
  <DocSecurity>0</DocSecurity>
  <Lines>229</Lines>
  <Paragraphs>120</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PMC552095B Prepare for, install and repair ceramic fibre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2012-05-26T19:11:00Z</dcterms:created>
  <dcterms:modified xsi:type="dcterms:W3CDTF">2012-05-26T19:11:00Z</dcterms:modified>
</cp:coreProperties>
</file>