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987" w:rsidP="00EE3987">
      <w:pPr>
        <w:pStyle w:val="Title"/>
      </w:pPr>
      <w:r>
        <w:fldChar w:fldCharType="begin"/>
      </w:r>
      <w:r>
        <w:instrText xml:space="preserve"> TITLE   \* MERGEFORMAT </w:instrText>
      </w:r>
      <w:r>
        <w:fldChar w:fldCharType="separate"/>
      </w:r>
      <w:r>
        <w:t>PMC552093B Prepare for and cast refractory materials</w:t>
      </w:r>
      <w:r>
        <w:fldChar w:fldCharType="end"/>
      </w:r>
    </w:p>
    <w:p w:rsidR="00EE3987" w:rsidP="00EE3987">
      <w:pPr>
        <w:pStyle w:val="Version"/>
        <w:sectPr w:rsidSect="009E6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62DF" w:rsidP="009E62DF">
      <w:pPr>
        <w:pStyle w:val="SuperHeading"/>
      </w:pPr>
      <w:r w:rsidRPr="009E62DF">
        <w:t>PMC552093B Prepare for and cast refractory materials</w:t>
      </w:r>
    </w:p>
    <w:p w:rsidR="00000000" w:rsidRPr="009E62DF" w:rsidP="009E62DF">
      <w:pPr>
        <w:pStyle w:val="SuperHeading"/>
      </w:pPr>
    </w:p>
    <w:p w:rsidR="00000000" w:rsidRPr="009E62DF" w:rsidP="009E62DF">
      <w:pPr>
        <w:pStyle w:val="Heading1"/>
      </w:pPr>
      <w:bookmarkStart w:id="1" w:name="O_110487"/>
      <w:bookmarkEnd w:id="1"/>
      <w:r w:rsidRPr="009E62DF">
        <w:t>Modification History</w:t>
      </w:r>
    </w:p>
    <w:p w:rsidR="00000000" w:rsidRPr="009E62DF" w:rsidP="009E62DF">
      <w:pPr>
        <w:pStyle w:val="BodyText"/>
      </w:pPr>
      <w:r w:rsidRPr="009E62DF">
        <w:t>Not applicable.</w:t>
      </w:r>
    </w:p>
    <w:p w:rsidR="00000000" w:rsidRPr="009E62DF" w:rsidP="009E62DF">
      <w:pPr>
        <w:pStyle w:val="AllowPageBreak"/>
      </w:pPr>
    </w:p>
    <w:p w:rsidR="00000000" w:rsidRPr="009E62DF" w:rsidP="009E62DF">
      <w:pPr>
        <w:pStyle w:val="Heading1"/>
      </w:pPr>
      <w:bookmarkStart w:id="2" w:name="O_110488"/>
      <w:bookmarkEnd w:id="2"/>
      <w:r w:rsidRPr="009E62DF">
        <w:t>Unit Descriptor</w:t>
      </w:r>
    </w:p>
    <w:tbl>
      <w:tblPr>
        <w:tblW w:w="0" w:type="auto"/>
        <w:tblLayout w:type="fixed"/>
        <w:tblCellMar>
          <w:left w:w="62" w:type="dxa"/>
          <w:right w:w="62" w:type="dxa"/>
        </w:tblCellMar>
        <w:tblLook w:val="0000"/>
      </w:tblPr>
      <w:tblGrid>
        <w:gridCol w:w="2671"/>
        <w:gridCol w:w="5851"/>
      </w:tblGrid>
      <w:tr w:rsidTr="00EE398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This unit of competency covers the casting of refractory. It includes the use of tools and ancill</w:t>
            </w:r>
            <w:r w:rsidRPr="009E62DF">
              <w:t>ary equipment.</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3" w:name="O_110489"/>
      <w:bookmarkEnd w:id="3"/>
      <w:r w:rsidRPr="009E62DF">
        <w:t>Application of the Unit</w:t>
      </w:r>
    </w:p>
    <w:tbl>
      <w:tblPr>
        <w:tblW w:w="0" w:type="auto"/>
        <w:tblLayout w:type="fixed"/>
        <w:tblCellMar>
          <w:left w:w="62" w:type="dxa"/>
          <w:right w:w="62" w:type="dxa"/>
        </w:tblCellMar>
        <w:tblLook w:val="0000"/>
      </w:tblPr>
      <w:tblGrid>
        <w:gridCol w:w="2738"/>
        <w:gridCol w:w="5784"/>
      </w:tblGrid>
      <w:tr w:rsidTr="00EE3987">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 xml:space="preserve">This unit of competency applies to operators who install and/or repair refractory bricks and blocks. Cast refractory may be the total requirements for the job, </w:t>
            </w:r>
            <w:r w:rsidRPr="009E62DF">
              <w:t>or it may need to join to moulded or brick/block refractory.</w:t>
            </w:r>
          </w:p>
          <w:p w:rsidR="00000000" w:rsidRPr="009E62DF" w:rsidP="009E62DF">
            <w:pPr>
              <w:pStyle w:val="BodyText"/>
            </w:pPr>
            <w:r w:rsidRPr="009E62DF">
              <w:t xml:space="preserve">This unit does NOT cover the installation of brick/block or mouldable refractory, refer to </w:t>
            </w:r>
            <w:r w:rsidRPr="009E62DF">
              <w:rPr>
                <w:rStyle w:val="Emphasis"/>
              </w:rPr>
              <w:t>PMC552091B</w:t>
            </w:r>
            <w:r w:rsidRPr="009E62DF">
              <w:t xml:space="preserve"> </w:t>
            </w:r>
            <w:r w:rsidRPr="009E62DF">
              <w:rPr>
                <w:rStyle w:val="Emphasis"/>
              </w:rPr>
              <w:t>Prepare for</w:t>
            </w:r>
            <w:r w:rsidRPr="009E62DF">
              <w:t xml:space="preserve">, </w:t>
            </w:r>
            <w:r w:rsidRPr="009E62DF">
              <w:rPr>
                <w:rStyle w:val="Emphasis"/>
              </w:rPr>
              <w:t>install and repair refractory brickwork</w:t>
            </w:r>
            <w:r w:rsidRPr="009E62DF">
              <w:t>/</w:t>
            </w:r>
            <w:r w:rsidRPr="009E62DF">
              <w:rPr>
                <w:rStyle w:val="Emphasis"/>
              </w:rPr>
              <w:t>blockwork</w:t>
            </w:r>
            <w:r w:rsidRPr="009E62DF">
              <w:t xml:space="preserve"> or </w:t>
            </w:r>
            <w:r w:rsidRPr="009E62DF">
              <w:rPr>
                <w:rStyle w:val="Emphasis"/>
              </w:rPr>
              <w:t>PMC552092B</w:t>
            </w:r>
            <w:r w:rsidRPr="009E62DF">
              <w:t xml:space="preserve"> </w:t>
            </w:r>
            <w:r w:rsidRPr="009E62DF">
              <w:rPr>
                <w:rStyle w:val="Emphasis"/>
              </w:rPr>
              <w:t>Prepare for and install mouldable refractory materials</w:t>
            </w:r>
            <w:r w:rsidRPr="009E62DF">
              <w:t>.</w:t>
            </w:r>
          </w:p>
          <w:p w:rsidR="00000000" w:rsidRPr="009E62DF" w:rsidP="009E62DF">
            <w:pPr>
              <w:pStyle w:val="BodyText"/>
            </w:pPr>
            <w:r w:rsidRPr="009E62DF">
              <w:t>This unit includes the mixing of castable refractory.</w:t>
            </w:r>
          </w:p>
          <w:p w:rsidR="00000000" w:rsidRPr="009E62DF" w:rsidP="009E62DF">
            <w:pPr>
              <w:pStyle w:val="BodyText"/>
            </w:pPr>
            <w:r w:rsidRPr="009E62DF">
              <w:t>This competency will typically be performed by a team of operators working under direction and to a specification and/or procedures.</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4" w:name="O_110490"/>
      <w:bookmarkEnd w:id="4"/>
      <w:r w:rsidRPr="009E62DF">
        <w:t>Licensing/Regulatory Information</w:t>
      </w:r>
    </w:p>
    <w:p w:rsidR="00000000" w:rsidRPr="009E62DF" w:rsidP="009E62DF">
      <w:pPr>
        <w:pStyle w:val="BodyText"/>
      </w:pPr>
      <w:r w:rsidRPr="009E62DF">
        <w:t>Not applicable.</w:t>
      </w:r>
    </w:p>
    <w:p w:rsidR="00000000" w:rsidRPr="009E62DF" w:rsidP="009E62DF">
      <w:pPr>
        <w:pStyle w:val="AllowPageBreak"/>
      </w:pPr>
    </w:p>
    <w:p w:rsidR="00000000" w:rsidRPr="009E62DF" w:rsidP="009E62DF">
      <w:pPr>
        <w:pStyle w:val="Heading1"/>
      </w:pPr>
      <w:bookmarkStart w:id="5" w:name="O_110492"/>
      <w:bookmarkEnd w:id="5"/>
      <w:r w:rsidRPr="009E62DF">
        <w:t>Pre-Requisites</w:t>
      </w:r>
    </w:p>
    <w:tbl>
      <w:tblPr>
        <w:tblW w:w="0" w:type="auto"/>
        <w:tblLayout w:type="fixed"/>
        <w:tblCellMar>
          <w:left w:w="62" w:type="dxa"/>
          <w:right w:w="62" w:type="dxa"/>
        </w:tblCellMar>
        <w:tblLook w:val="0000"/>
      </w:tblPr>
      <w:tblGrid>
        <w:gridCol w:w="2775"/>
        <w:gridCol w:w="1295"/>
        <w:gridCol w:w="4452"/>
      </w:tblGrid>
      <w:tr w:rsidTr="00EE39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p>
        </w:tc>
      </w:tr>
      <w:tr w:rsidTr="00EE39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p>
        </w:tc>
      </w:tr>
      <w:tr w:rsidTr="00EE39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6" w:name="O_110491"/>
      <w:bookmarkEnd w:id="6"/>
      <w:r w:rsidRPr="009E62DF">
        <w:t>Employability Skills Information</w:t>
      </w:r>
    </w:p>
    <w:tbl>
      <w:tblPr>
        <w:tblW w:w="0" w:type="auto"/>
        <w:tblLayout w:type="fixed"/>
        <w:tblCellMar>
          <w:left w:w="62" w:type="dxa"/>
          <w:right w:w="62" w:type="dxa"/>
        </w:tblCellMar>
        <w:tblLook w:val="0000"/>
      </w:tblPr>
      <w:tblGrid>
        <w:gridCol w:w="2802"/>
        <w:gridCol w:w="5720"/>
      </w:tblGrid>
      <w:tr w:rsidTr="00EE39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This unit contains employability skills.</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7" w:name="O_110493"/>
      <w:bookmarkEnd w:id="7"/>
      <w:r w:rsidRPr="009E62DF">
        <w:t>Elements and Performance Criteria Pre-Content</w:t>
      </w:r>
    </w:p>
    <w:tbl>
      <w:tblPr>
        <w:tblW w:w="0" w:type="auto"/>
        <w:tblLayout w:type="fixed"/>
        <w:tblCellMar>
          <w:left w:w="62" w:type="dxa"/>
          <w:right w:w="62" w:type="dxa"/>
        </w:tblCellMar>
        <w:tblLook w:val="0000"/>
      </w:tblPr>
      <w:tblGrid>
        <w:gridCol w:w="2580"/>
        <w:gridCol w:w="5942"/>
      </w:tblGrid>
      <w:tr w:rsidTr="00EE398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Performance criteria describe the performance needed to demonstrate achievement of the element. Where bold italicised text is used, further info</w:t>
            </w:r>
            <w:r w:rsidRPr="009E62DF">
              <w:t>rmation is detailed in the required skills and knowledge section and the range statement. Assessment of performance is to be consistent with the evidence guide.</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8" w:name="O_110494"/>
      <w:bookmarkEnd w:id="8"/>
      <w:r w:rsidRPr="009E62DF">
        <w:t>Elements and Performance Criteria</w:t>
      </w:r>
    </w:p>
    <w:tbl>
      <w:tblPr>
        <w:tblW w:w="0" w:type="auto"/>
        <w:tblLayout w:type="fixed"/>
        <w:tblCellMar>
          <w:left w:w="62" w:type="dxa"/>
          <w:right w:w="62" w:type="dxa"/>
        </w:tblCellMar>
        <w:tblLook w:val="0000"/>
      </w:tblPr>
      <w:tblGrid>
        <w:gridCol w:w="2580"/>
        <w:gridCol w:w="5942"/>
      </w:tblGrid>
      <w:tr w:rsidTr="00EE398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PERFORMANCE CRITERIA</w:t>
            </w:r>
          </w:p>
        </w:tc>
      </w:tr>
      <w:tr w:rsidTr="00EE398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List"/>
              <w:rPr>
                <w:lang w:val="en-NZ"/>
              </w:rPr>
            </w:pPr>
            <w:r w:rsidRPr="009E62DF">
              <w:t>1.</w:t>
            </w:r>
            <w:r w:rsidRPr="009E62DF">
              <w:tab/>
            </w:r>
            <w:r w:rsidRPr="009E62DF">
              <w:t>Establish the suitability of resources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List2"/>
            </w:pPr>
            <w:r w:rsidRPr="009E62DF">
              <w:t>1.1.</w:t>
            </w:r>
            <w:r w:rsidRPr="009E62DF">
              <w:tab/>
              <w:t>Check all information conforms with resources</w:t>
            </w:r>
          </w:p>
          <w:p w:rsidR="00000000" w:rsidRPr="009E62DF" w:rsidP="009E62DF">
            <w:pPr>
              <w:pStyle w:val="List2"/>
            </w:pPr>
            <w:r w:rsidRPr="009E62DF">
              <w:t>1.2.</w:t>
            </w:r>
            <w:r w:rsidRPr="009E62DF">
              <w:tab/>
              <w:t>Record discrepancies in information</w:t>
            </w:r>
          </w:p>
          <w:p w:rsidR="00000000" w:rsidRPr="009E62DF" w:rsidP="009E62DF">
            <w:pPr>
              <w:pStyle w:val="List2"/>
            </w:pPr>
            <w:r w:rsidRPr="009E62DF">
              <w:t>1.3.</w:t>
            </w:r>
            <w:r w:rsidRPr="009E62DF">
              <w:tab/>
              <w:t>Report any inaccuracies in information to the person in charge</w:t>
            </w:r>
          </w:p>
          <w:p w:rsidR="00000000" w:rsidP="009E62DF">
            <w:pPr>
              <w:pStyle w:val="List2"/>
              <w:rPr>
                <w:lang w:val="en-NZ"/>
              </w:rPr>
            </w:pPr>
            <w:r w:rsidRPr="009E62DF">
              <w:t>1.4.</w:t>
            </w:r>
            <w:r w:rsidRPr="009E62DF">
              <w:tab/>
              <w:t>Identify and select materials, components, tools and</w:t>
            </w:r>
            <w:r w:rsidRPr="009E62DF">
              <w:t xml:space="preserve"> equipment</w:t>
            </w:r>
          </w:p>
        </w:tc>
      </w:tr>
      <w:tr w:rsidTr="00EE398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List"/>
              <w:rPr>
                <w:lang w:val="en-NZ"/>
              </w:rPr>
            </w:pPr>
            <w:r w:rsidRPr="009E62DF">
              <w:t>2.</w:t>
            </w:r>
            <w:r w:rsidRPr="009E62DF">
              <w:tab/>
              <w:t>Mix, place and compact refractory concrete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List2"/>
            </w:pPr>
            <w:r w:rsidRPr="009E62DF">
              <w:t>2.1.</w:t>
            </w:r>
            <w:r w:rsidRPr="009E62DF">
              <w:tab/>
              <w:t>Mix refractory concrete</w:t>
            </w:r>
          </w:p>
          <w:p w:rsidR="00000000" w:rsidRPr="009E62DF" w:rsidP="009E62DF">
            <w:pPr>
              <w:pStyle w:val="List2"/>
            </w:pPr>
            <w:r w:rsidRPr="009E62DF">
              <w:t>2.2.</w:t>
            </w:r>
            <w:r w:rsidRPr="009E62DF">
              <w:tab/>
              <w:t>Place and compact refractory concrete</w:t>
            </w:r>
          </w:p>
          <w:p w:rsidR="00000000" w:rsidRPr="009E62DF" w:rsidP="009E62DF">
            <w:pPr>
              <w:pStyle w:val="List2"/>
            </w:pPr>
            <w:r w:rsidRPr="009E62DF">
              <w:t>2.3.</w:t>
            </w:r>
            <w:r w:rsidRPr="009E62DF">
              <w:tab/>
              <w:t>Vibrate refractory concrete</w:t>
            </w:r>
          </w:p>
          <w:p w:rsidR="00000000" w:rsidRPr="009E62DF" w:rsidP="009E62DF">
            <w:pPr>
              <w:pStyle w:val="List2"/>
            </w:pPr>
            <w:r w:rsidRPr="009E62DF">
              <w:t>2.4.</w:t>
            </w:r>
            <w:r w:rsidRPr="009E62DF">
              <w:tab/>
              <w:t>Remove and reinstate damaged refractory concrete</w:t>
            </w:r>
          </w:p>
          <w:p w:rsidR="00000000" w:rsidRPr="009E62DF" w:rsidP="009E62DF">
            <w:pPr>
              <w:pStyle w:val="List2"/>
            </w:pPr>
            <w:r w:rsidRPr="009E62DF">
              <w:t>2.5.</w:t>
            </w:r>
            <w:r w:rsidRPr="009E62DF">
              <w:tab/>
            </w:r>
            <w:r w:rsidRPr="009E62DF">
              <w:t>Provide and remove temporary supports/formwork</w:t>
            </w:r>
          </w:p>
          <w:p w:rsidR="00000000" w:rsidP="009E62DF">
            <w:pPr>
              <w:pStyle w:val="List2"/>
              <w:rPr>
                <w:lang w:val="en-NZ"/>
              </w:rPr>
            </w:pPr>
            <w:r w:rsidRPr="009E62DF">
              <w:t>2.6.</w:t>
            </w:r>
            <w:r w:rsidRPr="009E62DF">
              <w:tab/>
              <w:t>Maintain tools and equipment</w:t>
            </w:r>
          </w:p>
        </w:tc>
      </w:tr>
      <w:tr w:rsidTr="00EE398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List"/>
              <w:rPr>
                <w:lang w:val="en-NZ"/>
              </w:rPr>
            </w:pPr>
            <w:r w:rsidRPr="009E62DF">
              <w:t>3.</w:t>
            </w:r>
            <w:r w:rsidRPr="009E62DF">
              <w:tab/>
              <w:t>Contribute to controlling hazards in work area</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List2"/>
            </w:pPr>
            <w:r w:rsidRPr="009E62DF">
              <w:t>3.1.</w:t>
            </w:r>
            <w:r w:rsidRPr="009E62DF">
              <w:tab/>
              <w:t>Identify hazards in work area</w:t>
            </w:r>
          </w:p>
          <w:p w:rsidR="00000000" w:rsidRPr="009E62DF" w:rsidP="009E62DF">
            <w:pPr>
              <w:pStyle w:val="List2"/>
            </w:pPr>
            <w:r w:rsidRPr="009E62DF">
              <w:t>3.2.</w:t>
            </w:r>
            <w:r w:rsidRPr="009E62DF">
              <w:tab/>
              <w:t>Assess risks arising from those hazards</w:t>
            </w:r>
          </w:p>
          <w:p w:rsidR="00000000" w:rsidRPr="009E62DF" w:rsidP="009E62DF">
            <w:pPr>
              <w:pStyle w:val="List2"/>
            </w:pPr>
            <w:r w:rsidRPr="009E62DF">
              <w:t>3.3.</w:t>
            </w:r>
            <w:r w:rsidRPr="009E62DF">
              <w:tab/>
              <w:t>Take appropriate action to control risk</w:t>
            </w:r>
            <w:r w:rsidRPr="009E62DF">
              <w:t>s in accordance with procedures and duty of care</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9" w:name="O_110495"/>
      <w:bookmarkEnd w:id="9"/>
      <w:r w:rsidRPr="009E62DF">
        <w:t>Required Skills and Knowledge</w:t>
      </w:r>
    </w:p>
    <w:tbl>
      <w:tblPr>
        <w:tblW w:w="0" w:type="auto"/>
        <w:tblLayout w:type="fixed"/>
        <w:tblCellMar>
          <w:left w:w="62" w:type="dxa"/>
          <w:right w:w="62" w:type="dxa"/>
        </w:tblCellMar>
        <w:tblLook w:val="0000"/>
      </w:tblPr>
      <w:tblGrid>
        <w:gridCol w:w="8522"/>
      </w:tblGrid>
      <w:tr w:rsidTr="00EE39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REQUIRED SKILLS AND KNOWLEDGE</w:t>
            </w:r>
          </w:p>
        </w:tc>
      </w:tr>
      <w:tr w:rsidTr="00EE39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This section describes the skills and knowledge required for this unit.</w:t>
            </w:r>
          </w:p>
        </w:tc>
      </w:tr>
      <w:tr w:rsidTr="00EE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Required skills</w:t>
            </w:r>
          </w:p>
        </w:tc>
      </w:tr>
      <w:tr w:rsidTr="00EE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Required skills include:</w:t>
            </w:r>
          </w:p>
          <w:p w:rsidR="00000000" w:rsidRPr="009E62DF" w:rsidP="009E62DF">
            <w:pPr>
              <w:pStyle w:val="ListBullet"/>
            </w:pPr>
            <w:r w:rsidRPr="009E62DF">
              <w:t>observing and monitoring work procedures</w:t>
            </w:r>
          </w:p>
          <w:p w:rsidR="00000000" w:rsidRPr="009E62DF" w:rsidP="009E62DF">
            <w:pPr>
              <w:pStyle w:val="ListBullet"/>
            </w:pPr>
            <w:r w:rsidRPr="009E62DF">
              <w:t>adjusting/correcting/responding to sources of information</w:t>
            </w:r>
          </w:p>
          <w:p w:rsidR="00000000" w:rsidRPr="009E62DF" w:rsidP="009E62DF">
            <w:pPr>
              <w:pStyle w:val="ListBullet"/>
            </w:pPr>
            <w:r w:rsidRPr="009E62DF">
              <w:t>identifying and solving problems</w:t>
            </w:r>
          </w:p>
          <w:p w:rsidR="00000000" w:rsidRPr="009E62DF" w:rsidP="009E62DF">
            <w:pPr>
              <w:pStyle w:val="ListBullet"/>
            </w:pPr>
            <w:r w:rsidRPr="009E62DF">
              <w:t>manual skills</w:t>
            </w:r>
          </w:p>
          <w:p w:rsidR="00000000" w:rsidRPr="009E62DF" w:rsidP="009E62DF">
            <w:pPr>
              <w:pStyle w:val="ListBullet"/>
            </w:pPr>
            <w:r w:rsidRPr="009E62DF">
              <w:t>physical handling skills</w:t>
            </w:r>
          </w:p>
          <w:p w:rsidR="00000000" w:rsidRPr="009E62DF" w:rsidP="009E62DF">
            <w:pPr>
              <w:pStyle w:val="ListBullet"/>
            </w:pPr>
            <w:r w:rsidRPr="009E62DF">
              <w:t>using tools and equipment correctly and safely</w:t>
            </w:r>
          </w:p>
          <w:p w:rsidR="00000000" w:rsidRPr="009E62DF" w:rsidP="009E62DF">
            <w:pPr>
              <w:pStyle w:val="ListBullet"/>
            </w:pPr>
            <w:r w:rsidRPr="009E62DF">
              <w:t>working in a team or individually, as</w:t>
            </w:r>
            <w:r w:rsidRPr="009E62DF">
              <w:t xml:space="preserve"> required</w:t>
            </w:r>
          </w:p>
          <w:p w:rsidR="00000000" w:rsidP="009E62DF">
            <w:pPr>
              <w:pStyle w:val="ListBullet"/>
              <w:rPr>
                <w:lang w:val="en-NZ"/>
              </w:rPr>
            </w:pPr>
            <w:r w:rsidRPr="009E62DF">
              <w:t>reading and numeracy to interpret workplace documents and technical information</w:t>
            </w:r>
          </w:p>
        </w:tc>
      </w:tr>
      <w:tr w:rsidTr="00EE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Required knowledge</w:t>
            </w:r>
          </w:p>
        </w:tc>
      </w:tr>
      <w:tr w:rsidTr="00EE39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Required knowledge includes:</w:t>
            </w:r>
          </w:p>
          <w:p w:rsidR="00000000" w:rsidRPr="009E62DF" w:rsidP="009E62DF">
            <w:pPr>
              <w:pStyle w:val="ListBullet"/>
            </w:pPr>
            <w:r w:rsidRPr="009E62DF">
              <w:t>methods of preparing background surfaces</w:t>
            </w:r>
          </w:p>
          <w:p w:rsidR="00000000" w:rsidRPr="009E62DF" w:rsidP="009E62DF">
            <w:pPr>
              <w:pStyle w:val="ListBullet"/>
            </w:pPr>
            <w:r w:rsidRPr="009E62DF">
              <w:t>types, uses and operation of tools and equipment</w:t>
            </w:r>
          </w:p>
          <w:p w:rsidR="00000000" w:rsidRPr="009E62DF" w:rsidP="009E62DF">
            <w:pPr>
              <w:pStyle w:val="ListBullet"/>
            </w:pPr>
            <w:r w:rsidRPr="009E62DF">
              <w:t>methods of compacting mat</w:t>
            </w:r>
            <w:r w:rsidRPr="009E62DF">
              <w:t>erials by hand and with vibration equipment</w:t>
            </w:r>
          </w:p>
          <w:p w:rsidR="00000000" w:rsidRPr="009E62DF" w:rsidP="009E62DF">
            <w:pPr>
              <w:pStyle w:val="ListBullet"/>
            </w:pPr>
            <w:r w:rsidRPr="009E62DF">
              <w:t>correct selection and use of anchors</w:t>
            </w:r>
          </w:p>
          <w:p w:rsidR="00000000" w:rsidRPr="009E62DF" w:rsidP="009E62DF">
            <w:pPr>
              <w:pStyle w:val="ListBullet"/>
            </w:pPr>
            <w:r w:rsidRPr="009E62DF">
              <w:t>types and methods of finishing the surface of the concrete</w:t>
            </w:r>
          </w:p>
          <w:p w:rsidR="00000000" w:rsidRPr="009E62DF" w:rsidP="009E62DF">
            <w:pPr>
              <w:pStyle w:val="ListBullet"/>
            </w:pPr>
            <w:r w:rsidRPr="009E62DF">
              <w:t>reasons for, and timing of, dedicated curing and heat-up programs and the consequences for the installed concrete if the program is not correctly followed</w:t>
            </w:r>
          </w:p>
          <w:p w:rsidR="00000000" w:rsidRPr="009E62DF" w:rsidP="009E62DF">
            <w:pPr>
              <w:pStyle w:val="ListBullet"/>
            </w:pPr>
            <w:r w:rsidRPr="009E62DF">
              <w:t>types and uses of temporary support/formwork</w:t>
            </w:r>
          </w:p>
          <w:p w:rsidR="00000000" w:rsidRPr="009E62DF" w:rsidP="009E62DF">
            <w:pPr>
              <w:pStyle w:val="ListBullet"/>
            </w:pPr>
            <w:r w:rsidRPr="009E62DF">
              <w:t>methods of protecting work during installation</w:t>
            </w:r>
          </w:p>
          <w:p w:rsidR="00000000" w:rsidRPr="009E62DF" w:rsidP="009E62DF">
            <w:pPr>
              <w:pStyle w:val="ListBullet"/>
            </w:pPr>
            <w:r w:rsidRPr="009E62DF">
              <w:t>reasons f</w:t>
            </w:r>
            <w:r w:rsidRPr="009E62DF">
              <w:t>or, and methods of, providing test panels</w:t>
            </w:r>
          </w:p>
          <w:p w:rsidR="00000000" w:rsidRPr="009E62DF" w:rsidP="009E62DF">
            <w:pPr>
              <w:pStyle w:val="ListBullet"/>
            </w:pPr>
            <w:r w:rsidRPr="009E62DF">
              <w:t>methods of cutting</w:t>
            </w:r>
          </w:p>
          <w:p w:rsidR="00000000" w:rsidRPr="009E62DF" w:rsidP="009E62DF">
            <w:pPr>
              <w:pStyle w:val="ListBullet"/>
            </w:pPr>
            <w:r w:rsidRPr="009E62DF">
              <w:t>safeguards to take during reinstatement</w:t>
            </w:r>
          </w:p>
          <w:p w:rsidR="00000000" w:rsidRPr="009E62DF" w:rsidP="009E62DF">
            <w:pPr>
              <w:pStyle w:val="ListBullet"/>
            </w:pPr>
            <w:r w:rsidRPr="009E62DF">
              <w:t>methods of removing damaged refractory</w:t>
            </w:r>
          </w:p>
          <w:p w:rsidR="00000000" w:rsidRPr="009E62DF" w:rsidP="009E62DF">
            <w:pPr>
              <w:pStyle w:val="ListBullet"/>
            </w:pPr>
            <w:r w:rsidRPr="009E62DF">
              <w:t>methods of keying and bonding new to existing refactories</w:t>
            </w:r>
          </w:p>
          <w:p w:rsidR="00000000" w:rsidRPr="009E62DF" w:rsidP="009E62DF">
            <w:pPr>
              <w:pStyle w:val="ListBullet"/>
            </w:pPr>
            <w:r w:rsidRPr="009E62DF">
              <w:t>reasons for, and methods of, obtaining seals between new a</w:t>
            </w:r>
            <w:r w:rsidRPr="009E62DF">
              <w:t>nd existing refractory</w:t>
            </w:r>
          </w:p>
          <w:p w:rsidR="00000000" w:rsidRPr="009E62DF" w:rsidP="009E62DF">
            <w:pPr>
              <w:pStyle w:val="ListBullet"/>
            </w:pPr>
            <w:r w:rsidRPr="009E62DF">
              <w:t>materials sources</w:t>
            </w:r>
          </w:p>
          <w:p w:rsidR="00000000" w:rsidRPr="009E62DF" w:rsidP="009E62DF">
            <w:pPr>
              <w:pStyle w:val="ListBullet"/>
            </w:pPr>
            <w:r w:rsidRPr="009E62DF">
              <w:t>materials types/categorisation</w:t>
            </w:r>
          </w:p>
          <w:p w:rsidR="00000000" w:rsidRPr="009E62DF" w:rsidP="009E62DF">
            <w:pPr>
              <w:pStyle w:val="ListBullet"/>
            </w:pPr>
            <w:r w:rsidRPr="009E62DF">
              <w:t>methods of production</w:t>
            </w:r>
          </w:p>
          <w:p w:rsidR="00000000" w:rsidRPr="009E62DF" w:rsidP="009E62DF">
            <w:pPr>
              <w:pStyle w:val="ListBullet"/>
            </w:pPr>
            <w:r w:rsidRPr="009E62DF">
              <w:t>familiarity with installation techniques</w:t>
            </w:r>
          </w:p>
          <w:p w:rsidR="00000000" w:rsidRPr="009E62DF" w:rsidP="009E62DF">
            <w:pPr>
              <w:pStyle w:val="ListBullet"/>
            </w:pPr>
            <w:r w:rsidRPr="009E62DF">
              <w:t>familiarity with principles of selection</w:t>
            </w:r>
          </w:p>
          <w:p w:rsidR="00000000" w:rsidRPr="009E62DF" w:rsidP="009E62DF">
            <w:pPr>
              <w:pStyle w:val="ListBullet"/>
            </w:pPr>
            <w:r w:rsidRPr="009E62DF">
              <w:t>familiarity with variety of applications</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10" w:name="O_110496"/>
      <w:bookmarkEnd w:id="10"/>
      <w:r w:rsidRPr="009E62DF">
        <w:t>Evidence Guide</w:t>
      </w:r>
    </w:p>
    <w:tbl>
      <w:tblPr>
        <w:tblW w:w="9570" w:type="dxa"/>
        <w:tblLayout w:type="fixed"/>
        <w:tblCellMar>
          <w:left w:w="62" w:type="dxa"/>
          <w:right w:w="62" w:type="dxa"/>
        </w:tblCellMar>
        <w:tblLook w:val="0000"/>
      </w:tblPr>
      <w:tblGrid>
        <w:gridCol w:w="3908"/>
        <w:gridCol w:w="5662"/>
      </w:tblGrid>
      <w:tr w:rsidTr="00EE39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EVIDENCE GUIDE</w:t>
            </w:r>
          </w:p>
        </w:tc>
      </w:tr>
      <w:tr w:rsidTr="00EE39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The Evidence Guide provides advice on assessment and must be read in conjunction with the performance criteria, required skills and knowledge, range statement and the Assessment Guidelines for the Training Package.</w:t>
            </w:r>
          </w:p>
        </w:tc>
      </w:tr>
      <w:tr w:rsidTr="00EE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The unit will be assessed in as holistic a manner as is practical and may be integrated with the assessment of other relevant units of competency.</w:t>
            </w:r>
          </w:p>
        </w:tc>
      </w:tr>
      <w:tr w:rsidTr="00EE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Competence must be demonstrated in the operation of all ancillary equipment to the level required for this unit of competency.</w:t>
            </w:r>
          </w:p>
          <w:p w:rsidR="00000000" w:rsidRPr="009E62DF" w:rsidP="009E62DF">
            <w:pPr>
              <w:pStyle w:val="BodyText"/>
            </w:pPr>
            <w:r w:rsidRPr="009E62DF">
              <w:t>Competence must be demonstrated in the ability to recognise and analyse potential situations requiring action and then in impleme</w:t>
            </w:r>
            <w:r w:rsidRPr="009E62DF">
              <w:t>nting appropriate corrective action.</w:t>
            </w:r>
          </w:p>
          <w:p w:rsidR="00000000" w:rsidRPr="009E62DF" w:rsidP="009E62DF">
            <w:pPr>
              <w:pStyle w:val="BodyText"/>
            </w:pPr>
            <w:r w:rsidRPr="009E62DF">
              <w:t>Consistent performance should be demonstrated. In particular look to see that:</w:t>
            </w:r>
          </w:p>
          <w:p w:rsidR="00000000" w:rsidRPr="009E62DF" w:rsidP="009E62DF">
            <w:pPr>
              <w:pStyle w:val="ListBullet"/>
            </w:pPr>
            <w:r w:rsidRPr="009E62DF">
              <w:t>refractory cement has the required degree of compaction (neither too little nor too much) and that the casting conforms to requirements</w:t>
            </w:r>
          </w:p>
          <w:p w:rsidR="00000000" w:rsidP="009E62DF">
            <w:pPr>
              <w:pStyle w:val="ListBullet"/>
              <w:rPr>
                <w:lang w:val="en-NZ"/>
              </w:rPr>
            </w:pPr>
            <w:r w:rsidRPr="009E62DF">
              <w:t>all</w:t>
            </w:r>
            <w:r w:rsidRPr="009E62DF">
              <w:t xml:space="preserve"> OHS requirements are followed. </w:t>
            </w:r>
          </w:p>
        </w:tc>
      </w:tr>
      <w:tr w:rsidTr="00EE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Assessment will require access to an operating plant over an extended period of time, or a suitable method of gathering evidence of operating ability over a range of situati</w:t>
            </w:r>
            <w:r w:rsidRPr="009E62DF">
              <w:t xml:space="preserve">ons. </w:t>
            </w:r>
          </w:p>
          <w:p w:rsidR="00000000" w:rsidRPr="009E62DF" w:rsidP="009E62DF">
            <w:pPr>
              <w:pStyle w:val="BodyText"/>
            </w:pPr>
            <w:r w:rsidRPr="009E62DF">
              <w:t>Assessment will occur over a range of situations which will include disruptions to normal, smooth operation.</w:t>
            </w:r>
          </w:p>
          <w:p w:rsidR="00000000" w:rsidP="009E62DF">
            <w:pPr>
              <w:pStyle w:val="BodyText"/>
              <w:rPr>
                <w:lang w:val="en-NZ"/>
              </w:rPr>
            </w:pPr>
            <w:r w:rsidRPr="009E62DF">
              <w:t>Simulation or case studies/scenarios may be required to allow for timely assessment of parts of this unit of competency. Simulation should be</w:t>
            </w:r>
            <w:r w:rsidRPr="009E62DF">
              <w:t xml:space="preserve"> based on the actual plant and will include 'walk-throughs' of the relevant competency components. A bank of scenarios/case studies/what ifs and questions will be required to probe the reasoning behind observable actions.</w:t>
            </w:r>
          </w:p>
        </w:tc>
      </w:tr>
      <w:tr w:rsidTr="00EE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 xml:space="preserve">In all plants it may be appropriate to assess this unit concurrently with relevant teamwork and communication units. </w:t>
            </w:r>
          </w:p>
          <w:p w:rsidR="00000000" w:rsidP="009E62DF">
            <w:pPr>
              <w:pStyle w:val="BodyText"/>
              <w:rPr>
                <w:lang w:val="en-NZ"/>
              </w:rPr>
            </w:pPr>
            <w:r w:rsidRPr="009E62DF">
              <w:t>It may be appropriate to assess this unit concurrently with other relevant units.</w:t>
            </w:r>
          </w:p>
        </w:tc>
      </w:tr>
      <w:tr w:rsidTr="00EE39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Assessment processe</w:t>
            </w:r>
            <w:r w:rsidRPr="009E62DF">
              <w:t>s and techniques must be culturally appropriate and appropriate to the language and literacy capacity of the candidate and the work being performed.</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11" w:name="O_110497"/>
      <w:bookmarkEnd w:id="11"/>
      <w:r w:rsidRPr="009E62DF">
        <w:t>Range Statement</w:t>
      </w:r>
    </w:p>
    <w:tbl>
      <w:tblPr>
        <w:tblW w:w="0" w:type="auto"/>
        <w:tblLayout w:type="fixed"/>
        <w:tblCellMar>
          <w:left w:w="62" w:type="dxa"/>
          <w:right w:w="62" w:type="dxa"/>
        </w:tblCellMar>
        <w:tblLook w:val="0000"/>
      </w:tblPr>
      <w:tblGrid>
        <w:gridCol w:w="3523"/>
        <w:gridCol w:w="4999"/>
      </w:tblGrid>
      <w:tr w:rsidTr="00EE39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RANGE STATEMENT</w:t>
            </w:r>
          </w:p>
        </w:tc>
      </w:tr>
      <w:tr w:rsidTr="00EE39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 xml:space="preserve">The range statement relates to the unit of competency </w:t>
            </w:r>
            <w:r w:rsidRPr="009E62DF">
              <w:t>as a whole. It allows for different work environments and situations that may affect performance. Bold italicised wording, if used in the performance criteria, is detailed below. Essential operating conditions that may be present with training and assessme</w:t>
            </w:r>
            <w:r w:rsidRPr="009E62DF">
              <w:t>nt (depending on the work situation, needs of the candidate, accessibility of the item, and local industry and regional contexts) may also be included.</w:t>
            </w:r>
          </w:p>
        </w:tc>
      </w:tr>
      <w:tr w:rsidTr="00EE39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t>All operations are performed in accordance with standard procedures and work instructions</w:t>
            </w:r>
          </w:p>
        </w:tc>
      </w:tr>
      <w:tr w:rsidTr="00EE39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Tools and equipment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Tools and equipment include:</w:t>
            </w:r>
          </w:p>
          <w:p w:rsidR="00000000" w:rsidRPr="009E62DF" w:rsidP="009E62DF">
            <w:pPr>
              <w:pStyle w:val="ListBullet"/>
            </w:pPr>
            <w:r w:rsidRPr="009E62DF">
              <w:t>mixers</w:t>
            </w:r>
          </w:p>
          <w:p w:rsidR="00000000" w:rsidRPr="009E62DF" w:rsidP="009E62DF">
            <w:pPr>
              <w:pStyle w:val="ListBullet"/>
            </w:pPr>
            <w:r w:rsidRPr="009E62DF">
              <w:t>pumps</w:t>
            </w:r>
          </w:p>
          <w:p w:rsidR="00000000" w:rsidRPr="009E62DF" w:rsidP="009E62DF">
            <w:pPr>
              <w:pStyle w:val="ListBullet"/>
            </w:pPr>
            <w:r w:rsidRPr="009E62DF">
              <w:t>vibrators</w:t>
            </w:r>
          </w:p>
          <w:p w:rsidR="00000000" w:rsidRPr="009E62DF" w:rsidP="009E62DF">
            <w:pPr>
              <w:pStyle w:val="ListBullet"/>
            </w:pPr>
            <w:r w:rsidRPr="009E62DF">
              <w:t>lifting equipment</w:t>
            </w:r>
          </w:p>
          <w:p w:rsidR="00000000" w:rsidP="009E62DF">
            <w:pPr>
              <w:pStyle w:val="ListBullet"/>
              <w:rPr>
                <w:lang w:val="en-NZ"/>
              </w:rPr>
            </w:pPr>
            <w:r w:rsidRPr="009E62DF">
              <w:t>equipment allowing access</w:t>
            </w:r>
          </w:p>
        </w:tc>
      </w:tr>
      <w:tr w:rsidTr="00EE39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Installation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Installation includes:</w:t>
            </w:r>
          </w:p>
          <w:p w:rsidR="00000000" w:rsidRPr="009E62DF" w:rsidP="009E62DF">
            <w:pPr>
              <w:pStyle w:val="ListBullet"/>
            </w:pPr>
            <w:r w:rsidRPr="009E62DF">
              <w:t xml:space="preserve">correct thickness </w:t>
            </w:r>
          </w:p>
          <w:p w:rsidR="00000000" w:rsidRPr="009E62DF" w:rsidP="009E62DF">
            <w:pPr>
              <w:pStyle w:val="ListBullet"/>
            </w:pPr>
            <w:r w:rsidRPr="009E62DF">
              <w:t>conforming to required curves and angles</w:t>
            </w:r>
          </w:p>
          <w:p w:rsidR="00000000" w:rsidRPr="009E62DF" w:rsidP="009E62DF">
            <w:pPr>
              <w:pStyle w:val="ListBullet"/>
            </w:pPr>
            <w:r w:rsidRPr="009E62DF">
              <w:t>maintaining cover</w:t>
            </w:r>
          </w:p>
          <w:p w:rsidR="00000000" w:rsidRPr="009E62DF" w:rsidP="009E62DF">
            <w:pPr>
              <w:pStyle w:val="ListBullet"/>
            </w:pPr>
            <w:r w:rsidRPr="009E62DF">
              <w:t>tying to structure</w:t>
            </w:r>
          </w:p>
          <w:p w:rsidR="00000000" w:rsidP="009E62DF">
            <w:pPr>
              <w:pStyle w:val="ListBullet"/>
              <w:rPr>
                <w:lang w:val="en-NZ"/>
              </w:rPr>
            </w:pPr>
            <w:r w:rsidRPr="009E62DF">
              <w:t xml:space="preserve">keying to existing refractory </w:t>
            </w:r>
          </w:p>
        </w:tc>
      </w:tr>
      <w:tr w:rsidTr="00EE3987">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Occupational health and safety</w:t>
            </w:r>
            <w:r w:rsidRPr="009E62DF">
              <w:t xml:space="preserve"> (</w:t>
            </w:r>
            <w:r w:rsidRPr="009E62DF">
              <w:rPr>
                <w:rStyle w:val="SpecialBold"/>
              </w:rPr>
              <w:t>OHS</w:t>
            </w:r>
            <w:r w:rsidRPr="009E62DF">
              <w: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All operations are subject to stringent OHS requirements and these must not be compromised at any time. Where there is an apparent conflict between performance criteria and OHS requiremen</w:t>
            </w:r>
            <w:r w:rsidRPr="009E62DF">
              <w:t>ts, the OHS requirements take precedence.</w:t>
            </w:r>
          </w:p>
        </w:tc>
      </w:tr>
    </w:tbl>
    <w:p w:rsidR="00EE3987" w:rsidP="009E62DF">
      <w:pPr>
        <w:pStyle w:val="BodyText"/>
      </w:pPr>
    </w:p>
    <w:p w:rsidR="00EE3987" w:rsidP="009E62DF">
      <w:pPr>
        <w:pStyle w:val="BodyText"/>
      </w:pPr>
    </w:p>
    <w:p w:rsidR="00000000" w:rsidRPr="009E62DF" w:rsidP="009E62DF">
      <w:pPr>
        <w:pStyle w:val="Heading1"/>
      </w:pPr>
      <w:bookmarkStart w:id="12" w:name="O_110498"/>
      <w:bookmarkEnd w:id="12"/>
      <w:r w:rsidRPr="009E62DF">
        <w:t>Unit Sector(s)</w:t>
      </w:r>
    </w:p>
    <w:tbl>
      <w:tblPr>
        <w:tblW w:w="0" w:type="auto"/>
        <w:tblLayout w:type="fixed"/>
        <w:tblCellMar>
          <w:left w:w="62" w:type="dxa"/>
          <w:right w:w="62" w:type="dxa"/>
        </w:tblCellMar>
        <w:tblLook w:val="0000"/>
      </w:tblPr>
      <w:tblGrid>
        <w:gridCol w:w="2567"/>
        <w:gridCol w:w="5955"/>
      </w:tblGrid>
      <w:tr w:rsidTr="00EE398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r w:rsidRPr="009E62DF">
              <w:t>Operational/technical</w:t>
            </w: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13" w:name="O_160183"/>
      <w:bookmarkEnd w:id="13"/>
      <w:r w:rsidRPr="009E62DF">
        <w:t>Competency field</w:t>
      </w:r>
    </w:p>
    <w:tbl>
      <w:tblPr>
        <w:tblW w:w="0" w:type="auto"/>
        <w:tblLayout w:type="fixed"/>
        <w:tblCellMar>
          <w:left w:w="62" w:type="dxa"/>
          <w:right w:w="62" w:type="dxa"/>
        </w:tblCellMar>
        <w:tblLook w:val="0000"/>
      </w:tblPr>
      <w:tblGrid>
        <w:gridCol w:w="2784"/>
        <w:gridCol w:w="5738"/>
      </w:tblGrid>
      <w:tr w:rsidTr="00EE39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p>
        </w:tc>
      </w:tr>
    </w:tbl>
    <w:p w:rsidR="00000000" w:rsidRPr="009E62DF" w:rsidP="009E62DF">
      <w:pPr>
        <w:pStyle w:val="BodyText"/>
      </w:pPr>
    </w:p>
    <w:p w:rsidR="00000000" w:rsidRPr="009E62DF" w:rsidP="009E62DF">
      <w:pPr>
        <w:pStyle w:val="AllowPageBreak"/>
      </w:pPr>
    </w:p>
    <w:p w:rsidR="00000000" w:rsidRPr="009E62DF" w:rsidP="009E62DF">
      <w:pPr>
        <w:pStyle w:val="Heading1"/>
      </w:pPr>
      <w:bookmarkStart w:id="14" w:name="O_160182"/>
      <w:bookmarkEnd w:id="14"/>
      <w:r w:rsidRPr="009E62DF">
        <w:t>Co-requisite units</w:t>
      </w:r>
    </w:p>
    <w:tbl>
      <w:tblPr>
        <w:tblW w:w="0" w:type="auto"/>
        <w:tblLayout w:type="fixed"/>
        <w:tblCellMar>
          <w:left w:w="62" w:type="dxa"/>
          <w:right w:w="62" w:type="dxa"/>
        </w:tblCellMar>
        <w:tblLook w:val="0000"/>
      </w:tblPr>
      <w:tblGrid>
        <w:gridCol w:w="2641"/>
        <w:gridCol w:w="1322"/>
        <w:gridCol w:w="4559"/>
      </w:tblGrid>
      <w:tr w:rsidTr="00EE39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r w:rsidRPr="009E62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p>
        </w:tc>
      </w:tr>
      <w:tr w:rsidTr="00EE39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2DF">
            <w:pPr>
              <w:pStyle w:val="BodyText"/>
              <w:rPr>
                <w:lang w:val="en-NZ"/>
              </w:rPr>
            </w:pPr>
          </w:p>
        </w:tc>
      </w:tr>
      <w:tr w:rsidTr="00EE39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2DF" w:rsidP="009E62DF">
            <w:pPr>
              <w:pStyle w:val="BodyText"/>
            </w:pPr>
          </w:p>
        </w:tc>
      </w:tr>
    </w:tbl>
    <w:p w:rsidR="00000000" w:rsidRPr="009E62DF" w:rsidP="009E62DF">
      <w:pPr>
        <w:pStyle w:val="BodyText"/>
      </w:pPr>
    </w:p>
    <w:p w:rsidR="00000000" w:rsidRPr="009E62DF" w:rsidP="009E62DF"/>
    <w:sectPr w:rsidSect="009E6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987" w:rsidP="00EE3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87" w:rsidP="009E6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3987" w:rsidP="009E6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3987" w:rsidP="009E6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987" w:rsidP="00EE39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87" w:rsidP="009E62DF">
    <w:pPr>
      <w:pStyle w:val="Header"/>
      <w:framePr w:wrap="around"/>
    </w:pPr>
    <w:r>
      <w:fldChar w:fldCharType="begin"/>
    </w:r>
    <w:r>
      <w:instrText xml:space="preserve"> TITLE   \* MERGEFORMAT </w:instrText>
    </w:r>
    <w:r>
      <w:fldChar w:fldCharType="separate"/>
    </w:r>
    <w:r>
      <w:t>PMC552093B Prepare for and cast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3987" w:rsidP="009E62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C69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F8D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2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2DF"/>
    <w:pPr>
      <w:spacing w:before="360" w:after="60"/>
      <w:outlineLvl w:val="0"/>
    </w:pPr>
    <w:rPr>
      <w:sz w:val="32"/>
    </w:rPr>
  </w:style>
  <w:style w:type="paragraph" w:styleId="Heading2">
    <w:name w:val="heading 2"/>
    <w:basedOn w:val="HeadingBase"/>
    <w:next w:val="BodyText"/>
    <w:link w:val="Heading2Char"/>
    <w:qFormat/>
    <w:rsid w:val="009E62DF"/>
    <w:pPr>
      <w:keepLines/>
      <w:spacing w:before="240" w:after="120"/>
      <w:outlineLvl w:val="1"/>
    </w:pPr>
    <w:rPr>
      <w:sz w:val="28"/>
      <w:szCs w:val="40"/>
    </w:rPr>
  </w:style>
  <w:style w:type="paragraph" w:styleId="Heading3">
    <w:name w:val="heading 3"/>
    <w:basedOn w:val="HeadingBase"/>
    <w:next w:val="BodyText"/>
    <w:link w:val="Heading3Char"/>
    <w:qFormat/>
    <w:rsid w:val="009E62DF"/>
    <w:pPr>
      <w:spacing w:before="180" w:after="120"/>
      <w:outlineLvl w:val="2"/>
    </w:pPr>
    <w:rPr>
      <w:spacing w:val="-10"/>
      <w:kern w:val="32"/>
    </w:rPr>
  </w:style>
  <w:style w:type="paragraph" w:styleId="Heading4">
    <w:name w:val="heading 4"/>
    <w:basedOn w:val="HeadingBase"/>
    <w:next w:val="BodyText"/>
    <w:link w:val="Heading4Char"/>
    <w:qFormat/>
    <w:rsid w:val="009E62DF"/>
    <w:pPr>
      <w:spacing w:before="160" w:after="120"/>
      <w:outlineLvl w:val="3"/>
    </w:pPr>
    <w:rPr>
      <w:sz w:val="22"/>
    </w:rPr>
  </w:style>
  <w:style w:type="paragraph" w:styleId="Heading5">
    <w:name w:val="heading 5"/>
    <w:basedOn w:val="HeadingBase"/>
    <w:next w:val="Normal"/>
    <w:link w:val="Heading5Char"/>
    <w:qFormat/>
    <w:rsid w:val="009E62DF"/>
    <w:pPr>
      <w:spacing w:before="80"/>
      <w:outlineLvl w:val="4"/>
    </w:pPr>
    <w:rPr>
      <w:color w:val="918585"/>
      <w:sz w:val="20"/>
    </w:rPr>
  </w:style>
  <w:style w:type="paragraph" w:styleId="Heading6">
    <w:name w:val="heading 6"/>
    <w:basedOn w:val="HeadingBase"/>
    <w:next w:val="Normal"/>
    <w:link w:val="Heading6Char"/>
    <w:qFormat/>
    <w:rsid w:val="009E62DF"/>
    <w:pPr>
      <w:spacing w:before="60"/>
      <w:outlineLvl w:val="5"/>
    </w:pPr>
    <w:rPr>
      <w:color w:val="918585"/>
      <w:sz w:val="20"/>
    </w:rPr>
  </w:style>
  <w:style w:type="paragraph" w:styleId="Heading7">
    <w:name w:val="heading 7"/>
    <w:basedOn w:val="Normal"/>
    <w:next w:val="Normal"/>
    <w:link w:val="Heading7Char"/>
    <w:qFormat/>
    <w:rsid w:val="009E62DF"/>
    <w:pPr>
      <w:ind w:left="720"/>
      <w:outlineLvl w:val="6"/>
    </w:pPr>
    <w:rPr>
      <w:i/>
    </w:rPr>
  </w:style>
  <w:style w:type="paragraph" w:styleId="Heading8">
    <w:name w:val="heading 8"/>
    <w:basedOn w:val="Normal"/>
    <w:next w:val="Normal"/>
    <w:link w:val="Heading8Char"/>
    <w:qFormat/>
    <w:rsid w:val="009E62DF"/>
    <w:pPr>
      <w:ind w:left="720"/>
      <w:outlineLvl w:val="7"/>
    </w:pPr>
    <w:rPr>
      <w:i/>
    </w:rPr>
  </w:style>
  <w:style w:type="paragraph" w:styleId="Heading9">
    <w:name w:val="heading 9"/>
    <w:basedOn w:val="Normal"/>
    <w:next w:val="Normal"/>
    <w:link w:val="Heading9Char"/>
    <w:qFormat/>
    <w:rsid w:val="009E62DF"/>
    <w:pPr>
      <w:ind w:left="720"/>
      <w:outlineLvl w:val="8"/>
    </w:pPr>
    <w:rPr>
      <w:i/>
    </w:rPr>
  </w:style>
  <w:style w:type="character" w:default="1" w:styleId="DefaultParagraphFont">
    <w:name w:val="Default Paragraph Font"/>
    <w:uiPriority w:val="1"/>
    <w:unhideWhenUsed/>
    <w:rsid w:val="009E6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2DF"/>
  </w:style>
  <w:style w:type="character" w:customStyle="1" w:styleId="Heading1Char">
    <w:name w:val="Heading 1 Char"/>
    <w:basedOn w:val="DefaultParagraphFont"/>
    <w:link w:val="Heading1"/>
    <w:rsid w:val="009E62DF"/>
    <w:rPr>
      <w:rFonts w:ascii="Times New Roman" w:eastAsia="Times New Roman" w:hAnsi="Times New Roman" w:cs="Times New Roman"/>
      <w:b/>
      <w:sz w:val="32"/>
      <w:szCs w:val="20"/>
      <w:lang w:eastAsia="en-US"/>
    </w:rPr>
  </w:style>
  <w:style w:type="paragraph" w:styleId="BodyText">
    <w:name w:val="Body Text"/>
    <w:basedOn w:val="Normal"/>
    <w:link w:val="BodyTextChar"/>
    <w:rsid w:val="009E6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2DF"/>
    <w:rPr>
      <w:rFonts w:ascii="Times New Roman" w:eastAsia="Times New Roman" w:hAnsi="Times New Roman" w:cs="Times New Roman"/>
      <w:sz w:val="24"/>
      <w:lang w:val="en-US" w:eastAsia="en-US"/>
    </w:rPr>
  </w:style>
  <w:style w:type="paragraph" w:styleId="Footer">
    <w:name w:val="footer"/>
    <w:basedOn w:val="Normal"/>
    <w:link w:val="FooterChar"/>
    <w:rsid w:val="009E6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2DF"/>
    <w:rPr>
      <w:rFonts w:ascii="Times New Roman" w:eastAsia="Times New Roman" w:hAnsi="Times New Roman" w:cs="Times New Roman"/>
      <w:sz w:val="16"/>
      <w:lang w:val="en-US" w:eastAsia="en-US"/>
    </w:rPr>
  </w:style>
  <w:style w:type="paragraph" w:styleId="List">
    <w:name w:val="List"/>
    <w:basedOn w:val="BodyText"/>
    <w:next w:val="BodyText"/>
    <w:rsid w:val="009E62DF"/>
    <w:pPr>
      <w:tabs>
        <w:tab w:val="left" w:pos="340"/>
      </w:tabs>
      <w:spacing w:before="60" w:after="60"/>
      <w:ind w:left="340" w:hanging="340"/>
    </w:pPr>
  </w:style>
  <w:style w:type="paragraph" w:styleId="ListBullet">
    <w:name w:val="List Bullet"/>
    <w:basedOn w:val="List"/>
    <w:rsid w:val="009E62DF"/>
    <w:pPr>
      <w:numPr>
        <w:numId w:val="12"/>
      </w:numPr>
      <w:tabs>
        <w:tab w:val="clear" w:pos="340"/>
      </w:tabs>
      <w:spacing w:before="40" w:after="40"/>
    </w:pPr>
  </w:style>
  <w:style w:type="character" w:customStyle="1" w:styleId="SpecialBold">
    <w:name w:val="Special Bold"/>
    <w:basedOn w:val="DefaultParagraphFont"/>
    <w:rsid w:val="009E62DF"/>
    <w:rPr>
      <w:b/>
      <w:spacing w:val="0"/>
    </w:rPr>
  </w:style>
  <w:style w:type="paragraph" w:styleId="Header">
    <w:name w:val="header"/>
    <w:basedOn w:val="Normal"/>
    <w:link w:val="HeaderChar"/>
    <w:rsid w:val="009E6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2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62DF"/>
    <w:rPr>
      <w:i/>
    </w:rPr>
  </w:style>
  <w:style w:type="paragraph" w:customStyle="1" w:styleId="SuperHeading">
    <w:name w:val="SuperHeading"/>
    <w:basedOn w:val="Normal"/>
    <w:rsid w:val="009E62DF"/>
    <w:pPr>
      <w:spacing w:before="240" w:after="120"/>
      <w:outlineLvl w:val="0"/>
    </w:pPr>
    <w:rPr>
      <w:rFonts w:ascii="Times New Roman" w:hAnsi="Times New Roman"/>
      <w:b/>
      <w:sz w:val="28"/>
    </w:rPr>
  </w:style>
  <w:style w:type="paragraph" w:customStyle="1" w:styleId="AllowPageBreak">
    <w:name w:val="AllowPageBreak"/>
    <w:rsid w:val="009E62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62DF"/>
    <w:pPr>
      <w:tabs>
        <w:tab w:val="left" w:pos="680"/>
      </w:tabs>
      <w:spacing w:before="60" w:after="60"/>
      <w:ind w:left="680" w:hanging="340"/>
    </w:pPr>
  </w:style>
  <w:style w:type="character" w:customStyle="1" w:styleId="Heading2Char">
    <w:name w:val="Heading 2 Char"/>
    <w:basedOn w:val="DefaultParagraphFont"/>
    <w:link w:val="Heading2"/>
    <w:rsid w:val="009E6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2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2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2DF"/>
    <w:rPr>
      <w:rFonts w:ascii="Courier New" w:eastAsia="Times New Roman" w:hAnsi="Courier New" w:cs="Times New Roman"/>
      <w:i/>
      <w:szCs w:val="20"/>
      <w:lang w:val="en-US" w:eastAsia="en-US"/>
    </w:rPr>
  </w:style>
  <w:style w:type="paragraph" w:customStyle="1" w:styleId="HeadingBase">
    <w:name w:val="Heading Base"/>
    <w:rsid w:val="009E6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2DF"/>
    <w:pPr>
      <w:tabs>
        <w:tab w:val="right" w:leader="dot" w:pos="9072"/>
      </w:tabs>
      <w:ind w:left="567"/>
    </w:pPr>
    <w:rPr>
      <w:szCs w:val="22"/>
    </w:rPr>
  </w:style>
  <w:style w:type="paragraph" w:customStyle="1" w:styleId="TOCBase">
    <w:name w:val="TOC Base"/>
    <w:rsid w:val="009E6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2DF"/>
    <w:pPr>
      <w:tabs>
        <w:tab w:val="right" w:leader="dot" w:pos="9072"/>
      </w:tabs>
      <w:spacing w:before="40" w:after="40"/>
      <w:ind w:left="284"/>
    </w:pPr>
    <w:rPr>
      <w:rFonts w:ascii="Times New Roman" w:hAnsi="Times New Roman"/>
    </w:rPr>
  </w:style>
  <w:style w:type="paragraph" w:styleId="TOC1">
    <w:name w:val="toc 1"/>
    <w:basedOn w:val="TOCBase"/>
    <w:next w:val="Normal"/>
    <w:rsid w:val="009E6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2DF"/>
    <w:pPr>
      <w:spacing w:before="5040"/>
      <w:jc w:val="center"/>
    </w:pPr>
    <w:rPr>
      <w:sz w:val="48"/>
      <w:szCs w:val="72"/>
      <w:lang w:val="en-US"/>
    </w:rPr>
  </w:style>
  <w:style w:type="character" w:customStyle="1" w:styleId="TitleChar">
    <w:name w:val="Title Char"/>
    <w:basedOn w:val="DefaultParagraphFont"/>
    <w:link w:val="Title"/>
    <w:rsid w:val="009E6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2DF"/>
    <w:pPr>
      <w:tabs>
        <w:tab w:val="left" w:pos="3600"/>
        <w:tab w:val="left" w:pos="3958"/>
      </w:tabs>
    </w:pPr>
  </w:style>
  <w:style w:type="paragraph" w:customStyle="1" w:styleId="Note">
    <w:name w:val="Note"/>
    <w:basedOn w:val="BodyText"/>
    <w:rsid w:val="009E6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2DF"/>
    <w:pPr>
      <w:framePr w:wrap="auto" w:hAnchor="text" w:y="6049"/>
    </w:pPr>
    <w:rPr>
      <w:color w:val="000000"/>
      <w:sz w:val="40"/>
    </w:rPr>
  </w:style>
  <w:style w:type="paragraph" w:customStyle="1" w:styleId="TOCTitle">
    <w:name w:val="TOCTitle"/>
    <w:basedOn w:val="Heading1"/>
    <w:rsid w:val="009E62DF"/>
    <w:pPr>
      <w:spacing w:after="240"/>
      <w:jc w:val="center"/>
      <w:outlineLvl w:val="9"/>
    </w:pPr>
    <w:rPr>
      <w:caps/>
    </w:rPr>
  </w:style>
  <w:style w:type="paragraph" w:customStyle="1" w:styleId="Version">
    <w:name w:val="Version"/>
    <w:rsid w:val="009E6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2DF"/>
    <w:pPr>
      <w:numPr>
        <w:numId w:val="13"/>
      </w:numPr>
      <w:tabs>
        <w:tab w:val="clear" w:pos="680"/>
      </w:tabs>
    </w:pPr>
  </w:style>
  <w:style w:type="paragraph" w:styleId="Index1">
    <w:name w:val="index 1"/>
    <w:basedOn w:val="Normal"/>
    <w:next w:val="Normal"/>
    <w:semiHidden/>
    <w:rsid w:val="009E62DF"/>
    <w:pPr>
      <w:keepNext w:val="0"/>
      <w:tabs>
        <w:tab w:val="right" w:pos="4176"/>
      </w:tabs>
      <w:ind w:left="198" w:hanging="198"/>
    </w:pPr>
    <w:rPr>
      <w:rFonts w:ascii="Garamond" w:hAnsi="Garamond"/>
    </w:rPr>
  </w:style>
  <w:style w:type="paragraph" w:styleId="IndexHeading">
    <w:name w:val="index heading"/>
    <w:basedOn w:val="Normal"/>
    <w:next w:val="Index1"/>
    <w:semiHidden/>
    <w:rsid w:val="009E62DF"/>
    <w:pPr>
      <w:spacing w:before="120" w:after="120"/>
    </w:pPr>
    <w:rPr>
      <w:rFonts w:ascii="Arial" w:hAnsi="Arial"/>
      <w:b/>
      <w:color w:val="918585"/>
      <w:sz w:val="24"/>
    </w:rPr>
  </w:style>
  <w:style w:type="paragraph" w:customStyle="1" w:styleId="Chapter">
    <w:name w:val="Chapter"/>
    <w:basedOn w:val="Normal"/>
    <w:rsid w:val="009E62DF"/>
    <w:pPr>
      <w:spacing w:before="240"/>
    </w:pPr>
    <w:rPr>
      <w:rFonts w:ascii="Times New Roman" w:hAnsi="Times New Roman"/>
      <w:smallCaps/>
      <w:spacing w:val="80"/>
      <w:sz w:val="28"/>
    </w:rPr>
  </w:style>
  <w:style w:type="paragraph" w:customStyle="1" w:styleId="InChapter">
    <w:name w:val="InChapter"/>
    <w:basedOn w:val="Heading3"/>
    <w:rsid w:val="009E62DF"/>
    <w:pPr>
      <w:spacing w:after="240"/>
      <w:outlineLvl w:val="9"/>
    </w:pPr>
    <w:rPr>
      <w:noProof/>
    </w:rPr>
  </w:style>
  <w:style w:type="paragraph" w:styleId="Index2">
    <w:name w:val="index 2"/>
    <w:basedOn w:val="Normal"/>
    <w:next w:val="Normal"/>
    <w:semiHidden/>
    <w:rsid w:val="009E62DF"/>
    <w:pPr>
      <w:tabs>
        <w:tab w:val="right" w:pos="4176"/>
      </w:tabs>
      <w:ind w:left="568" w:hanging="284"/>
    </w:pPr>
    <w:rPr>
      <w:rFonts w:ascii="Garamond" w:hAnsi="Garamond"/>
    </w:rPr>
  </w:style>
  <w:style w:type="paragraph" w:customStyle="1" w:styleId="Byline">
    <w:name w:val="Byline"/>
    <w:rsid w:val="009E6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2DF"/>
    <w:pPr>
      <w:tabs>
        <w:tab w:val="clear" w:pos="3600"/>
        <w:tab w:val="clear" w:pos="3958"/>
      </w:tabs>
      <w:jc w:val="right"/>
    </w:pPr>
  </w:style>
  <w:style w:type="paragraph" w:styleId="Caption">
    <w:name w:val="caption"/>
    <w:basedOn w:val="BodyText"/>
    <w:next w:val="Normal"/>
    <w:qFormat/>
    <w:rsid w:val="009E62DF"/>
    <w:pPr>
      <w:framePr w:w="2268" w:hSpace="181" w:vSpace="181" w:wrap="around" w:vAnchor="text" w:hAnchor="page" w:x="1135" w:y="285" w:anchorLock="1"/>
    </w:pPr>
    <w:rPr>
      <w:i/>
    </w:rPr>
  </w:style>
  <w:style w:type="paragraph" w:customStyle="1" w:styleId="MiniTOCTitle">
    <w:name w:val="MiniTOCTitle"/>
    <w:basedOn w:val="Heading4"/>
    <w:rsid w:val="009E62DF"/>
    <w:pPr>
      <w:spacing w:before="240"/>
      <w:outlineLvl w:val="9"/>
    </w:pPr>
    <w:rPr>
      <w:noProof/>
      <w:sz w:val="24"/>
    </w:rPr>
  </w:style>
  <w:style w:type="paragraph" w:customStyle="1" w:styleId="MiniTOCItem">
    <w:name w:val="MiniTOCItem"/>
    <w:basedOn w:val="ListBullet"/>
    <w:rsid w:val="009E62DF"/>
    <w:pPr>
      <w:numPr>
        <w:numId w:val="0"/>
      </w:numPr>
      <w:tabs>
        <w:tab w:val="right" w:leader="dot" w:pos="6521"/>
      </w:tabs>
      <w:spacing w:before="0" w:after="0"/>
    </w:pPr>
  </w:style>
  <w:style w:type="paragraph" w:customStyle="1" w:styleId="TOFTitle">
    <w:name w:val="TOFTitle"/>
    <w:basedOn w:val="TOCTitle"/>
    <w:rsid w:val="009E62DF"/>
  </w:style>
  <w:style w:type="paragraph" w:styleId="TableofFigures">
    <w:name w:val="table of figures"/>
    <w:basedOn w:val="Normal"/>
    <w:next w:val="Normal"/>
    <w:semiHidden/>
    <w:rsid w:val="009E62DF"/>
    <w:pPr>
      <w:tabs>
        <w:tab w:val="right" w:leader="dot" w:pos="9072"/>
      </w:tabs>
      <w:ind w:left="970" w:hanging="403"/>
    </w:pPr>
    <w:rPr>
      <w:rFonts w:ascii="Times New Roman" w:hAnsi="Times New Roman"/>
      <w:b/>
    </w:rPr>
  </w:style>
  <w:style w:type="paragraph" w:styleId="ListNumber">
    <w:name w:val="List Number"/>
    <w:basedOn w:val="List"/>
    <w:rsid w:val="009E62DF"/>
    <w:pPr>
      <w:numPr>
        <w:numId w:val="10"/>
      </w:numPr>
    </w:pPr>
  </w:style>
  <w:style w:type="character" w:customStyle="1" w:styleId="WingdingSymbols">
    <w:name w:val="Wingding Symbols"/>
    <w:rsid w:val="009E62DF"/>
    <w:rPr>
      <w:rFonts w:ascii="Wingdings" w:hAnsi="Wingdings"/>
    </w:rPr>
  </w:style>
  <w:style w:type="paragraph" w:customStyle="1" w:styleId="TableHeading">
    <w:name w:val="Table Heading"/>
    <w:basedOn w:val="HeadingBase"/>
    <w:rsid w:val="009E62DF"/>
    <w:pPr>
      <w:keepLines/>
      <w:pBdr>
        <w:bottom w:val="single" w:sz="6" w:space="1" w:color="918585"/>
      </w:pBdr>
      <w:spacing w:before="240"/>
    </w:pPr>
  </w:style>
  <w:style w:type="character" w:customStyle="1" w:styleId="HotSpot">
    <w:name w:val="HotSpot"/>
    <w:rsid w:val="009E62DF"/>
    <w:rPr>
      <w:color w:val="0033CC"/>
      <w:u w:val="none"/>
    </w:rPr>
  </w:style>
  <w:style w:type="paragraph" w:customStyle="1" w:styleId="BodyTextRight">
    <w:name w:val="Body Text Right"/>
    <w:basedOn w:val="BodyText"/>
    <w:rsid w:val="009E62DF"/>
    <w:pPr>
      <w:spacing w:before="0" w:after="0"/>
      <w:jc w:val="right"/>
    </w:pPr>
  </w:style>
  <w:style w:type="paragraph" w:styleId="Index3">
    <w:name w:val="index 3"/>
    <w:basedOn w:val="ListNumber2"/>
    <w:next w:val="Normal"/>
    <w:semiHidden/>
    <w:rsid w:val="009E62DF"/>
    <w:pPr>
      <w:numPr>
        <w:numId w:val="0"/>
      </w:numPr>
      <w:tabs>
        <w:tab w:val="right" w:leader="dot" w:pos="4176"/>
      </w:tabs>
    </w:pPr>
  </w:style>
  <w:style w:type="paragraph" w:styleId="ListNumber2">
    <w:name w:val="List Number 2"/>
    <w:basedOn w:val="List2"/>
    <w:rsid w:val="009E62DF"/>
    <w:pPr>
      <w:numPr>
        <w:numId w:val="9"/>
      </w:numPr>
      <w:tabs>
        <w:tab w:val="clear" w:pos="1060"/>
      </w:tabs>
    </w:pPr>
  </w:style>
  <w:style w:type="paragraph" w:customStyle="1" w:styleId="MarginNote">
    <w:name w:val="Margin Note"/>
    <w:basedOn w:val="BodyText"/>
    <w:rsid w:val="009E6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2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2DF"/>
    <w:rPr>
      <w:sz w:val="32"/>
    </w:rPr>
  </w:style>
  <w:style w:type="paragraph" w:customStyle="1" w:styleId="HeadingProcedure">
    <w:name w:val="Heading Procedure"/>
    <w:basedOn w:val="HeadingBase"/>
    <w:next w:val="Normal"/>
    <w:rsid w:val="009E62DF"/>
    <w:pPr>
      <w:tabs>
        <w:tab w:val="left" w:pos="0"/>
      </w:tabs>
      <w:spacing w:before="120" w:after="60"/>
    </w:pPr>
    <w:rPr>
      <w:i/>
      <w:color w:val="918585"/>
      <w:sz w:val="22"/>
    </w:rPr>
  </w:style>
  <w:style w:type="paragraph" w:customStyle="1" w:styleId="TableBodyText">
    <w:name w:val="Table Body Text"/>
    <w:basedOn w:val="BodyText"/>
    <w:rsid w:val="009E62DF"/>
    <w:pPr>
      <w:spacing w:before="60" w:after="60"/>
    </w:pPr>
  </w:style>
  <w:style w:type="paragraph" w:styleId="ListContinue">
    <w:name w:val="List Continue"/>
    <w:basedOn w:val="List"/>
    <w:rsid w:val="009E62DF"/>
    <w:pPr>
      <w:ind w:firstLine="0"/>
    </w:pPr>
  </w:style>
  <w:style w:type="paragraph" w:customStyle="1" w:styleId="ListNote">
    <w:name w:val="List Note"/>
    <w:basedOn w:val="List"/>
    <w:rsid w:val="009E62DF"/>
    <w:pPr>
      <w:pBdr>
        <w:top w:val="single" w:sz="6" w:space="2" w:color="918585"/>
        <w:bottom w:val="single" w:sz="6" w:space="2" w:color="918585"/>
      </w:pBdr>
      <w:tabs>
        <w:tab w:val="left" w:pos="1021"/>
      </w:tabs>
      <w:ind w:firstLine="0"/>
    </w:pPr>
  </w:style>
  <w:style w:type="paragraph" w:customStyle="1" w:styleId="Warning">
    <w:name w:val="Warning"/>
    <w:basedOn w:val="BodyText"/>
    <w:rsid w:val="009E62DF"/>
    <w:pPr>
      <w:shd w:val="clear" w:color="auto" w:fill="D9D9D9"/>
      <w:tabs>
        <w:tab w:val="left" w:pos="992"/>
      </w:tabs>
      <w:ind w:left="119" w:right="119"/>
    </w:pPr>
    <w:rPr>
      <w:sz w:val="20"/>
    </w:rPr>
  </w:style>
  <w:style w:type="paragraph" w:customStyle="1" w:styleId="MarginIcons">
    <w:name w:val="Margin Icons"/>
    <w:basedOn w:val="BodyText"/>
    <w:rsid w:val="009E6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2DF"/>
    <w:rPr>
      <w:rFonts w:ascii="Courier New" w:hAnsi="Courier New"/>
    </w:rPr>
  </w:style>
  <w:style w:type="paragraph" w:customStyle="1" w:styleId="NoteBullet">
    <w:name w:val="Note Bullet"/>
    <w:basedOn w:val="Note"/>
    <w:rsid w:val="009E62DF"/>
    <w:pPr>
      <w:tabs>
        <w:tab w:val="clear" w:pos="680"/>
      </w:tabs>
      <w:spacing w:before="60" w:after="60"/>
    </w:pPr>
  </w:style>
  <w:style w:type="paragraph" w:customStyle="1" w:styleId="SubHeading2">
    <w:name w:val="SubHeading2"/>
    <w:basedOn w:val="HeadingBase"/>
    <w:rsid w:val="009E62DF"/>
    <w:pPr>
      <w:spacing w:before="240" w:after="60"/>
    </w:pPr>
    <w:rPr>
      <w:sz w:val="20"/>
    </w:rPr>
  </w:style>
  <w:style w:type="paragraph" w:customStyle="1" w:styleId="SubHeading1">
    <w:name w:val="SubHeading1"/>
    <w:basedOn w:val="HeadingBase"/>
    <w:rsid w:val="009E62DF"/>
    <w:pPr>
      <w:spacing w:before="240" w:after="60"/>
    </w:pPr>
    <w:rPr>
      <w:color w:val="918585"/>
      <w:sz w:val="22"/>
    </w:rPr>
  </w:style>
  <w:style w:type="paragraph" w:customStyle="1" w:styleId="SideHeading">
    <w:name w:val="Side Heading"/>
    <w:basedOn w:val="HeadingBase"/>
    <w:rsid w:val="009E6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2DF"/>
    <w:pPr>
      <w:tabs>
        <w:tab w:val="num" w:pos="360"/>
      </w:tabs>
    </w:pPr>
  </w:style>
  <w:style w:type="paragraph" w:styleId="PlainText">
    <w:name w:val="Plain Text"/>
    <w:basedOn w:val="Normal"/>
    <w:link w:val="PlainTextChar"/>
    <w:rsid w:val="009E62DF"/>
    <w:rPr>
      <w:sz w:val="20"/>
    </w:rPr>
  </w:style>
  <w:style w:type="character" w:customStyle="1" w:styleId="PlainTextChar">
    <w:name w:val="Plain Text Char"/>
    <w:basedOn w:val="DefaultParagraphFont"/>
    <w:link w:val="PlainText"/>
    <w:rsid w:val="009E62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2DF"/>
    <w:rPr>
      <w:b/>
      <w:smallCaps/>
    </w:rPr>
  </w:style>
  <w:style w:type="paragraph" w:customStyle="1" w:styleId="TableListNumber">
    <w:name w:val="Table List Number"/>
    <w:basedOn w:val="ListNumber"/>
    <w:rsid w:val="009E62DF"/>
    <w:pPr>
      <w:numPr>
        <w:numId w:val="0"/>
      </w:numPr>
    </w:pPr>
  </w:style>
  <w:style w:type="paragraph" w:styleId="TOC4">
    <w:name w:val="toc 4"/>
    <w:basedOn w:val="TOCBase"/>
    <w:next w:val="Normal"/>
    <w:semiHidden/>
    <w:rsid w:val="009E62DF"/>
    <w:pPr>
      <w:tabs>
        <w:tab w:val="right" w:leader="dot" w:pos="9071"/>
      </w:tabs>
      <w:ind w:left="1701"/>
    </w:pPr>
  </w:style>
  <w:style w:type="paragraph" w:customStyle="1" w:styleId="ListAlpha">
    <w:name w:val="List Alpha"/>
    <w:basedOn w:val="List"/>
    <w:rsid w:val="009E62DF"/>
    <w:pPr>
      <w:numPr>
        <w:numId w:val="8"/>
      </w:numPr>
    </w:pPr>
  </w:style>
  <w:style w:type="paragraph" w:customStyle="1" w:styleId="ListAlpha2">
    <w:name w:val="List Alpha 2"/>
    <w:basedOn w:val="List2"/>
    <w:rsid w:val="009E62DF"/>
    <w:pPr>
      <w:numPr>
        <w:numId w:val="7"/>
      </w:numPr>
    </w:pPr>
  </w:style>
  <w:style w:type="paragraph" w:styleId="List3">
    <w:name w:val="List 3"/>
    <w:basedOn w:val="BodyText"/>
    <w:rsid w:val="009E62DF"/>
    <w:pPr>
      <w:tabs>
        <w:tab w:val="left" w:pos="1021"/>
      </w:tabs>
      <w:spacing w:before="60" w:after="60"/>
      <w:ind w:left="1020" w:hanging="340"/>
    </w:pPr>
  </w:style>
  <w:style w:type="paragraph" w:styleId="List4">
    <w:name w:val="List 4"/>
    <w:basedOn w:val="BodyText"/>
    <w:rsid w:val="009E62DF"/>
    <w:pPr>
      <w:tabs>
        <w:tab w:val="left" w:pos="1361"/>
      </w:tabs>
      <w:spacing w:before="60" w:after="60"/>
      <w:ind w:left="1361" w:hanging="340"/>
    </w:pPr>
  </w:style>
  <w:style w:type="paragraph" w:styleId="List5">
    <w:name w:val="List 5"/>
    <w:basedOn w:val="BodyText"/>
    <w:rsid w:val="009E62DF"/>
    <w:pPr>
      <w:tabs>
        <w:tab w:val="left" w:pos="1701"/>
      </w:tabs>
      <w:spacing w:before="60" w:after="60"/>
      <w:ind w:left="1701" w:hanging="340"/>
    </w:pPr>
  </w:style>
  <w:style w:type="paragraph" w:styleId="ListBullet3">
    <w:name w:val="List Bullet 3"/>
    <w:basedOn w:val="List3"/>
    <w:rsid w:val="009E62DF"/>
    <w:pPr>
      <w:numPr>
        <w:numId w:val="14"/>
      </w:numPr>
      <w:tabs>
        <w:tab w:val="clear" w:pos="1021"/>
      </w:tabs>
      <w:ind w:left="1037" w:hanging="357"/>
    </w:pPr>
  </w:style>
  <w:style w:type="paragraph" w:styleId="ListBullet4">
    <w:name w:val="List Bullet 4"/>
    <w:basedOn w:val="List4"/>
    <w:rsid w:val="009E62DF"/>
    <w:pPr>
      <w:numPr>
        <w:numId w:val="2"/>
      </w:numPr>
    </w:pPr>
  </w:style>
  <w:style w:type="paragraph" w:styleId="ListBullet5">
    <w:name w:val="List Bullet 5"/>
    <w:basedOn w:val="List5"/>
    <w:rsid w:val="009E62DF"/>
    <w:pPr>
      <w:numPr>
        <w:numId w:val="3"/>
      </w:numPr>
    </w:pPr>
  </w:style>
  <w:style w:type="paragraph" w:styleId="ListContinue2">
    <w:name w:val="List Continue 2"/>
    <w:basedOn w:val="List2"/>
    <w:rsid w:val="009E62DF"/>
    <w:pPr>
      <w:ind w:firstLine="0"/>
    </w:pPr>
  </w:style>
  <w:style w:type="paragraph" w:styleId="ListContinue3">
    <w:name w:val="List Continue 3"/>
    <w:basedOn w:val="List3"/>
    <w:rsid w:val="009E62DF"/>
    <w:pPr>
      <w:ind w:left="1021" w:firstLine="0"/>
    </w:pPr>
  </w:style>
  <w:style w:type="paragraph" w:styleId="ListContinue4">
    <w:name w:val="List Continue 4"/>
    <w:basedOn w:val="List4"/>
    <w:rsid w:val="009E62DF"/>
    <w:pPr>
      <w:ind w:firstLine="0"/>
    </w:pPr>
  </w:style>
  <w:style w:type="paragraph" w:styleId="ListContinue5">
    <w:name w:val="List Continue 5"/>
    <w:basedOn w:val="List5"/>
    <w:rsid w:val="009E62DF"/>
    <w:pPr>
      <w:ind w:firstLine="0"/>
    </w:pPr>
  </w:style>
  <w:style w:type="paragraph" w:styleId="ListNumber3">
    <w:name w:val="List Number 3"/>
    <w:basedOn w:val="List3"/>
    <w:rsid w:val="009E62DF"/>
    <w:pPr>
      <w:numPr>
        <w:numId w:val="4"/>
      </w:numPr>
    </w:pPr>
  </w:style>
  <w:style w:type="paragraph" w:styleId="ListNumber4">
    <w:name w:val="List Number 4"/>
    <w:basedOn w:val="List4"/>
    <w:rsid w:val="009E62DF"/>
    <w:pPr>
      <w:numPr>
        <w:numId w:val="5"/>
      </w:numPr>
    </w:pPr>
  </w:style>
  <w:style w:type="paragraph" w:styleId="ListNumber5">
    <w:name w:val="List Number 5"/>
    <w:basedOn w:val="List5"/>
    <w:rsid w:val="009E62DF"/>
    <w:pPr>
      <w:numPr>
        <w:numId w:val="6"/>
      </w:numPr>
    </w:pPr>
  </w:style>
  <w:style w:type="paragraph" w:styleId="BlockText">
    <w:name w:val="Block Text"/>
    <w:basedOn w:val="Normal"/>
    <w:rsid w:val="009E62DF"/>
    <w:pPr>
      <w:spacing w:after="120"/>
      <w:ind w:left="1440" w:right="1440"/>
    </w:pPr>
  </w:style>
  <w:style w:type="character" w:customStyle="1" w:styleId="Subscript">
    <w:name w:val="Subscript"/>
    <w:basedOn w:val="DefaultParagraphFont"/>
    <w:rsid w:val="009E62DF"/>
    <w:rPr>
      <w:sz w:val="16"/>
      <w:vertAlign w:val="subscript"/>
    </w:rPr>
  </w:style>
  <w:style w:type="character" w:customStyle="1" w:styleId="Superscript">
    <w:name w:val="Superscript"/>
    <w:basedOn w:val="DefaultParagraphFont"/>
    <w:rsid w:val="009E62DF"/>
    <w:rPr>
      <w:sz w:val="16"/>
      <w:vertAlign w:val="superscript"/>
    </w:rPr>
  </w:style>
  <w:style w:type="character" w:customStyle="1" w:styleId="Symbols">
    <w:name w:val="Symbols"/>
    <w:basedOn w:val="DefaultParagraphFont"/>
    <w:rsid w:val="009E62DF"/>
    <w:rPr>
      <w:rFonts w:ascii="Symbol" w:hAnsi="Symbol"/>
    </w:rPr>
  </w:style>
  <w:style w:type="character" w:customStyle="1" w:styleId="MenuOptions">
    <w:name w:val="Menu Options"/>
    <w:basedOn w:val="DefaultParagraphFont"/>
    <w:rsid w:val="009E62DF"/>
    <w:rPr>
      <w:rFonts w:ascii="Arial Narrow" w:hAnsi="Arial Narrow"/>
      <w:smallCaps/>
    </w:rPr>
  </w:style>
  <w:style w:type="character" w:customStyle="1" w:styleId="Buttons">
    <w:name w:val="Buttons"/>
    <w:basedOn w:val="DefaultParagraphFont"/>
    <w:rsid w:val="009E62DF"/>
    <w:rPr>
      <w:b/>
    </w:rPr>
  </w:style>
  <w:style w:type="character" w:customStyle="1" w:styleId="Underlined">
    <w:name w:val="Underlined"/>
    <w:basedOn w:val="DefaultParagraphFont"/>
    <w:rsid w:val="009E62DF"/>
    <w:rPr>
      <w:u w:val="single"/>
    </w:rPr>
  </w:style>
  <w:style w:type="paragraph" w:customStyle="1" w:styleId="TableBodyTextRight">
    <w:name w:val="Table Body Text Right"/>
    <w:basedOn w:val="TableBodyText"/>
    <w:rsid w:val="009E62DF"/>
    <w:pPr>
      <w:widowControl w:val="0"/>
      <w:autoSpaceDE w:val="0"/>
      <w:autoSpaceDN w:val="0"/>
      <w:adjustRightInd w:val="0"/>
      <w:jc w:val="right"/>
    </w:pPr>
    <w:rPr>
      <w:rFonts w:cs="Arial"/>
      <w:szCs w:val="18"/>
    </w:rPr>
  </w:style>
  <w:style w:type="paragraph" w:customStyle="1" w:styleId="CopyrightText">
    <w:name w:val="Copyright Text"/>
    <w:basedOn w:val="BodyText"/>
    <w:rsid w:val="009E62DF"/>
    <w:rPr>
      <w:sz w:val="18"/>
    </w:rPr>
  </w:style>
  <w:style w:type="paragraph" w:customStyle="1" w:styleId="BodySmallRight">
    <w:name w:val="Body Small Right"/>
    <w:basedOn w:val="BodyTextRight"/>
    <w:rsid w:val="009E62DF"/>
    <w:rPr>
      <w:sz w:val="18"/>
      <w:szCs w:val="18"/>
    </w:rPr>
  </w:style>
  <w:style w:type="paragraph" w:customStyle="1" w:styleId="MarginEdition">
    <w:name w:val="Margin Edition"/>
    <w:basedOn w:val="MarginNote"/>
    <w:rsid w:val="009E62DF"/>
    <w:pPr>
      <w:spacing w:before="0" w:after="0"/>
    </w:pPr>
    <w:rPr>
      <w:rFonts w:ascii="Times New Roman" w:hAnsi="Times New Roman"/>
      <w:color w:val="999999"/>
    </w:rPr>
  </w:style>
  <w:style w:type="paragraph" w:customStyle="1" w:styleId="Spacer">
    <w:name w:val="Spacer"/>
    <w:basedOn w:val="Normal"/>
    <w:rsid w:val="009E62DF"/>
    <w:rPr>
      <w:sz w:val="2"/>
      <w:szCs w:val="2"/>
    </w:rPr>
  </w:style>
  <w:style w:type="character" w:customStyle="1" w:styleId="Small">
    <w:name w:val="Small"/>
    <w:basedOn w:val="DefaultParagraphFont"/>
    <w:rsid w:val="009E62DF"/>
    <w:rPr>
      <w:sz w:val="16"/>
    </w:rPr>
  </w:style>
  <w:style w:type="paragraph" w:customStyle="1" w:styleId="WideTable">
    <w:name w:val="Wide Table"/>
    <w:basedOn w:val="Normal"/>
    <w:rsid w:val="009E62DF"/>
    <w:pPr>
      <w:ind w:left="-1418"/>
    </w:pPr>
    <w:rPr>
      <w:sz w:val="2"/>
      <w:szCs w:val="2"/>
    </w:rPr>
  </w:style>
  <w:style w:type="character" w:styleId="PageNumber">
    <w:name w:val="page number"/>
    <w:basedOn w:val="DefaultParagraphFont"/>
    <w:rsid w:val="009E62DF"/>
  </w:style>
  <w:style w:type="paragraph" w:styleId="Quote">
    <w:name w:val="Quote"/>
    <w:basedOn w:val="Heading1"/>
    <w:link w:val="QuoteChar"/>
    <w:qFormat/>
    <w:rsid w:val="009E62DF"/>
    <w:rPr>
      <w:b w:val="0"/>
      <w:sz w:val="72"/>
      <w:szCs w:val="72"/>
      <w:lang w:val="en-NZ"/>
    </w:rPr>
  </w:style>
  <w:style w:type="character" w:customStyle="1" w:styleId="QuoteChar">
    <w:name w:val="Quote Char"/>
    <w:basedOn w:val="DefaultParagraphFont"/>
    <w:link w:val="Quote"/>
    <w:rsid w:val="009E6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2DF"/>
    <w:pPr>
      <w:pageBreakBefore/>
    </w:pPr>
  </w:style>
  <w:style w:type="paragraph" w:customStyle="1" w:styleId="Border">
    <w:name w:val="Border"/>
    <w:basedOn w:val="Normal"/>
    <w:qFormat/>
    <w:rsid w:val="009E6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2DF"/>
    <w:rPr>
      <w:b/>
      <w:bCs/>
      <w:i/>
      <w:iCs/>
      <w:color w:val="auto"/>
    </w:rPr>
  </w:style>
  <w:style w:type="paragraph" w:styleId="IntenseQuote">
    <w:name w:val="Intense Quote"/>
    <w:basedOn w:val="Normal"/>
    <w:next w:val="Normal"/>
    <w:link w:val="IntenseQuoteChar"/>
    <w:uiPriority w:val="30"/>
    <w:qFormat/>
    <w:rsid w:val="009E6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2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2DF"/>
    <w:rPr>
      <w:smallCaps/>
      <w:color w:val="auto"/>
      <w:u w:val="single"/>
    </w:rPr>
  </w:style>
  <w:style w:type="character" w:styleId="IntenseReference">
    <w:name w:val="Intense Reference"/>
    <w:basedOn w:val="DefaultParagraphFont"/>
    <w:uiPriority w:val="32"/>
    <w:qFormat/>
    <w:rsid w:val="009E62DF"/>
    <w:rPr>
      <w:b/>
      <w:bCs/>
      <w:smallCaps/>
      <w:color w:val="auto"/>
      <w:spacing w:val="5"/>
      <w:u w:val="single"/>
    </w:rPr>
  </w:style>
  <w:style w:type="paragraph" w:customStyle="1" w:styleId="2ColumnHeading">
    <w:name w:val="2Column Heading"/>
    <w:basedOn w:val="BodyText"/>
    <w:qFormat/>
    <w:rsid w:val="009E62DF"/>
    <w:pPr>
      <w:spacing w:after="60"/>
      <w:ind w:left="-2268"/>
    </w:pPr>
    <w:rPr>
      <w:b/>
    </w:rPr>
  </w:style>
  <w:style w:type="paragraph" w:customStyle="1" w:styleId="Heading1TOC">
    <w:name w:val="Heading1 TOC"/>
    <w:basedOn w:val="Normal"/>
    <w:qFormat/>
    <w:rsid w:val="009E62DF"/>
    <w:pPr>
      <w:spacing w:before="240" w:after="120"/>
    </w:pPr>
    <w:rPr>
      <w:rFonts w:ascii="Times New Roman" w:hAnsi="Times New Roman"/>
      <w:b/>
      <w:sz w:val="32"/>
    </w:rPr>
  </w:style>
  <w:style w:type="paragraph" w:customStyle="1" w:styleId="Heading2TOC">
    <w:name w:val="Heading2 TOC"/>
    <w:basedOn w:val="Normal"/>
    <w:qFormat/>
    <w:rsid w:val="009E62DF"/>
    <w:pPr>
      <w:spacing w:before="240" w:after="60"/>
    </w:pPr>
    <w:rPr>
      <w:rFonts w:ascii="Times New Roman" w:hAnsi="Times New Roman"/>
      <w:b/>
      <w:sz w:val="28"/>
    </w:rPr>
  </w:style>
  <w:style w:type="character" w:customStyle="1" w:styleId="Underline">
    <w:name w:val="Underline"/>
    <w:basedOn w:val="DefaultParagraphFont"/>
    <w:qFormat/>
    <w:rsid w:val="009E62DF"/>
    <w:rPr>
      <w:u w:val="single"/>
    </w:rPr>
  </w:style>
  <w:style w:type="character" w:customStyle="1" w:styleId="BoldandItalics">
    <w:name w:val="Bold and Italics"/>
    <w:qFormat/>
    <w:rsid w:val="009E62DF"/>
    <w:rPr>
      <w:b/>
      <w:i/>
      <w:u w:val="none"/>
    </w:rPr>
  </w:style>
  <w:style w:type="paragraph" w:styleId="BalloonText">
    <w:name w:val="Balloon Text"/>
    <w:basedOn w:val="Normal"/>
    <w:link w:val="BalloonTextChar"/>
    <w:rsid w:val="009E62DF"/>
    <w:rPr>
      <w:rFonts w:ascii="Tahoma" w:hAnsi="Tahoma" w:cs="Tahoma"/>
      <w:sz w:val="16"/>
      <w:szCs w:val="16"/>
    </w:rPr>
  </w:style>
  <w:style w:type="character" w:customStyle="1" w:styleId="BalloonTextChar">
    <w:name w:val="Balloon Text Char"/>
    <w:basedOn w:val="DefaultParagraphFont"/>
    <w:link w:val="BalloonText"/>
    <w:rsid w:val="009E62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2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6412</Characters>
  <Application>Microsoft Office Word</Application>
  <DocSecurity>0</DocSecurity>
  <Lines>239</Lines>
  <Paragraphs>126</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PMC552093B Prepare for and cast refractory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