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A4F" w:rsidP="00131A4F">
      <w:pPr>
        <w:pStyle w:val="Title"/>
      </w:pPr>
      <w:r>
        <w:fldChar w:fldCharType="begin"/>
      </w:r>
      <w:r>
        <w:instrText xml:space="preserve"> TITLE   \* MERGEFORMAT </w:instrText>
      </w:r>
      <w:r>
        <w:fldChar w:fldCharType="separate"/>
      </w:r>
      <w:r>
        <w:t>PMC552058B Demould concrete products</w:t>
      </w:r>
      <w:r>
        <w:fldChar w:fldCharType="end"/>
      </w:r>
    </w:p>
    <w:p w:rsidR="00131A4F" w:rsidP="00131A4F">
      <w:pPr>
        <w:pStyle w:val="Version"/>
        <w:sectPr w:rsidSect="007F6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66EF" w:rsidP="007F66EF">
      <w:pPr>
        <w:pStyle w:val="SuperHeading"/>
      </w:pPr>
      <w:r w:rsidRPr="007F66EF">
        <w:t>PMC552058B Demould concrete products</w:t>
      </w:r>
    </w:p>
    <w:p w:rsidR="00000000" w:rsidRPr="007F66EF" w:rsidP="007F66EF">
      <w:pPr>
        <w:pStyle w:val="SuperHeading"/>
      </w:pPr>
    </w:p>
    <w:p w:rsidR="00000000" w:rsidRPr="007F66EF" w:rsidP="007F66EF">
      <w:pPr>
        <w:pStyle w:val="Heading1"/>
      </w:pPr>
      <w:bookmarkStart w:id="1" w:name="O_110367"/>
      <w:bookmarkEnd w:id="1"/>
      <w:r w:rsidRPr="007F66EF">
        <w:t>Modification History</w:t>
      </w:r>
    </w:p>
    <w:p w:rsidR="00000000" w:rsidRPr="007F66EF" w:rsidP="007F66EF">
      <w:pPr>
        <w:pStyle w:val="BodyText"/>
      </w:pPr>
      <w:r w:rsidRPr="007F66EF">
        <w:t>Not applicable.</w:t>
      </w:r>
    </w:p>
    <w:p w:rsidR="00000000" w:rsidRPr="007F66EF" w:rsidP="007F66EF">
      <w:pPr>
        <w:pStyle w:val="AllowPageBreak"/>
      </w:pPr>
    </w:p>
    <w:p w:rsidR="00000000" w:rsidRPr="007F66EF" w:rsidP="007F66EF">
      <w:pPr>
        <w:pStyle w:val="Heading1"/>
      </w:pPr>
      <w:bookmarkStart w:id="2" w:name="O_110368"/>
      <w:bookmarkEnd w:id="2"/>
      <w:r w:rsidRPr="007F66EF">
        <w:t>Unit Descriptor</w:t>
      </w:r>
    </w:p>
    <w:tbl>
      <w:tblPr>
        <w:tblW w:w="0" w:type="auto"/>
        <w:tblLayout w:type="fixed"/>
        <w:tblCellMar>
          <w:left w:w="62" w:type="dxa"/>
          <w:right w:w="62" w:type="dxa"/>
        </w:tblCellMar>
        <w:tblLook w:val="0000"/>
      </w:tblPr>
      <w:tblGrid>
        <w:gridCol w:w="2667"/>
        <w:gridCol w:w="5855"/>
      </w:tblGrid>
      <w:tr w:rsidTr="00131A4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 xml:space="preserve">This unit of competency covers the dismantling, reassembling, lubrication and stock control of complex concrete </w:t>
            </w:r>
            <w:r w:rsidRPr="007F66EF">
              <w:t xml:space="preserve">product moulds. </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3" w:name="O_110369"/>
      <w:bookmarkEnd w:id="3"/>
      <w:r w:rsidRPr="007F66EF">
        <w:t>Application of the Unit</w:t>
      </w:r>
    </w:p>
    <w:tbl>
      <w:tblPr>
        <w:tblW w:w="0" w:type="auto"/>
        <w:tblLayout w:type="fixed"/>
        <w:tblCellMar>
          <w:left w:w="62" w:type="dxa"/>
          <w:right w:w="62" w:type="dxa"/>
        </w:tblCellMar>
        <w:tblLook w:val="0000"/>
      </w:tblPr>
      <w:tblGrid>
        <w:gridCol w:w="2745"/>
        <w:gridCol w:w="5777"/>
      </w:tblGrid>
      <w:tr w:rsidTr="00131A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This unit of competency applies to operators who are responsible for removing a mould from a competed concrete product and preparing it for a new moulding operation.</w:t>
            </w:r>
          </w:p>
          <w:p w:rsidR="00000000" w:rsidRPr="007F66EF" w:rsidP="007F66EF">
            <w:pPr>
              <w:pStyle w:val="BodyText"/>
            </w:pPr>
            <w:r w:rsidRPr="007F66EF">
              <w:t>This unit of competency includes:</w:t>
            </w:r>
          </w:p>
          <w:p w:rsidR="00000000" w:rsidRPr="007F66EF" w:rsidP="007F66EF">
            <w:pPr>
              <w:pStyle w:val="ListBullet"/>
            </w:pPr>
            <w:r w:rsidRPr="007F66EF">
              <w:t>timber, glass fibre, metal, plaster, latex rubber and other moulds</w:t>
            </w:r>
          </w:p>
          <w:p w:rsidR="00000000" w:rsidRPr="007F66EF" w:rsidP="007F66EF">
            <w:pPr>
              <w:pStyle w:val="ListBullet"/>
            </w:pPr>
            <w:r w:rsidRPr="007F66EF">
              <w:t>use of hand tools as required</w:t>
            </w:r>
          </w:p>
          <w:p w:rsidR="00000000" w:rsidRPr="007F66EF" w:rsidP="007F66EF">
            <w:pPr>
              <w:pStyle w:val="ListBullet"/>
            </w:pPr>
            <w:r w:rsidRPr="007F66EF">
              <w:t>interpretation of production schedules/work cards as appropriate</w:t>
            </w:r>
          </w:p>
          <w:p w:rsidR="00000000" w:rsidRPr="007F66EF" w:rsidP="007F66EF">
            <w:pPr>
              <w:pStyle w:val="ListBullet"/>
            </w:pPr>
            <w:r w:rsidRPr="007F66EF">
              <w:t>interpreting plans or specifications</w:t>
            </w:r>
          </w:p>
          <w:p w:rsidR="00000000" w:rsidRPr="007F66EF" w:rsidP="007F66EF">
            <w:pPr>
              <w:pStyle w:val="ListBullet"/>
            </w:pPr>
            <w:r w:rsidRPr="007F66EF">
              <w:t>the operation of all a</w:t>
            </w:r>
            <w:r w:rsidRPr="007F66EF">
              <w:t>ncillary equipment.</w:t>
            </w:r>
          </w:p>
          <w:p w:rsidR="00000000" w:rsidRPr="007F66EF" w:rsidP="007F66EF">
            <w:pPr>
              <w:pStyle w:val="BodyText"/>
            </w:pPr>
            <w:r w:rsidRPr="007F66EF">
              <w:t>This competency is typically performed by operators working either independently or as part of a work team. It also includes the interpretation of drawings/plans.</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4" w:name="O_110370"/>
      <w:bookmarkEnd w:id="4"/>
      <w:r w:rsidRPr="007F66EF">
        <w:t>Licensing/Regulatory Information</w:t>
      </w:r>
    </w:p>
    <w:p w:rsidR="00000000" w:rsidRPr="007F66EF" w:rsidP="007F66EF">
      <w:pPr>
        <w:pStyle w:val="BodyText"/>
      </w:pPr>
      <w:r w:rsidRPr="007F66EF">
        <w:t>Not applicable.</w:t>
      </w:r>
    </w:p>
    <w:p w:rsidR="00000000" w:rsidRPr="007F66EF" w:rsidP="007F66EF">
      <w:pPr>
        <w:pStyle w:val="AllowPageBreak"/>
      </w:pPr>
    </w:p>
    <w:p w:rsidR="00000000" w:rsidRPr="007F66EF" w:rsidP="007F66EF">
      <w:pPr>
        <w:pStyle w:val="Heading1"/>
      </w:pPr>
      <w:bookmarkStart w:id="5" w:name="O_110372"/>
      <w:bookmarkEnd w:id="5"/>
      <w:r w:rsidRPr="007F66EF">
        <w:t>Pre-Requisites</w:t>
      </w:r>
    </w:p>
    <w:tbl>
      <w:tblPr>
        <w:tblW w:w="0" w:type="auto"/>
        <w:tblLayout w:type="fixed"/>
        <w:tblCellMar>
          <w:left w:w="62" w:type="dxa"/>
          <w:right w:w="62" w:type="dxa"/>
        </w:tblCellMar>
        <w:tblLook w:val="0000"/>
      </w:tblPr>
      <w:tblGrid>
        <w:gridCol w:w="2775"/>
        <w:gridCol w:w="1295"/>
        <w:gridCol w:w="4452"/>
      </w:tblGrid>
      <w:tr w:rsidTr="00131A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p>
        </w:tc>
      </w:tr>
      <w:tr w:rsidTr="00131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p>
        </w:tc>
      </w:tr>
      <w:tr w:rsidTr="00131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6" w:name="O_110371"/>
      <w:bookmarkEnd w:id="6"/>
      <w:r w:rsidRPr="007F66EF">
        <w:t>Employability Skills Information</w:t>
      </w:r>
    </w:p>
    <w:tbl>
      <w:tblPr>
        <w:tblW w:w="0" w:type="auto"/>
        <w:tblLayout w:type="fixed"/>
        <w:tblCellMar>
          <w:left w:w="62" w:type="dxa"/>
          <w:right w:w="62" w:type="dxa"/>
        </w:tblCellMar>
        <w:tblLook w:val="0000"/>
      </w:tblPr>
      <w:tblGrid>
        <w:gridCol w:w="2802"/>
        <w:gridCol w:w="5720"/>
      </w:tblGrid>
      <w:tr w:rsidTr="00131A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This unit contains employability skills.</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7" w:name="O_110373"/>
      <w:bookmarkEnd w:id="7"/>
      <w:r w:rsidRPr="007F66EF">
        <w:t>Elements and Performance Criteria Pre-Content</w:t>
      </w:r>
    </w:p>
    <w:tbl>
      <w:tblPr>
        <w:tblW w:w="0" w:type="auto"/>
        <w:tblLayout w:type="fixed"/>
        <w:tblCellMar>
          <w:left w:w="62" w:type="dxa"/>
          <w:right w:w="62" w:type="dxa"/>
        </w:tblCellMar>
        <w:tblLook w:val="0000"/>
      </w:tblPr>
      <w:tblGrid>
        <w:gridCol w:w="2611"/>
        <w:gridCol w:w="5911"/>
      </w:tblGrid>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Performance criteria describe the performance needed to demonstrate achievement of the element. Where bold italicised text is used, further information is detailed in the required skills and</w:t>
            </w:r>
            <w:r w:rsidRPr="007F66EF">
              <w:t xml:space="preserve"> knowledge section and the range statement. Assessment of performance is to be consistent with the evidence guide.</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8" w:name="O_110374"/>
      <w:bookmarkEnd w:id="8"/>
      <w:r w:rsidRPr="007F66EF">
        <w:t>Elements and Performance Criteria</w:t>
      </w:r>
    </w:p>
    <w:tbl>
      <w:tblPr>
        <w:tblW w:w="0" w:type="auto"/>
        <w:tblLayout w:type="fixed"/>
        <w:tblCellMar>
          <w:left w:w="62" w:type="dxa"/>
          <w:right w:w="62" w:type="dxa"/>
        </w:tblCellMar>
        <w:tblLook w:val="0000"/>
      </w:tblPr>
      <w:tblGrid>
        <w:gridCol w:w="2611"/>
        <w:gridCol w:w="5911"/>
      </w:tblGrid>
      <w:tr w:rsidTr="00131A4F">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PERFORMANCE CRITERIA</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1.</w:t>
            </w:r>
            <w:r w:rsidRPr="007F66EF">
              <w:tab/>
              <w:t>Dismantle mould</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1.1.</w:t>
            </w:r>
            <w:r w:rsidRPr="007F66EF">
              <w:tab/>
              <w:t>Remove nuts and bolts as required</w:t>
            </w:r>
          </w:p>
          <w:p w:rsidR="00000000" w:rsidP="007F66EF">
            <w:pPr>
              <w:pStyle w:val="List2"/>
              <w:rPr>
                <w:lang w:val="en-NZ"/>
              </w:rPr>
            </w:pPr>
            <w:r w:rsidRPr="007F66EF">
              <w:t>1.2.</w:t>
            </w:r>
            <w:r w:rsidRPr="007F66EF">
              <w:tab/>
              <w:t>Remove mould</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2.</w:t>
            </w:r>
            <w:r w:rsidRPr="007F66EF">
              <w:tab/>
              <w:t>Clean and inspect mould</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2.1.</w:t>
            </w:r>
            <w:r w:rsidRPr="007F66EF">
              <w:tab/>
              <w:t>Identify product faults from visual inspection</w:t>
            </w:r>
          </w:p>
          <w:p w:rsidR="00000000" w:rsidRPr="007F66EF" w:rsidP="007F66EF">
            <w:pPr>
              <w:pStyle w:val="List2"/>
            </w:pPr>
            <w:r w:rsidRPr="007F66EF">
              <w:t>2.2.</w:t>
            </w:r>
            <w:r w:rsidRPr="007F66EF">
              <w:tab/>
              <w:t>Identify mould faults from visual inspection</w:t>
            </w:r>
          </w:p>
          <w:p w:rsidR="00000000" w:rsidRPr="007F66EF" w:rsidP="007F66EF">
            <w:pPr>
              <w:pStyle w:val="List2"/>
            </w:pPr>
            <w:r w:rsidRPr="007F66EF">
              <w:t>2.3.</w:t>
            </w:r>
            <w:r w:rsidRPr="007F66EF">
              <w:tab/>
              <w:t>Dismantle mould as per work instructions</w:t>
            </w:r>
          </w:p>
          <w:p w:rsidR="00000000" w:rsidRPr="007F66EF" w:rsidP="007F66EF">
            <w:pPr>
              <w:pStyle w:val="List2"/>
            </w:pPr>
            <w:r w:rsidRPr="007F66EF">
              <w:t>2.4.</w:t>
            </w:r>
            <w:r w:rsidRPr="007F66EF">
              <w:tab/>
              <w:t>Check condition of all mould parts</w:t>
            </w:r>
          </w:p>
          <w:p w:rsidR="00000000" w:rsidP="007F66EF">
            <w:pPr>
              <w:pStyle w:val="List2"/>
              <w:rPr>
                <w:lang w:val="en-NZ"/>
              </w:rPr>
            </w:pPr>
            <w:r w:rsidRPr="007F66EF">
              <w:t>2.5.</w:t>
            </w:r>
            <w:r w:rsidRPr="007F66EF">
              <w:tab/>
              <w:t>Clean mould parts</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3.</w:t>
            </w:r>
            <w:r w:rsidRPr="007F66EF">
              <w:tab/>
              <w:t>Reassemble mould</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3.1.</w:t>
            </w:r>
            <w:r w:rsidRPr="007F66EF">
              <w:tab/>
              <w:t>Identify product to be made</w:t>
            </w:r>
          </w:p>
          <w:p w:rsidR="00000000" w:rsidRPr="007F66EF" w:rsidP="007F66EF">
            <w:pPr>
              <w:pStyle w:val="List2"/>
            </w:pPr>
            <w:r w:rsidRPr="007F66EF">
              <w:t>3.2.</w:t>
            </w:r>
            <w:r w:rsidRPr="007F66EF">
              <w:tab/>
              <w:t>Interpret mould drawings/plans</w:t>
            </w:r>
          </w:p>
          <w:p w:rsidR="00000000" w:rsidRPr="007F66EF" w:rsidP="007F66EF">
            <w:pPr>
              <w:pStyle w:val="List2"/>
            </w:pPr>
            <w:r w:rsidRPr="007F66EF">
              <w:t>3.3.</w:t>
            </w:r>
            <w:r w:rsidRPr="007F66EF">
              <w:tab/>
              <w:t>Select and check required mould parts</w:t>
            </w:r>
          </w:p>
          <w:p w:rsidR="00000000" w:rsidRPr="007F66EF" w:rsidP="007F66EF">
            <w:pPr>
              <w:pStyle w:val="List2"/>
            </w:pPr>
            <w:r w:rsidRPr="007F66EF">
              <w:t>3.4.</w:t>
            </w:r>
            <w:r w:rsidRPr="007F66EF">
              <w:tab/>
              <w:t>Use correct mould setup jig</w:t>
            </w:r>
          </w:p>
          <w:p w:rsidR="00000000" w:rsidRPr="007F66EF" w:rsidP="007F66EF">
            <w:pPr>
              <w:pStyle w:val="List2"/>
            </w:pPr>
            <w:r w:rsidRPr="007F66EF">
              <w:t>3.5.</w:t>
            </w:r>
            <w:r w:rsidRPr="007F66EF">
              <w:tab/>
              <w:t>Assemble mould as per work instructions</w:t>
            </w:r>
          </w:p>
          <w:p w:rsidR="00000000" w:rsidRPr="007F66EF" w:rsidP="007F66EF">
            <w:pPr>
              <w:pStyle w:val="List2"/>
            </w:pPr>
            <w:r w:rsidRPr="007F66EF">
              <w:t>3.6.</w:t>
            </w:r>
            <w:r w:rsidRPr="007F66EF">
              <w:tab/>
              <w:t>Place and fix reinforcement cage as req</w:t>
            </w:r>
            <w:r w:rsidRPr="007F66EF">
              <w:t>uired</w:t>
            </w:r>
          </w:p>
          <w:p w:rsidR="00000000" w:rsidRPr="007F66EF" w:rsidP="007F66EF">
            <w:pPr>
              <w:pStyle w:val="List2"/>
            </w:pPr>
            <w:r w:rsidRPr="007F66EF">
              <w:t>3.7.</w:t>
            </w:r>
            <w:r w:rsidRPr="007F66EF">
              <w:tab/>
              <w:t>Check cover is adequate and fix or report as required</w:t>
            </w:r>
          </w:p>
          <w:p w:rsidR="00000000" w:rsidRPr="007F66EF" w:rsidP="007F66EF">
            <w:pPr>
              <w:pStyle w:val="List2"/>
            </w:pPr>
            <w:r w:rsidRPr="007F66EF">
              <w:t>3.8.</w:t>
            </w:r>
            <w:r w:rsidRPr="007F66EF">
              <w:tab/>
              <w:t>Check mould dimensions and tolerance</w:t>
            </w:r>
          </w:p>
          <w:p w:rsidR="00000000" w:rsidP="007F66EF">
            <w:pPr>
              <w:pStyle w:val="List2"/>
              <w:rPr>
                <w:lang w:val="en-NZ"/>
              </w:rPr>
            </w:pPr>
            <w:r w:rsidRPr="007F66EF">
              <w:t>3.9.</w:t>
            </w:r>
            <w:r w:rsidRPr="007F66EF">
              <w:tab/>
              <w:t>Check mould for joint leakage and correct if required</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4.</w:t>
            </w:r>
            <w:r w:rsidRPr="007F66EF">
              <w:tab/>
              <w:t>Lubricate mould</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4.1.</w:t>
            </w:r>
            <w:r w:rsidRPr="007F66EF">
              <w:tab/>
              <w:t>Lubricate mould to standard</w:t>
            </w:r>
          </w:p>
          <w:p w:rsidR="00000000" w:rsidP="007F66EF">
            <w:pPr>
              <w:pStyle w:val="List2"/>
              <w:rPr>
                <w:lang w:val="en-NZ"/>
              </w:rPr>
            </w:pPr>
            <w:r w:rsidRPr="007F66EF">
              <w:t>4.2.</w:t>
            </w:r>
            <w:r w:rsidRPr="007F66EF">
              <w:tab/>
              <w:t>Store mould in correct location</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5.</w:t>
            </w:r>
            <w:r w:rsidRPr="007F66EF">
              <w:tab/>
              <w:t>Maintain mould part stock control</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5.1.</w:t>
            </w:r>
            <w:r w:rsidRPr="007F66EF">
              <w:tab/>
              <w:t>Check stocks of spare parts</w:t>
            </w:r>
          </w:p>
          <w:p w:rsidR="00000000" w:rsidP="007F66EF">
            <w:pPr>
              <w:pStyle w:val="List2"/>
              <w:rPr>
                <w:lang w:val="en-NZ"/>
              </w:rPr>
            </w:pPr>
            <w:r w:rsidRPr="007F66EF">
              <w:t>5.2.</w:t>
            </w:r>
            <w:r w:rsidRPr="007F66EF">
              <w:tab/>
              <w:t>Advise supervisor of stock required, parts used and date of completed mould</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6.</w:t>
            </w:r>
            <w:r w:rsidRPr="007F66EF">
              <w:tab/>
              <w:t>Rectify routine problems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6.1.</w:t>
            </w:r>
            <w:r w:rsidRPr="007F66EF">
              <w:tab/>
              <w:t>Identify the range of faults that can occur during the operation</w:t>
            </w:r>
          </w:p>
          <w:p w:rsidR="00000000" w:rsidRPr="007F66EF" w:rsidP="007F66EF">
            <w:pPr>
              <w:pStyle w:val="List2"/>
            </w:pPr>
            <w:r w:rsidRPr="007F66EF">
              <w:t>6.2.</w:t>
            </w:r>
            <w:r w:rsidRPr="007F66EF">
              <w:tab/>
            </w:r>
            <w:r w:rsidRPr="007F66EF">
              <w:t>Determine and rectify fault causes in accordance with procedures/work instructions</w:t>
            </w:r>
          </w:p>
          <w:p w:rsidR="00000000" w:rsidRPr="007F66EF" w:rsidP="007F66EF">
            <w:pPr>
              <w:pStyle w:val="List2"/>
            </w:pPr>
            <w:r w:rsidRPr="007F66EF">
              <w:t>6.3.</w:t>
            </w:r>
            <w:r w:rsidRPr="007F66EF">
              <w:tab/>
              <w:t>Identify and rectify equipment failure causes in accordance with procedures/work instructions</w:t>
            </w:r>
          </w:p>
          <w:p w:rsidR="00000000" w:rsidRPr="007F66EF" w:rsidP="007F66EF">
            <w:pPr>
              <w:pStyle w:val="List2"/>
            </w:pPr>
            <w:r w:rsidRPr="007F66EF">
              <w:t>6.4.</w:t>
            </w:r>
            <w:r w:rsidRPr="007F66EF">
              <w:tab/>
              <w:t xml:space="preserve">Ensure appropriate records and log books of equipment operations are </w:t>
            </w:r>
            <w:r w:rsidRPr="007F66EF">
              <w:t>maintained to meet procedures/work instructions</w:t>
            </w:r>
          </w:p>
          <w:p w:rsidR="00000000" w:rsidP="007F66EF">
            <w:pPr>
              <w:pStyle w:val="List2"/>
              <w:rPr>
                <w:lang w:val="en-NZ"/>
              </w:rPr>
            </w:pPr>
            <w:r w:rsidRPr="007F66EF">
              <w:t>6.5.</w:t>
            </w:r>
            <w:r w:rsidRPr="007F66EF">
              <w:tab/>
              <w:t>Identify non-routine problems and report to designated person</w:t>
            </w:r>
          </w:p>
        </w:tc>
      </w:tr>
      <w:tr w:rsidTr="00131A4F">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List"/>
              <w:rPr>
                <w:lang w:val="en-NZ"/>
              </w:rPr>
            </w:pPr>
            <w:r w:rsidRPr="007F66EF">
              <w:t>7.</w:t>
            </w:r>
            <w:r w:rsidRPr="007F66EF">
              <w:tab/>
              <w:t>Control hazards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List2"/>
            </w:pPr>
            <w:r w:rsidRPr="007F66EF">
              <w:t>7.1.</w:t>
            </w:r>
            <w:r w:rsidRPr="007F66EF">
              <w:tab/>
              <w:t>Identify hazards from the job to be done</w:t>
            </w:r>
          </w:p>
          <w:p w:rsidR="00000000" w:rsidRPr="007F66EF" w:rsidP="007F66EF">
            <w:pPr>
              <w:pStyle w:val="List2"/>
            </w:pPr>
            <w:r w:rsidRPr="007F66EF">
              <w:t>7.2.</w:t>
            </w:r>
            <w:r w:rsidRPr="007F66EF">
              <w:tab/>
              <w:t>Identify other hazards in the work area</w:t>
            </w:r>
          </w:p>
          <w:p w:rsidR="00000000" w:rsidRPr="007F66EF" w:rsidP="007F66EF">
            <w:pPr>
              <w:pStyle w:val="List2"/>
            </w:pPr>
            <w:r w:rsidRPr="007F66EF">
              <w:t>7.3.</w:t>
            </w:r>
            <w:r w:rsidRPr="007F66EF">
              <w:tab/>
              <w:t xml:space="preserve">Assess the risks arising </w:t>
            </w:r>
            <w:r w:rsidRPr="007F66EF">
              <w:t>from those hazards</w:t>
            </w:r>
          </w:p>
          <w:p w:rsidR="00000000" w:rsidRPr="007F66EF" w:rsidP="007F66EF">
            <w:pPr>
              <w:pStyle w:val="List2"/>
            </w:pPr>
            <w:r w:rsidRPr="007F66EF">
              <w:t>7.4.</w:t>
            </w:r>
            <w:r w:rsidRPr="007F66EF">
              <w:tab/>
              <w:t>Implement measures to control those risks in line with procedures</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9" w:name="O_110375"/>
      <w:bookmarkEnd w:id="9"/>
      <w:r w:rsidRPr="007F66EF">
        <w:t>Required Skills and Knowledge</w:t>
      </w:r>
    </w:p>
    <w:tbl>
      <w:tblPr>
        <w:tblW w:w="0" w:type="auto"/>
        <w:tblLayout w:type="fixed"/>
        <w:tblCellMar>
          <w:left w:w="62" w:type="dxa"/>
          <w:right w:w="62" w:type="dxa"/>
        </w:tblCellMar>
        <w:tblLook w:val="0000"/>
      </w:tblPr>
      <w:tblGrid>
        <w:gridCol w:w="8522"/>
      </w:tblGrid>
      <w:tr w:rsidTr="00131A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REQUIRED SKILLS AND KNOWLEDGE</w:t>
            </w:r>
          </w:p>
        </w:tc>
      </w:tr>
      <w:tr w:rsidTr="00131A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This section describes the skills and knowledge required for this unit.</w:t>
            </w:r>
          </w:p>
        </w:tc>
      </w:tr>
      <w:tr w:rsidTr="00131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Required skills</w:t>
            </w:r>
          </w:p>
        </w:tc>
      </w:tr>
      <w:tr w:rsidTr="00131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Required skills include:</w:t>
            </w:r>
          </w:p>
          <w:p w:rsidR="00000000" w:rsidRPr="007F66EF" w:rsidP="007F66EF">
            <w:pPr>
              <w:pStyle w:val="ListBullet"/>
            </w:pPr>
            <w:r w:rsidRPr="007F66EF">
              <w:t>recognising conditions which will lead to mould and dies being incorrectly assembled and taking appropriate action</w:t>
            </w:r>
          </w:p>
          <w:p w:rsidR="00000000" w:rsidRPr="007F66EF" w:rsidP="007F66EF">
            <w:pPr>
              <w:pStyle w:val="ListBullet"/>
            </w:pPr>
            <w:r w:rsidRPr="007F66EF">
              <w:t>implementing the enterprise's procedures within time constraints and in a manner relevant to the c</w:t>
            </w:r>
            <w:r w:rsidRPr="007F66EF">
              <w:t>orrect use of the equipment</w:t>
            </w:r>
          </w:p>
          <w:p w:rsidR="00000000" w:rsidRPr="007F66EF" w:rsidP="007F66EF">
            <w:pPr>
              <w:pStyle w:val="ListBullet"/>
            </w:pPr>
            <w:r w:rsidRPr="007F66EF">
              <w:t>conveying information relevant to the operation clearly and effectively</w:t>
            </w:r>
          </w:p>
          <w:p w:rsidR="00000000" w:rsidRPr="007F66EF" w:rsidP="007F66EF">
            <w:pPr>
              <w:pStyle w:val="ListBullet"/>
            </w:pPr>
            <w:r w:rsidRPr="007F66EF">
              <w:t>maintaining appropriate levels of quality assurance</w:t>
            </w:r>
          </w:p>
          <w:p w:rsidR="00000000" w:rsidRPr="007F66EF" w:rsidP="007F66EF">
            <w:pPr>
              <w:pStyle w:val="ListBullet"/>
            </w:pPr>
            <w:r w:rsidRPr="007F66EF">
              <w:t>recognising worn moulds and parts</w:t>
            </w:r>
          </w:p>
          <w:p w:rsidR="00000000" w:rsidP="007F66EF">
            <w:pPr>
              <w:pStyle w:val="ListBullet"/>
              <w:rPr>
                <w:lang w:val="en-NZ"/>
              </w:rPr>
            </w:pPr>
            <w:r w:rsidRPr="007F66EF">
              <w:t>reading and numeracy to interpret workplace documents and technical in</w:t>
            </w:r>
            <w:r w:rsidRPr="007F66EF">
              <w:t>formation</w:t>
            </w:r>
          </w:p>
        </w:tc>
      </w:tr>
      <w:tr w:rsidTr="00131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Required knowledge</w:t>
            </w:r>
          </w:p>
        </w:tc>
      </w:tr>
      <w:tr w:rsidTr="00131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Required knowledge includes:</w:t>
            </w:r>
          </w:p>
          <w:p w:rsidR="00000000" w:rsidRPr="007F66EF" w:rsidP="007F66EF">
            <w:pPr>
              <w:pStyle w:val="ListBullet"/>
            </w:pPr>
            <w:r w:rsidRPr="007F66EF">
              <w:t>causes of mould wear</w:t>
            </w:r>
          </w:p>
          <w:p w:rsidR="00000000" w:rsidRPr="007F66EF" w:rsidP="007F66EF">
            <w:pPr>
              <w:pStyle w:val="ListBullet"/>
            </w:pPr>
            <w:r w:rsidRPr="007F66EF">
              <w:t>results of using worn moulds</w:t>
            </w:r>
          </w:p>
          <w:p w:rsidR="00000000" w:rsidRPr="007F66EF" w:rsidP="007F66EF">
            <w:pPr>
              <w:pStyle w:val="ListBullet"/>
            </w:pPr>
            <w:r w:rsidRPr="007F66EF">
              <w:t>problems resulting from mould leakage</w:t>
            </w:r>
          </w:p>
          <w:p w:rsidR="00000000" w:rsidRPr="007F66EF" w:rsidP="007F66EF">
            <w:pPr>
              <w:pStyle w:val="ListBullet"/>
            </w:pPr>
            <w:r w:rsidRPr="007F66EF">
              <w:t>required lubrication of mould</w:t>
            </w:r>
          </w:p>
          <w:p w:rsidR="00000000" w:rsidRPr="007F66EF" w:rsidP="007F66EF">
            <w:pPr>
              <w:pStyle w:val="ListBullet"/>
            </w:pPr>
            <w:r w:rsidRPr="007F66EF">
              <w:t>hazards from prestressed reinforcement</w:t>
            </w:r>
          </w:p>
          <w:p w:rsidR="00000000" w:rsidRPr="007F66EF" w:rsidP="007F66EF">
            <w:pPr>
              <w:pStyle w:val="ListBullet"/>
            </w:pPr>
            <w:r w:rsidRPr="007F66EF">
              <w:t>underlying causes of faults such as precipitated by:</w:t>
            </w:r>
          </w:p>
          <w:p w:rsidR="00000000" w:rsidRPr="007F66EF" w:rsidP="007F66EF">
            <w:pPr>
              <w:pStyle w:val="ListBullet2"/>
            </w:pPr>
            <w:r w:rsidRPr="007F66EF">
              <w:t>mould</w:t>
            </w:r>
          </w:p>
          <w:p w:rsidR="00000000" w:rsidRPr="007F66EF" w:rsidP="007F66EF">
            <w:pPr>
              <w:pStyle w:val="ListBullet2"/>
            </w:pPr>
            <w:r w:rsidRPr="007F66EF">
              <w:t>casting/operating</w:t>
            </w:r>
          </w:p>
          <w:p w:rsidR="00000000" w:rsidRPr="007F66EF" w:rsidP="007F66EF">
            <w:pPr>
              <w:pStyle w:val="ListBullet2"/>
            </w:pPr>
            <w:r w:rsidRPr="007F66EF">
              <w:t xml:space="preserve">concrete mix </w:t>
            </w:r>
          </w:p>
          <w:p w:rsidR="00000000" w:rsidRPr="007F66EF" w:rsidP="007F66EF">
            <w:pPr>
              <w:pStyle w:val="ListBullet2"/>
            </w:pPr>
            <w:r w:rsidRPr="007F66EF">
              <w:t>vibration</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10" w:name="O_110376"/>
      <w:bookmarkEnd w:id="10"/>
      <w:r w:rsidRPr="007F66EF">
        <w:t>Evidence Guide</w:t>
      </w:r>
    </w:p>
    <w:tbl>
      <w:tblPr>
        <w:tblW w:w="9570" w:type="dxa"/>
        <w:tblLayout w:type="fixed"/>
        <w:tblCellMar>
          <w:left w:w="62" w:type="dxa"/>
          <w:right w:w="62" w:type="dxa"/>
        </w:tblCellMar>
        <w:tblLook w:val="0000"/>
      </w:tblPr>
      <w:tblGrid>
        <w:gridCol w:w="3908"/>
        <w:gridCol w:w="5662"/>
      </w:tblGrid>
      <w:tr w:rsidTr="00131A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EVIDENCE GUIDE</w:t>
            </w:r>
          </w:p>
        </w:tc>
      </w:tr>
      <w:tr w:rsidTr="00131A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The Evidence Guide provides advice on assessment and must be read in conjunction with the performance criteria, required skills and knowledge, range statement and the Assessment Guidelines for the Training Package.</w:t>
            </w:r>
          </w:p>
        </w:tc>
      </w:tr>
      <w:tr w:rsidTr="00131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The unit will be</w:t>
            </w:r>
            <w:r w:rsidRPr="007F66EF">
              <w:t xml:space="preserve"> assessed in as holistic a manner as is practical and may be integrated with the assessment of other relevant units of competency. </w:t>
            </w:r>
          </w:p>
        </w:tc>
      </w:tr>
      <w:tr w:rsidTr="00131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It is essential that the equip</w:t>
            </w:r>
            <w:r w:rsidRPr="007F66EF">
              <w:t>ment be understood and that the importance of critical mould properties and dimensions is known. Competence must be demonstrated in the ability to recognise and analyse potential situations requiring action and then in implementing appropriate corrective a</w:t>
            </w:r>
            <w:r w:rsidRPr="007F66EF">
              <w:t>ction.</w:t>
            </w:r>
          </w:p>
          <w:p w:rsidR="00000000" w:rsidRPr="007F66EF" w:rsidP="007F66EF">
            <w:pPr>
              <w:pStyle w:val="BodyText"/>
            </w:pPr>
            <w:r w:rsidRPr="007F66EF">
              <w:t>Consistent performance should be demonstrated. In particular look to see that:</w:t>
            </w:r>
          </w:p>
          <w:p w:rsidR="00000000" w:rsidRPr="007F66EF" w:rsidP="007F66EF">
            <w:pPr>
              <w:pStyle w:val="ListBullet"/>
            </w:pPr>
            <w:r w:rsidRPr="007F66EF">
              <w:t>moulds are withdrawn for repair as required</w:t>
            </w:r>
          </w:p>
          <w:p w:rsidR="00000000" w:rsidRPr="007F66EF" w:rsidP="007F66EF">
            <w:pPr>
              <w:pStyle w:val="ListBullet"/>
            </w:pPr>
            <w:r w:rsidRPr="007F66EF">
              <w:t>moulds drawn from the mould store are in good order</w:t>
            </w:r>
          </w:p>
          <w:p w:rsidR="00000000" w:rsidRPr="007F66EF" w:rsidP="007F66EF">
            <w:pPr>
              <w:pStyle w:val="ListBullet"/>
            </w:pPr>
            <w:r w:rsidRPr="007F66EF">
              <w:t>stocks of spares are kept at appropriate levels</w:t>
            </w:r>
          </w:p>
          <w:p w:rsidR="00000000" w:rsidRPr="007F66EF" w:rsidP="007F66EF">
            <w:pPr>
              <w:pStyle w:val="ListBullet"/>
            </w:pPr>
            <w:r w:rsidRPr="007F66EF">
              <w:t>correct moulds are available for required jobs</w:t>
            </w:r>
          </w:p>
          <w:p w:rsidR="00000000" w:rsidRPr="007F66EF" w:rsidP="007F66EF">
            <w:pPr>
              <w:pStyle w:val="ListBullet"/>
            </w:pPr>
            <w:r w:rsidRPr="007F66EF">
              <w:t xml:space="preserve">mould is lubricated to standard </w:t>
            </w:r>
          </w:p>
          <w:p w:rsidR="00000000" w:rsidRPr="007F66EF" w:rsidP="007F66EF">
            <w:pPr>
              <w:pStyle w:val="ListBullet"/>
            </w:pPr>
            <w:r w:rsidRPr="007F66EF">
              <w:t>moulds are made consistently within an appropriate timeframe and with minimum faults</w:t>
            </w:r>
          </w:p>
          <w:p w:rsidR="00000000" w:rsidRPr="007F66EF" w:rsidP="007F66EF">
            <w:pPr>
              <w:pStyle w:val="ListBullet"/>
            </w:pPr>
            <w:r w:rsidRPr="007F66EF">
              <w:t xml:space="preserve">good OHS practice is used consistently. </w:t>
            </w:r>
          </w:p>
          <w:p w:rsidR="00000000" w:rsidP="007F66EF">
            <w:pPr>
              <w:pStyle w:val="BodyText"/>
              <w:rPr>
                <w:lang w:val="en-NZ"/>
              </w:rPr>
            </w:pPr>
            <w:r w:rsidRPr="007F66EF">
              <w:t>Competence must be demonstrated in the operation o</w:t>
            </w:r>
            <w:r w:rsidRPr="007F66EF">
              <w:t>f all ancillary equipment to the level required for this unit of competency.</w:t>
            </w:r>
          </w:p>
        </w:tc>
      </w:tr>
      <w:tr w:rsidTr="00131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 xml:space="preserve">Assessment will require access to an operating plant over an extended period of time, or a suitable method of gathering evidence </w:t>
            </w:r>
            <w:r w:rsidRPr="007F66EF">
              <w:t xml:space="preserve">of operating ability over a range of situations. </w:t>
            </w:r>
          </w:p>
          <w:p w:rsidR="00000000" w:rsidRPr="007F66EF" w:rsidP="007F66EF">
            <w:pPr>
              <w:pStyle w:val="BodyText"/>
            </w:pPr>
            <w:r w:rsidRPr="007F66EF">
              <w:t>Assessment will occur over a range of situations which will include disruptions to normal, smooth operation.</w:t>
            </w:r>
          </w:p>
          <w:p w:rsidR="00000000" w:rsidP="007F66EF">
            <w:pPr>
              <w:pStyle w:val="BodyText"/>
              <w:rPr>
                <w:lang w:val="en-NZ"/>
              </w:rPr>
            </w:pPr>
            <w:r w:rsidRPr="007F66EF">
              <w:t>Simulation or case studies/scenarios may be required to allow for timely assessment of parts of t</w:t>
            </w:r>
            <w:r w:rsidRPr="007F66EF">
              <w:t>his unit of competency. Simulation should be based on the actual plant and will include 'walk-throughs' of the relevant competency components. A bank of scenarios/case studies/what ifs and questions will be required to probe the reasoning behind observable</w:t>
            </w:r>
            <w:r w:rsidRPr="007F66EF">
              <w:t xml:space="preserve"> actions.</w:t>
            </w:r>
          </w:p>
        </w:tc>
      </w:tr>
      <w:tr w:rsidTr="00131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Individual enterprises may choose to add prerequisites and co-requisites relevant to their processes.</w:t>
            </w:r>
          </w:p>
        </w:tc>
      </w:tr>
      <w:tr w:rsidTr="00131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 xml:space="preserve">Assessment processes and techniques must be culturally appropriate and appropriate </w:t>
            </w:r>
            <w:r w:rsidRPr="007F66EF">
              <w:t>to the language and literacy capacity of the candidate and the work being performed.</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11" w:name="O_110377"/>
      <w:bookmarkEnd w:id="11"/>
      <w:r w:rsidRPr="007F66EF">
        <w:t>Range Statement</w:t>
      </w:r>
    </w:p>
    <w:tbl>
      <w:tblPr>
        <w:tblW w:w="0" w:type="auto"/>
        <w:tblLayout w:type="fixed"/>
        <w:tblCellMar>
          <w:left w:w="62" w:type="dxa"/>
          <w:right w:w="62" w:type="dxa"/>
        </w:tblCellMar>
        <w:tblLook w:val="0000"/>
      </w:tblPr>
      <w:tblGrid>
        <w:gridCol w:w="3513"/>
        <w:gridCol w:w="5009"/>
      </w:tblGrid>
      <w:tr w:rsidTr="00131A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RANGE STATEMENT</w:t>
            </w:r>
          </w:p>
        </w:tc>
      </w:tr>
      <w:tr w:rsidTr="00131A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The range statement relates to the unit of competency as a whole. It allows for different work environments and situat</w:t>
            </w:r>
            <w:r w:rsidRPr="007F66EF">
              <w:t>ions that may affect performance. Bold italicised wording, if used in the performance criteria, is detailed below. Essential operating conditions that may be present with training and assessment (depending on the work situation, needs of the candidate, acc</w:t>
            </w:r>
            <w:r w:rsidRPr="007F66EF">
              <w:t>essibility of the item, and local industry and regional contexts) may also be included.</w:t>
            </w:r>
          </w:p>
        </w:tc>
      </w:tr>
      <w:tr w:rsidTr="00131A4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Procedures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t>All operations are performed in accordance with standard procedures and work instructions</w:t>
            </w:r>
          </w:p>
        </w:tc>
      </w:tr>
      <w:tr w:rsidTr="00131A4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Typical problems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Typical problems may include:</w:t>
            </w:r>
          </w:p>
          <w:p w:rsidR="00000000" w:rsidRPr="007F66EF" w:rsidP="007F66EF">
            <w:pPr>
              <w:pStyle w:val="ListBullet"/>
            </w:pPr>
            <w:r w:rsidRPr="007F66EF">
              <w:t>recognition of parts requiring replacement (e.g. stretched rubber, missing bolts)</w:t>
            </w:r>
          </w:p>
          <w:p w:rsidR="00000000" w:rsidRPr="007F66EF" w:rsidP="007F66EF">
            <w:pPr>
              <w:pStyle w:val="ListBullet"/>
            </w:pPr>
            <w:r w:rsidRPr="007F66EF">
              <w:t>selection of appropriate mould parts to replace worn parts</w:t>
            </w:r>
          </w:p>
          <w:p w:rsidR="00000000" w:rsidP="007F66EF">
            <w:pPr>
              <w:pStyle w:val="ListBullet"/>
              <w:rPr>
                <w:lang w:val="en-NZ"/>
              </w:rPr>
            </w:pPr>
            <w:r w:rsidRPr="007F66EF">
              <w:t>interpretation of drawings and matching reinforcement and moulds to drawing</w:t>
            </w:r>
          </w:p>
        </w:tc>
      </w:tr>
      <w:tr w:rsidTr="00131A4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Occupational health and safety</w:t>
            </w:r>
            <w:r w:rsidRPr="007F66EF">
              <w:t xml:space="preserve"> (</w:t>
            </w:r>
            <w:r w:rsidRPr="007F66EF">
              <w:rPr>
                <w:rStyle w:val="SpecialBold"/>
              </w:rPr>
              <w:t>OHS</w:t>
            </w:r>
            <w:r w:rsidRPr="007F66EF">
              <w: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All operations are subject to stringent OHS requirements and these must not be compromised at any time. Where there is an apparent conflict between performance criteria and OHS requirements, the OHS requirements take precedence</w:t>
            </w:r>
          </w:p>
        </w:tc>
      </w:tr>
    </w:tbl>
    <w:p w:rsidR="00131A4F" w:rsidP="007F66EF">
      <w:pPr>
        <w:pStyle w:val="BodyText"/>
      </w:pPr>
    </w:p>
    <w:p w:rsidR="00131A4F" w:rsidP="007F66EF">
      <w:pPr>
        <w:pStyle w:val="BodyText"/>
      </w:pPr>
    </w:p>
    <w:p w:rsidR="00000000" w:rsidRPr="007F66EF" w:rsidP="007F66EF">
      <w:pPr>
        <w:pStyle w:val="Heading1"/>
      </w:pPr>
      <w:bookmarkStart w:id="12" w:name="O_110378"/>
      <w:bookmarkEnd w:id="12"/>
      <w:r w:rsidRPr="007F66EF">
        <w:t>Unit Sec</w:t>
      </w:r>
      <w:r w:rsidRPr="007F66EF">
        <w:t>tor(s)</w:t>
      </w:r>
    </w:p>
    <w:tbl>
      <w:tblPr>
        <w:tblW w:w="0" w:type="auto"/>
        <w:tblLayout w:type="fixed"/>
        <w:tblCellMar>
          <w:left w:w="62" w:type="dxa"/>
          <w:right w:w="62" w:type="dxa"/>
        </w:tblCellMar>
        <w:tblLook w:val="0000"/>
      </w:tblPr>
      <w:tblGrid>
        <w:gridCol w:w="2567"/>
        <w:gridCol w:w="5955"/>
      </w:tblGrid>
      <w:tr w:rsidTr="00131A4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r w:rsidRPr="007F66EF">
              <w:t>Operational/technical</w:t>
            </w: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13" w:name="O_160163"/>
      <w:bookmarkEnd w:id="13"/>
      <w:r w:rsidRPr="007F66EF">
        <w:t>Competency field</w:t>
      </w:r>
    </w:p>
    <w:tbl>
      <w:tblPr>
        <w:tblW w:w="0" w:type="auto"/>
        <w:tblLayout w:type="fixed"/>
        <w:tblCellMar>
          <w:left w:w="62" w:type="dxa"/>
          <w:right w:w="62" w:type="dxa"/>
        </w:tblCellMar>
        <w:tblLook w:val="0000"/>
      </w:tblPr>
      <w:tblGrid>
        <w:gridCol w:w="2784"/>
        <w:gridCol w:w="5738"/>
      </w:tblGrid>
      <w:tr w:rsidTr="00131A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p>
        </w:tc>
      </w:tr>
    </w:tbl>
    <w:p w:rsidR="00000000" w:rsidRPr="007F66EF" w:rsidP="007F66EF">
      <w:pPr>
        <w:pStyle w:val="BodyText"/>
      </w:pPr>
    </w:p>
    <w:p w:rsidR="00000000" w:rsidRPr="007F66EF" w:rsidP="007F66EF">
      <w:pPr>
        <w:pStyle w:val="AllowPageBreak"/>
      </w:pPr>
    </w:p>
    <w:p w:rsidR="00000000" w:rsidRPr="007F66EF" w:rsidP="007F66EF">
      <w:pPr>
        <w:pStyle w:val="Heading1"/>
      </w:pPr>
      <w:bookmarkStart w:id="14" w:name="O_160162"/>
      <w:bookmarkEnd w:id="14"/>
      <w:r w:rsidRPr="007F66EF">
        <w:t>Co-requisite units</w:t>
      </w:r>
    </w:p>
    <w:tbl>
      <w:tblPr>
        <w:tblW w:w="0" w:type="auto"/>
        <w:tblLayout w:type="fixed"/>
        <w:tblCellMar>
          <w:left w:w="62" w:type="dxa"/>
          <w:right w:w="62" w:type="dxa"/>
        </w:tblCellMar>
        <w:tblLook w:val="0000"/>
      </w:tblPr>
      <w:tblGrid>
        <w:gridCol w:w="2641"/>
        <w:gridCol w:w="1322"/>
        <w:gridCol w:w="4559"/>
      </w:tblGrid>
      <w:tr w:rsidTr="00131A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r w:rsidRPr="007F66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p>
        </w:tc>
      </w:tr>
      <w:tr w:rsidTr="00131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EF">
            <w:pPr>
              <w:pStyle w:val="BodyText"/>
              <w:rPr>
                <w:lang w:val="en-NZ"/>
              </w:rPr>
            </w:pPr>
          </w:p>
        </w:tc>
      </w:tr>
      <w:tr w:rsidTr="00131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EF" w:rsidP="007F66EF">
            <w:pPr>
              <w:pStyle w:val="BodyText"/>
            </w:pPr>
          </w:p>
        </w:tc>
      </w:tr>
    </w:tbl>
    <w:p w:rsidR="00000000" w:rsidRPr="007F66EF" w:rsidP="007F66EF">
      <w:pPr>
        <w:pStyle w:val="BodyText"/>
      </w:pPr>
    </w:p>
    <w:p w:rsidR="00000000" w:rsidRPr="007F66EF" w:rsidP="007F66EF"/>
    <w:sectPr w:rsidSect="007F6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A4F" w:rsidP="00131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4F" w:rsidP="007F6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1A4F" w:rsidP="007F66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1A4F" w:rsidP="007F66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A4F" w:rsidP="00131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4F" w:rsidP="007F66EF">
    <w:pPr>
      <w:pStyle w:val="Header"/>
      <w:framePr w:wrap="around"/>
    </w:pPr>
    <w:r>
      <w:fldChar w:fldCharType="begin"/>
    </w:r>
    <w:r>
      <w:instrText xml:space="preserve"> TITLE   \* MERGEFORMAT </w:instrText>
    </w:r>
    <w:r>
      <w:fldChar w:fldCharType="separate"/>
    </w:r>
    <w:r>
      <w:t>PMC552058B Demould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1A4F" w:rsidP="007F66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4D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E5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02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6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6EF"/>
    <w:pPr>
      <w:spacing w:before="360" w:after="60"/>
      <w:outlineLvl w:val="0"/>
    </w:pPr>
    <w:rPr>
      <w:sz w:val="32"/>
    </w:rPr>
  </w:style>
  <w:style w:type="paragraph" w:styleId="Heading2">
    <w:name w:val="heading 2"/>
    <w:basedOn w:val="HeadingBase"/>
    <w:next w:val="BodyText"/>
    <w:link w:val="Heading2Char"/>
    <w:qFormat/>
    <w:rsid w:val="007F66EF"/>
    <w:pPr>
      <w:keepLines/>
      <w:spacing w:before="240" w:after="120"/>
      <w:outlineLvl w:val="1"/>
    </w:pPr>
    <w:rPr>
      <w:sz w:val="28"/>
      <w:szCs w:val="40"/>
    </w:rPr>
  </w:style>
  <w:style w:type="paragraph" w:styleId="Heading3">
    <w:name w:val="heading 3"/>
    <w:basedOn w:val="HeadingBase"/>
    <w:next w:val="BodyText"/>
    <w:link w:val="Heading3Char"/>
    <w:qFormat/>
    <w:rsid w:val="007F66EF"/>
    <w:pPr>
      <w:spacing w:before="180" w:after="120"/>
      <w:outlineLvl w:val="2"/>
    </w:pPr>
    <w:rPr>
      <w:spacing w:val="-10"/>
      <w:kern w:val="32"/>
    </w:rPr>
  </w:style>
  <w:style w:type="paragraph" w:styleId="Heading4">
    <w:name w:val="heading 4"/>
    <w:basedOn w:val="HeadingBase"/>
    <w:next w:val="BodyText"/>
    <w:link w:val="Heading4Char"/>
    <w:qFormat/>
    <w:rsid w:val="007F66EF"/>
    <w:pPr>
      <w:spacing w:before="160" w:after="120"/>
      <w:outlineLvl w:val="3"/>
    </w:pPr>
    <w:rPr>
      <w:sz w:val="22"/>
    </w:rPr>
  </w:style>
  <w:style w:type="paragraph" w:styleId="Heading5">
    <w:name w:val="heading 5"/>
    <w:basedOn w:val="HeadingBase"/>
    <w:next w:val="Normal"/>
    <w:link w:val="Heading5Char"/>
    <w:qFormat/>
    <w:rsid w:val="007F66EF"/>
    <w:pPr>
      <w:spacing w:before="80"/>
      <w:outlineLvl w:val="4"/>
    </w:pPr>
    <w:rPr>
      <w:color w:val="918585"/>
      <w:sz w:val="20"/>
    </w:rPr>
  </w:style>
  <w:style w:type="paragraph" w:styleId="Heading6">
    <w:name w:val="heading 6"/>
    <w:basedOn w:val="HeadingBase"/>
    <w:next w:val="Normal"/>
    <w:link w:val="Heading6Char"/>
    <w:qFormat/>
    <w:rsid w:val="007F66EF"/>
    <w:pPr>
      <w:spacing w:before="60"/>
      <w:outlineLvl w:val="5"/>
    </w:pPr>
    <w:rPr>
      <w:color w:val="918585"/>
      <w:sz w:val="20"/>
    </w:rPr>
  </w:style>
  <w:style w:type="paragraph" w:styleId="Heading7">
    <w:name w:val="heading 7"/>
    <w:basedOn w:val="Normal"/>
    <w:next w:val="Normal"/>
    <w:link w:val="Heading7Char"/>
    <w:qFormat/>
    <w:rsid w:val="007F66EF"/>
    <w:pPr>
      <w:ind w:left="720"/>
      <w:outlineLvl w:val="6"/>
    </w:pPr>
    <w:rPr>
      <w:i/>
    </w:rPr>
  </w:style>
  <w:style w:type="paragraph" w:styleId="Heading8">
    <w:name w:val="heading 8"/>
    <w:basedOn w:val="Normal"/>
    <w:next w:val="Normal"/>
    <w:link w:val="Heading8Char"/>
    <w:qFormat/>
    <w:rsid w:val="007F66EF"/>
    <w:pPr>
      <w:ind w:left="720"/>
      <w:outlineLvl w:val="7"/>
    </w:pPr>
    <w:rPr>
      <w:i/>
    </w:rPr>
  </w:style>
  <w:style w:type="paragraph" w:styleId="Heading9">
    <w:name w:val="heading 9"/>
    <w:basedOn w:val="Normal"/>
    <w:next w:val="Normal"/>
    <w:link w:val="Heading9Char"/>
    <w:qFormat/>
    <w:rsid w:val="007F66EF"/>
    <w:pPr>
      <w:ind w:left="720"/>
      <w:outlineLvl w:val="8"/>
    </w:pPr>
    <w:rPr>
      <w:i/>
    </w:rPr>
  </w:style>
  <w:style w:type="character" w:default="1" w:styleId="DefaultParagraphFont">
    <w:name w:val="Default Paragraph Font"/>
    <w:uiPriority w:val="1"/>
    <w:unhideWhenUsed/>
    <w:rsid w:val="007F6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6EF"/>
  </w:style>
  <w:style w:type="character" w:customStyle="1" w:styleId="Heading1Char">
    <w:name w:val="Heading 1 Char"/>
    <w:basedOn w:val="DefaultParagraphFont"/>
    <w:link w:val="Heading1"/>
    <w:rsid w:val="007F66EF"/>
    <w:rPr>
      <w:rFonts w:ascii="Times New Roman" w:eastAsia="Times New Roman" w:hAnsi="Times New Roman" w:cs="Times New Roman"/>
      <w:b/>
      <w:sz w:val="32"/>
      <w:szCs w:val="20"/>
      <w:lang w:eastAsia="en-US"/>
    </w:rPr>
  </w:style>
  <w:style w:type="paragraph" w:styleId="BodyText">
    <w:name w:val="Body Text"/>
    <w:basedOn w:val="Normal"/>
    <w:link w:val="BodyTextChar"/>
    <w:rsid w:val="007F66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6EF"/>
    <w:rPr>
      <w:rFonts w:ascii="Times New Roman" w:eastAsia="Times New Roman" w:hAnsi="Times New Roman" w:cs="Times New Roman"/>
      <w:sz w:val="24"/>
      <w:lang w:val="en-US" w:eastAsia="en-US"/>
    </w:rPr>
  </w:style>
  <w:style w:type="paragraph" w:styleId="Footer">
    <w:name w:val="footer"/>
    <w:basedOn w:val="Normal"/>
    <w:link w:val="FooterChar"/>
    <w:rsid w:val="007F6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6EF"/>
    <w:rPr>
      <w:rFonts w:ascii="Times New Roman" w:eastAsia="Times New Roman" w:hAnsi="Times New Roman" w:cs="Times New Roman"/>
      <w:sz w:val="16"/>
      <w:lang w:val="en-US" w:eastAsia="en-US"/>
    </w:rPr>
  </w:style>
  <w:style w:type="paragraph" w:styleId="List">
    <w:name w:val="List"/>
    <w:basedOn w:val="BodyText"/>
    <w:next w:val="BodyText"/>
    <w:rsid w:val="007F66EF"/>
    <w:pPr>
      <w:tabs>
        <w:tab w:val="left" w:pos="340"/>
      </w:tabs>
      <w:spacing w:before="60" w:after="60"/>
      <w:ind w:left="340" w:hanging="340"/>
    </w:pPr>
  </w:style>
  <w:style w:type="paragraph" w:styleId="ListBullet">
    <w:name w:val="List Bullet"/>
    <w:basedOn w:val="List"/>
    <w:rsid w:val="007F66EF"/>
    <w:pPr>
      <w:numPr>
        <w:numId w:val="13"/>
      </w:numPr>
      <w:tabs>
        <w:tab w:val="clear" w:pos="340"/>
      </w:tabs>
      <w:spacing w:before="40" w:after="40"/>
    </w:pPr>
  </w:style>
  <w:style w:type="character" w:customStyle="1" w:styleId="SpecialBold">
    <w:name w:val="Special Bold"/>
    <w:basedOn w:val="DefaultParagraphFont"/>
    <w:rsid w:val="007F66EF"/>
    <w:rPr>
      <w:b/>
      <w:spacing w:val="0"/>
    </w:rPr>
  </w:style>
  <w:style w:type="paragraph" w:styleId="ListBullet2">
    <w:name w:val="List Bullet 2"/>
    <w:basedOn w:val="List2"/>
    <w:rsid w:val="007F66EF"/>
    <w:pPr>
      <w:numPr>
        <w:numId w:val="14"/>
      </w:numPr>
      <w:tabs>
        <w:tab w:val="clear" w:pos="680"/>
      </w:tabs>
    </w:pPr>
  </w:style>
  <w:style w:type="paragraph" w:styleId="Header">
    <w:name w:val="header"/>
    <w:basedOn w:val="Normal"/>
    <w:link w:val="HeaderChar"/>
    <w:rsid w:val="007F6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6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6EF"/>
    <w:pPr>
      <w:spacing w:before="240" w:after="120"/>
      <w:outlineLvl w:val="0"/>
    </w:pPr>
    <w:rPr>
      <w:rFonts w:ascii="Times New Roman" w:hAnsi="Times New Roman"/>
      <w:b/>
      <w:sz w:val="28"/>
    </w:rPr>
  </w:style>
  <w:style w:type="paragraph" w:customStyle="1" w:styleId="AllowPageBreak">
    <w:name w:val="AllowPageBreak"/>
    <w:rsid w:val="007F66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6EF"/>
    <w:pPr>
      <w:tabs>
        <w:tab w:val="left" w:pos="680"/>
      </w:tabs>
      <w:spacing w:before="60" w:after="60"/>
      <w:ind w:left="680" w:hanging="340"/>
    </w:pPr>
  </w:style>
  <w:style w:type="character" w:customStyle="1" w:styleId="Heading2Char">
    <w:name w:val="Heading 2 Char"/>
    <w:basedOn w:val="DefaultParagraphFont"/>
    <w:link w:val="Heading2"/>
    <w:rsid w:val="007F6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6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6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6EF"/>
    <w:rPr>
      <w:rFonts w:ascii="Courier New" w:eastAsia="Times New Roman" w:hAnsi="Courier New" w:cs="Times New Roman"/>
      <w:i/>
      <w:szCs w:val="20"/>
      <w:lang w:val="en-US" w:eastAsia="en-US"/>
    </w:rPr>
  </w:style>
  <w:style w:type="paragraph" w:customStyle="1" w:styleId="HeadingBase">
    <w:name w:val="Heading Base"/>
    <w:rsid w:val="007F6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6EF"/>
    <w:pPr>
      <w:tabs>
        <w:tab w:val="right" w:leader="dot" w:pos="9072"/>
      </w:tabs>
      <w:ind w:left="567"/>
    </w:pPr>
    <w:rPr>
      <w:szCs w:val="22"/>
    </w:rPr>
  </w:style>
  <w:style w:type="paragraph" w:customStyle="1" w:styleId="TOCBase">
    <w:name w:val="TOC Base"/>
    <w:rsid w:val="007F6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6EF"/>
    <w:pPr>
      <w:tabs>
        <w:tab w:val="right" w:leader="dot" w:pos="9072"/>
      </w:tabs>
      <w:spacing w:before="40" w:after="40"/>
      <w:ind w:left="284"/>
    </w:pPr>
    <w:rPr>
      <w:rFonts w:ascii="Times New Roman" w:hAnsi="Times New Roman"/>
    </w:rPr>
  </w:style>
  <w:style w:type="paragraph" w:styleId="TOC1">
    <w:name w:val="toc 1"/>
    <w:basedOn w:val="TOCBase"/>
    <w:next w:val="Normal"/>
    <w:rsid w:val="007F66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6EF"/>
    <w:pPr>
      <w:spacing w:before="5040"/>
      <w:jc w:val="center"/>
    </w:pPr>
    <w:rPr>
      <w:sz w:val="48"/>
      <w:szCs w:val="72"/>
      <w:lang w:val="en-US"/>
    </w:rPr>
  </w:style>
  <w:style w:type="character" w:customStyle="1" w:styleId="TitleChar">
    <w:name w:val="Title Char"/>
    <w:basedOn w:val="DefaultParagraphFont"/>
    <w:link w:val="Title"/>
    <w:rsid w:val="007F6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6EF"/>
    <w:pPr>
      <w:tabs>
        <w:tab w:val="left" w:pos="3600"/>
        <w:tab w:val="left" w:pos="3958"/>
      </w:tabs>
    </w:pPr>
  </w:style>
  <w:style w:type="paragraph" w:customStyle="1" w:styleId="Note">
    <w:name w:val="Note"/>
    <w:basedOn w:val="BodyText"/>
    <w:rsid w:val="007F6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6EF"/>
    <w:pPr>
      <w:framePr w:wrap="auto" w:hAnchor="text" w:y="6049"/>
    </w:pPr>
    <w:rPr>
      <w:color w:val="000000"/>
      <w:sz w:val="40"/>
    </w:rPr>
  </w:style>
  <w:style w:type="paragraph" w:customStyle="1" w:styleId="TOCTitle">
    <w:name w:val="TOCTitle"/>
    <w:basedOn w:val="Heading1"/>
    <w:rsid w:val="007F66EF"/>
    <w:pPr>
      <w:spacing w:after="240"/>
      <w:jc w:val="center"/>
      <w:outlineLvl w:val="9"/>
    </w:pPr>
    <w:rPr>
      <w:caps/>
    </w:rPr>
  </w:style>
  <w:style w:type="paragraph" w:customStyle="1" w:styleId="Version">
    <w:name w:val="Version"/>
    <w:rsid w:val="007F66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6EF"/>
    <w:pPr>
      <w:keepNext w:val="0"/>
      <w:tabs>
        <w:tab w:val="right" w:pos="4176"/>
      </w:tabs>
      <w:ind w:left="198" w:hanging="198"/>
    </w:pPr>
    <w:rPr>
      <w:rFonts w:ascii="Garamond" w:hAnsi="Garamond"/>
    </w:rPr>
  </w:style>
  <w:style w:type="paragraph" w:styleId="IndexHeading">
    <w:name w:val="index heading"/>
    <w:basedOn w:val="Normal"/>
    <w:next w:val="Index1"/>
    <w:semiHidden/>
    <w:rsid w:val="007F66EF"/>
    <w:pPr>
      <w:spacing w:before="120" w:after="120"/>
    </w:pPr>
    <w:rPr>
      <w:rFonts w:ascii="Arial" w:hAnsi="Arial"/>
      <w:b/>
      <w:color w:val="918585"/>
      <w:sz w:val="24"/>
    </w:rPr>
  </w:style>
  <w:style w:type="paragraph" w:customStyle="1" w:styleId="Chapter">
    <w:name w:val="Chapter"/>
    <w:basedOn w:val="Normal"/>
    <w:rsid w:val="007F66EF"/>
    <w:pPr>
      <w:spacing w:before="240"/>
    </w:pPr>
    <w:rPr>
      <w:rFonts w:ascii="Times New Roman" w:hAnsi="Times New Roman"/>
      <w:smallCaps/>
      <w:spacing w:val="80"/>
      <w:sz w:val="28"/>
    </w:rPr>
  </w:style>
  <w:style w:type="paragraph" w:customStyle="1" w:styleId="InChapter">
    <w:name w:val="InChapter"/>
    <w:basedOn w:val="Heading3"/>
    <w:rsid w:val="007F66EF"/>
    <w:pPr>
      <w:spacing w:after="240"/>
      <w:outlineLvl w:val="9"/>
    </w:pPr>
    <w:rPr>
      <w:noProof/>
    </w:rPr>
  </w:style>
  <w:style w:type="paragraph" w:styleId="Index2">
    <w:name w:val="index 2"/>
    <w:basedOn w:val="Normal"/>
    <w:next w:val="Normal"/>
    <w:semiHidden/>
    <w:rsid w:val="007F66EF"/>
    <w:pPr>
      <w:tabs>
        <w:tab w:val="right" w:pos="4176"/>
      </w:tabs>
      <w:ind w:left="568" w:hanging="284"/>
    </w:pPr>
    <w:rPr>
      <w:rFonts w:ascii="Garamond" w:hAnsi="Garamond"/>
    </w:rPr>
  </w:style>
  <w:style w:type="paragraph" w:customStyle="1" w:styleId="Byline">
    <w:name w:val="Byline"/>
    <w:rsid w:val="007F6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6EF"/>
    <w:pPr>
      <w:tabs>
        <w:tab w:val="clear" w:pos="3600"/>
        <w:tab w:val="clear" w:pos="3958"/>
      </w:tabs>
      <w:jc w:val="right"/>
    </w:pPr>
  </w:style>
  <w:style w:type="character" w:styleId="Emphasis">
    <w:name w:val="Emphasis"/>
    <w:basedOn w:val="DefaultParagraphFont"/>
    <w:qFormat/>
    <w:rsid w:val="007F66EF"/>
    <w:rPr>
      <w:i/>
    </w:rPr>
  </w:style>
  <w:style w:type="paragraph" w:styleId="Caption">
    <w:name w:val="caption"/>
    <w:basedOn w:val="BodyText"/>
    <w:next w:val="Normal"/>
    <w:qFormat/>
    <w:rsid w:val="007F66EF"/>
    <w:pPr>
      <w:framePr w:w="2268" w:hSpace="181" w:vSpace="181" w:wrap="around" w:vAnchor="text" w:hAnchor="page" w:x="1135" w:y="285" w:anchorLock="1"/>
    </w:pPr>
    <w:rPr>
      <w:i/>
    </w:rPr>
  </w:style>
  <w:style w:type="paragraph" w:customStyle="1" w:styleId="MiniTOCTitle">
    <w:name w:val="MiniTOCTitle"/>
    <w:basedOn w:val="Heading4"/>
    <w:rsid w:val="007F66EF"/>
    <w:pPr>
      <w:spacing w:before="240"/>
      <w:outlineLvl w:val="9"/>
    </w:pPr>
    <w:rPr>
      <w:noProof/>
      <w:sz w:val="24"/>
    </w:rPr>
  </w:style>
  <w:style w:type="paragraph" w:customStyle="1" w:styleId="MiniTOCItem">
    <w:name w:val="MiniTOCItem"/>
    <w:basedOn w:val="ListBullet"/>
    <w:rsid w:val="007F66EF"/>
    <w:pPr>
      <w:numPr>
        <w:numId w:val="0"/>
      </w:numPr>
      <w:tabs>
        <w:tab w:val="right" w:leader="dot" w:pos="6521"/>
      </w:tabs>
      <w:spacing w:before="0" w:after="0"/>
    </w:pPr>
  </w:style>
  <w:style w:type="paragraph" w:customStyle="1" w:styleId="TOFTitle">
    <w:name w:val="TOFTitle"/>
    <w:basedOn w:val="TOCTitle"/>
    <w:rsid w:val="007F66EF"/>
  </w:style>
  <w:style w:type="paragraph" w:styleId="TableofFigures">
    <w:name w:val="table of figures"/>
    <w:basedOn w:val="Normal"/>
    <w:next w:val="Normal"/>
    <w:semiHidden/>
    <w:rsid w:val="007F66EF"/>
    <w:pPr>
      <w:tabs>
        <w:tab w:val="right" w:leader="dot" w:pos="9072"/>
      </w:tabs>
      <w:ind w:left="970" w:hanging="403"/>
    </w:pPr>
    <w:rPr>
      <w:rFonts w:ascii="Times New Roman" w:hAnsi="Times New Roman"/>
      <w:b/>
    </w:rPr>
  </w:style>
  <w:style w:type="paragraph" w:styleId="ListNumber">
    <w:name w:val="List Number"/>
    <w:basedOn w:val="List"/>
    <w:rsid w:val="007F66EF"/>
    <w:pPr>
      <w:numPr>
        <w:numId w:val="11"/>
      </w:numPr>
    </w:pPr>
  </w:style>
  <w:style w:type="character" w:customStyle="1" w:styleId="WingdingSymbols">
    <w:name w:val="Wingding Symbols"/>
    <w:rsid w:val="007F66EF"/>
    <w:rPr>
      <w:rFonts w:ascii="Wingdings" w:hAnsi="Wingdings"/>
    </w:rPr>
  </w:style>
  <w:style w:type="paragraph" w:customStyle="1" w:styleId="TableHeading">
    <w:name w:val="Table Heading"/>
    <w:basedOn w:val="HeadingBase"/>
    <w:rsid w:val="007F66EF"/>
    <w:pPr>
      <w:keepLines/>
      <w:pBdr>
        <w:bottom w:val="single" w:sz="6" w:space="1" w:color="918585"/>
      </w:pBdr>
      <w:spacing w:before="240"/>
    </w:pPr>
  </w:style>
  <w:style w:type="character" w:customStyle="1" w:styleId="HotSpot">
    <w:name w:val="HotSpot"/>
    <w:rsid w:val="007F66EF"/>
    <w:rPr>
      <w:color w:val="0033CC"/>
      <w:u w:val="none"/>
    </w:rPr>
  </w:style>
  <w:style w:type="paragraph" w:customStyle="1" w:styleId="BodyTextRight">
    <w:name w:val="Body Text Right"/>
    <w:basedOn w:val="BodyText"/>
    <w:rsid w:val="007F66EF"/>
    <w:pPr>
      <w:spacing w:before="0" w:after="0"/>
      <w:jc w:val="right"/>
    </w:pPr>
  </w:style>
  <w:style w:type="paragraph" w:styleId="Index3">
    <w:name w:val="index 3"/>
    <w:basedOn w:val="ListNumber2"/>
    <w:next w:val="Normal"/>
    <w:semiHidden/>
    <w:rsid w:val="007F66EF"/>
    <w:pPr>
      <w:numPr>
        <w:numId w:val="0"/>
      </w:numPr>
      <w:tabs>
        <w:tab w:val="right" w:leader="dot" w:pos="4176"/>
      </w:tabs>
    </w:pPr>
  </w:style>
  <w:style w:type="paragraph" w:styleId="ListNumber2">
    <w:name w:val="List Number 2"/>
    <w:basedOn w:val="List2"/>
    <w:rsid w:val="007F66EF"/>
    <w:pPr>
      <w:numPr>
        <w:numId w:val="10"/>
      </w:numPr>
      <w:tabs>
        <w:tab w:val="clear" w:pos="1060"/>
      </w:tabs>
    </w:pPr>
  </w:style>
  <w:style w:type="paragraph" w:customStyle="1" w:styleId="MarginNote">
    <w:name w:val="Margin Note"/>
    <w:basedOn w:val="BodyText"/>
    <w:rsid w:val="007F6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6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6EF"/>
    <w:rPr>
      <w:sz w:val="32"/>
    </w:rPr>
  </w:style>
  <w:style w:type="paragraph" w:customStyle="1" w:styleId="HeadingProcedure">
    <w:name w:val="Heading Procedure"/>
    <w:basedOn w:val="HeadingBase"/>
    <w:next w:val="Normal"/>
    <w:rsid w:val="007F66EF"/>
    <w:pPr>
      <w:tabs>
        <w:tab w:val="left" w:pos="0"/>
      </w:tabs>
      <w:spacing w:before="120" w:after="60"/>
    </w:pPr>
    <w:rPr>
      <w:i/>
      <w:color w:val="918585"/>
      <w:sz w:val="22"/>
    </w:rPr>
  </w:style>
  <w:style w:type="paragraph" w:customStyle="1" w:styleId="TableBodyText">
    <w:name w:val="Table Body Text"/>
    <w:basedOn w:val="BodyText"/>
    <w:rsid w:val="007F66EF"/>
    <w:pPr>
      <w:spacing w:before="60" w:after="60"/>
    </w:pPr>
  </w:style>
  <w:style w:type="paragraph" w:styleId="ListContinue">
    <w:name w:val="List Continue"/>
    <w:basedOn w:val="List"/>
    <w:rsid w:val="007F66EF"/>
    <w:pPr>
      <w:ind w:firstLine="0"/>
    </w:pPr>
  </w:style>
  <w:style w:type="paragraph" w:customStyle="1" w:styleId="ListNote">
    <w:name w:val="List Note"/>
    <w:basedOn w:val="List"/>
    <w:rsid w:val="007F66EF"/>
    <w:pPr>
      <w:pBdr>
        <w:top w:val="single" w:sz="6" w:space="2" w:color="918585"/>
        <w:bottom w:val="single" w:sz="6" w:space="2" w:color="918585"/>
      </w:pBdr>
      <w:tabs>
        <w:tab w:val="left" w:pos="1021"/>
      </w:tabs>
      <w:ind w:firstLine="0"/>
    </w:pPr>
  </w:style>
  <w:style w:type="paragraph" w:customStyle="1" w:styleId="Warning">
    <w:name w:val="Warning"/>
    <w:basedOn w:val="BodyText"/>
    <w:rsid w:val="007F66EF"/>
    <w:pPr>
      <w:shd w:val="clear" w:color="auto" w:fill="D9D9D9"/>
      <w:tabs>
        <w:tab w:val="left" w:pos="992"/>
      </w:tabs>
      <w:ind w:left="119" w:right="119"/>
    </w:pPr>
    <w:rPr>
      <w:sz w:val="20"/>
    </w:rPr>
  </w:style>
  <w:style w:type="paragraph" w:customStyle="1" w:styleId="MarginIcons">
    <w:name w:val="Margin Icons"/>
    <w:basedOn w:val="BodyText"/>
    <w:rsid w:val="007F6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6EF"/>
    <w:rPr>
      <w:rFonts w:ascii="Courier New" w:hAnsi="Courier New"/>
    </w:rPr>
  </w:style>
  <w:style w:type="paragraph" w:customStyle="1" w:styleId="NoteBullet">
    <w:name w:val="Note Bullet"/>
    <w:basedOn w:val="Note"/>
    <w:rsid w:val="007F66EF"/>
    <w:pPr>
      <w:tabs>
        <w:tab w:val="clear" w:pos="680"/>
      </w:tabs>
      <w:spacing w:before="60" w:after="60"/>
    </w:pPr>
  </w:style>
  <w:style w:type="paragraph" w:customStyle="1" w:styleId="SubHeading2">
    <w:name w:val="SubHeading2"/>
    <w:basedOn w:val="HeadingBase"/>
    <w:rsid w:val="007F66EF"/>
    <w:pPr>
      <w:spacing w:before="240" w:after="60"/>
    </w:pPr>
    <w:rPr>
      <w:sz w:val="20"/>
    </w:rPr>
  </w:style>
  <w:style w:type="paragraph" w:customStyle="1" w:styleId="SubHeading1">
    <w:name w:val="SubHeading1"/>
    <w:basedOn w:val="HeadingBase"/>
    <w:rsid w:val="007F66EF"/>
    <w:pPr>
      <w:spacing w:before="240" w:after="60"/>
    </w:pPr>
    <w:rPr>
      <w:color w:val="918585"/>
      <w:sz w:val="22"/>
    </w:rPr>
  </w:style>
  <w:style w:type="paragraph" w:customStyle="1" w:styleId="SideHeading">
    <w:name w:val="Side Heading"/>
    <w:basedOn w:val="HeadingBase"/>
    <w:rsid w:val="007F6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6EF"/>
    <w:pPr>
      <w:numPr>
        <w:numId w:val="12"/>
      </w:numPr>
    </w:pPr>
  </w:style>
  <w:style w:type="paragraph" w:styleId="PlainText">
    <w:name w:val="Plain Text"/>
    <w:basedOn w:val="Normal"/>
    <w:link w:val="PlainTextChar"/>
    <w:rsid w:val="007F66EF"/>
    <w:rPr>
      <w:sz w:val="20"/>
    </w:rPr>
  </w:style>
  <w:style w:type="character" w:customStyle="1" w:styleId="PlainTextChar">
    <w:name w:val="Plain Text Char"/>
    <w:basedOn w:val="DefaultParagraphFont"/>
    <w:link w:val="PlainText"/>
    <w:rsid w:val="007F66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6EF"/>
    <w:rPr>
      <w:b/>
      <w:smallCaps/>
    </w:rPr>
  </w:style>
  <w:style w:type="paragraph" w:customStyle="1" w:styleId="TableListNumber">
    <w:name w:val="Table List Number"/>
    <w:basedOn w:val="ListNumber"/>
    <w:rsid w:val="007F66EF"/>
    <w:pPr>
      <w:numPr>
        <w:numId w:val="0"/>
      </w:numPr>
    </w:pPr>
  </w:style>
  <w:style w:type="paragraph" w:styleId="TOC4">
    <w:name w:val="toc 4"/>
    <w:basedOn w:val="TOCBase"/>
    <w:next w:val="Normal"/>
    <w:semiHidden/>
    <w:rsid w:val="007F66EF"/>
    <w:pPr>
      <w:tabs>
        <w:tab w:val="right" w:leader="dot" w:pos="9071"/>
      </w:tabs>
      <w:ind w:left="1701"/>
    </w:pPr>
  </w:style>
  <w:style w:type="paragraph" w:customStyle="1" w:styleId="ListAlpha">
    <w:name w:val="List Alpha"/>
    <w:basedOn w:val="List"/>
    <w:rsid w:val="007F66EF"/>
    <w:pPr>
      <w:numPr>
        <w:numId w:val="9"/>
      </w:numPr>
    </w:pPr>
  </w:style>
  <w:style w:type="paragraph" w:customStyle="1" w:styleId="ListAlpha2">
    <w:name w:val="List Alpha 2"/>
    <w:basedOn w:val="List2"/>
    <w:rsid w:val="007F66EF"/>
    <w:pPr>
      <w:numPr>
        <w:numId w:val="8"/>
      </w:numPr>
    </w:pPr>
  </w:style>
  <w:style w:type="paragraph" w:styleId="List3">
    <w:name w:val="List 3"/>
    <w:basedOn w:val="BodyText"/>
    <w:rsid w:val="007F66EF"/>
    <w:pPr>
      <w:tabs>
        <w:tab w:val="left" w:pos="1021"/>
      </w:tabs>
      <w:spacing w:before="60" w:after="60"/>
      <w:ind w:left="1020" w:hanging="340"/>
    </w:pPr>
  </w:style>
  <w:style w:type="paragraph" w:styleId="List4">
    <w:name w:val="List 4"/>
    <w:basedOn w:val="BodyText"/>
    <w:rsid w:val="007F66EF"/>
    <w:pPr>
      <w:tabs>
        <w:tab w:val="left" w:pos="1361"/>
      </w:tabs>
      <w:spacing w:before="60" w:after="60"/>
      <w:ind w:left="1361" w:hanging="340"/>
    </w:pPr>
  </w:style>
  <w:style w:type="paragraph" w:styleId="List5">
    <w:name w:val="List 5"/>
    <w:basedOn w:val="BodyText"/>
    <w:rsid w:val="007F66EF"/>
    <w:pPr>
      <w:tabs>
        <w:tab w:val="left" w:pos="1701"/>
      </w:tabs>
      <w:spacing w:before="60" w:after="60"/>
      <w:ind w:left="1701" w:hanging="340"/>
    </w:pPr>
  </w:style>
  <w:style w:type="paragraph" w:styleId="ListBullet3">
    <w:name w:val="List Bullet 3"/>
    <w:basedOn w:val="List3"/>
    <w:rsid w:val="007F66EF"/>
    <w:pPr>
      <w:numPr>
        <w:numId w:val="15"/>
      </w:numPr>
      <w:tabs>
        <w:tab w:val="clear" w:pos="1021"/>
      </w:tabs>
      <w:ind w:left="1037" w:hanging="357"/>
    </w:pPr>
  </w:style>
  <w:style w:type="paragraph" w:styleId="ListBullet4">
    <w:name w:val="List Bullet 4"/>
    <w:basedOn w:val="List4"/>
    <w:rsid w:val="007F66EF"/>
    <w:pPr>
      <w:numPr>
        <w:numId w:val="3"/>
      </w:numPr>
    </w:pPr>
  </w:style>
  <w:style w:type="paragraph" w:styleId="ListBullet5">
    <w:name w:val="List Bullet 5"/>
    <w:basedOn w:val="List5"/>
    <w:rsid w:val="007F66EF"/>
    <w:pPr>
      <w:numPr>
        <w:numId w:val="4"/>
      </w:numPr>
    </w:pPr>
  </w:style>
  <w:style w:type="paragraph" w:styleId="ListContinue2">
    <w:name w:val="List Continue 2"/>
    <w:basedOn w:val="List2"/>
    <w:rsid w:val="007F66EF"/>
    <w:pPr>
      <w:ind w:firstLine="0"/>
    </w:pPr>
  </w:style>
  <w:style w:type="paragraph" w:styleId="ListContinue3">
    <w:name w:val="List Continue 3"/>
    <w:basedOn w:val="List3"/>
    <w:rsid w:val="007F66EF"/>
    <w:pPr>
      <w:ind w:left="1021" w:firstLine="0"/>
    </w:pPr>
  </w:style>
  <w:style w:type="paragraph" w:styleId="ListContinue4">
    <w:name w:val="List Continue 4"/>
    <w:basedOn w:val="List4"/>
    <w:rsid w:val="007F66EF"/>
    <w:pPr>
      <w:ind w:firstLine="0"/>
    </w:pPr>
  </w:style>
  <w:style w:type="paragraph" w:styleId="ListContinue5">
    <w:name w:val="List Continue 5"/>
    <w:basedOn w:val="List5"/>
    <w:rsid w:val="007F66EF"/>
    <w:pPr>
      <w:ind w:firstLine="0"/>
    </w:pPr>
  </w:style>
  <w:style w:type="paragraph" w:styleId="ListNumber3">
    <w:name w:val="List Number 3"/>
    <w:basedOn w:val="List3"/>
    <w:rsid w:val="007F66EF"/>
    <w:pPr>
      <w:numPr>
        <w:numId w:val="5"/>
      </w:numPr>
    </w:pPr>
  </w:style>
  <w:style w:type="paragraph" w:styleId="ListNumber4">
    <w:name w:val="List Number 4"/>
    <w:basedOn w:val="List4"/>
    <w:rsid w:val="007F66EF"/>
    <w:pPr>
      <w:numPr>
        <w:numId w:val="6"/>
      </w:numPr>
    </w:pPr>
  </w:style>
  <w:style w:type="paragraph" w:styleId="ListNumber5">
    <w:name w:val="List Number 5"/>
    <w:basedOn w:val="List5"/>
    <w:rsid w:val="007F66EF"/>
    <w:pPr>
      <w:numPr>
        <w:numId w:val="7"/>
      </w:numPr>
    </w:pPr>
  </w:style>
  <w:style w:type="paragraph" w:styleId="BlockText">
    <w:name w:val="Block Text"/>
    <w:basedOn w:val="Normal"/>
    <w:rsid w:val="007F66EF"/>
    <w:pPr>
      <w:spacing w:after="120"/>
      <w:ind w:left="1440" w:right="1440"/>
    </w:pPr>
  </w:style>
  <w:style w:type="character" w:customStyle="1" w:styleId="Subscript">
    <w:name w:val="Subscript"/>
    <w:basedOn w:val="DefaultParagraphFont"/>
    <w:rsid w:val="007F66EF"/>
    <w:rPr>
      <w:sz w:val="16"/>
      <w:vertAlign w:val="subscript"/>
    </w:rPr>
  </w:style>
  <w:style w:type="character" w:customStyle="1" w:styleId="Superscript">
    <w:name w:val="Superscript"/>
    <w:basedOn w:val="DefaultParagraphFont"/>
    <w:rsid w:val="007F66EF"/>
    <w:rPr>
      <w:sz w:val="16"/>
      <w:vertAlign w:val="superscript"/>
    </w:rPr>
  </w:style>
  <w:style w:type="character" w:customStyle="1" w:styleId="Symbols">
    <w:name w:val="Symbols"/>
    <w:basedOn w:val="DefaultParagraphFont"/>
    <w:rsid w:val="007F66EF"/>
    <w:rPr>
      <w:rFonts w:ascii="Symbol" w:hAnsi="Symbol"/>
    </w:rPr>
  </w:style>
  <w:style w:type="character" w:customStyle="1" w:styleId="MenuOptions">
    <w:name w:val="Menu Options"/>
    <w:basedOn w:val="DefaultParagraphFont"/>
    <w:rsid w:val="007F66EF"/>
    <w:rPr>
      <w:rFonts w:ascii="Arial Narrow" w:hAnsi="Arial Narrow"/>
      <w:smallCaps/>
    </w:rPr>
  </w:style>
  <w:style w:type="character" w:customStyle="1" w:styleId="Buttons">
    <w:name w:val="Buttons"/>
    <w:basedOn w:val="DefaultParagraphFont"/>
    <w:rsid w:val="007F66EF"/>
    <w:rPr>
      <w:b/>
    </w:rPr>
  </w:style>
  <w:style w:type="character" w:customStyle="1" w:styleId="Underlined">
    <w:name w:val="Underlined"/>
    <w:basedOn w:val="DefaultParagraphFont"/>
    <w:rsid w:val="007F66EF"/>
    <w:rPr>
      <w:u w:val="single"/>
    </w:rPr>
  </w:style>
  <w:style w:type="paragraph" w:customStyle="1" w:styleId="TableBodyTextRight">
    <w:name w:val="Table Body Text Right"/>
    <w:basedOn w:val="TableBodyText"/>
    <w:rsid w:val="007F66EF"/>
    <w:pPr>
      <w:widowControl w:val="0"/>
      <w:autoSpaceDE w:val="0"/>
      <w:autoSpaceDN w:val="0"/>
      <w:adjustRightInd w:val="0"/>
      <w:jc w:val="right"/>
    </w:pPr>
    <w:rPr>
      <w:rFonts w:cs="Arial"/>
      <w:szCs w:val="18"/>
    </w:rPr>
  </w:style>
  <w:style w:type="paragraph" w:customStyle="1" w:styleId="CopyrightText">
    <w:name w:val="Copyright Text"/>
    <w:basedOn w:val="BodyText"/>
    <w:rsid w:val="007F66EF"/>
    <w:rPr>
      <w:sz w:val="18"/>
    </w:rPr>
  </w:style>
  <w:style w:type="paragraph" w:customStyle="1" w:styleId="BodySmallRight">
    <w:name w:val="Body Small Right"/>
    <w:basedOn w:val="BodyTextRight"/>
    <w:rsid w:val="007F66EF"/>
    <w:rPr>
      <w:sz w:val="18"/>
      <w:szCs w:val="18"/>
    </w:rPr>
  </w:style>
  <w:style w:type="paragraph" w:customStyle="1" w:styleId="MarginEdition">
    <w:name w:val="Margin Edition"/>
    <w:basedOn w:val="MarginNote"/>
    <w:rsid w:val="007F66EF"/>
    <w:pPr>
      <w:spacing w:before="0" w:after="0"/>
    </w:pPr>
    <w:rPr>
      <w:rFonts w:ascii="Times New Roman" w:hAnsi="Times New Roman"/>
      <w:color w:val="999999"/>
    </w:rPr>
  </w:style>
  <w:style w:type="paragraph" w:customStyle="1" w:styleId="Spacer">
    <w:name w:val="Spacer"/>
    <w:basedOn w:val="Normal"/>
    <w:rsid w:val="007F66EF"/>
    <w:rPr>
      <w:sz w:val="2"/>
      <w:szCs w:val="2"/>
    </w:rPr>
  </w:style>
  <w:style w:type="character" w:customStyle="1" w:styleId="Small">
    <w:name w:val="Small"/>
    <w:basedOn w:val="DefaultParagraphFont"/>
    <w:rsid w:val="007F66EF"/>
    <w:rPr>
      <w:sz w:val="16"/>
    </w:rPr>
  </w:style>
  <w:style w:type="paragraph" w:customStyle="1" w:styleId="WideTable">
    <w:name w:val="Wide Table"/>
    <w:basedOn w:val="Normal"/>
    <w:rsid w:val="007F66EF"/>
    <w:pPr>
      <w:ind w:left="-1418"/>
    </w:pPr>
    <w:rPr>
      <w:sz w:val="2"/>
      <w:szCs w:val="2"/>
    </w:rPr>
  </w:style>
  <w:style w:type="character" w:styleId="PageNumber">
    <w:name w:val="page number"/>
    <w:basedOn w:val="DefaultParagraphFont"/>
    <w:rsid w:val="007F66EF"/>
  </w:style>
  <w:style w:type="paragraph" w:styleId="Quote">
    <w:name w:val="Quote"/>
    <w:basedOn w:val="Heading1"/>
    <w:link w:val="QuoteChar"/>
    <w:qFormat/>
    <w:rsid w:val="007F66EF"/>
    <w:rPr>
      <w:b w:val="0"/>
      <w:sz w:val="72"/>
      <w:szCs w:val="72"/>
      <w:lang w:val="en-NZ"/>
    </w:rPr>
  </w:style>
  <w:style w:type="character" w:customStyle="1" w:styleId="QuoteChar">
    <w:name w:val="Quote Char"/>
    <w:basedOn w:val="DefaultParagraphFont"/>
    <w:link w:val="Quote"/>
    <w:rsid w:val="007F6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6EF"/>
    <w:pPr>
      <w:pageBreakBefore/>
    </w:pPr>
  </w:style>
  <w:style w:type="paragraph" w:customStyle="1" w:styleId="Border">
    <w:name w:val="Border"/>
    <w:basedOn w:val="Normal"/>
    <w:qFormat/>
    <w:rsid w:val="007F6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6EF"/>
    <w:rPr>
      <w:b/>
      <w:bCs/>
      <w:i/>
      <w:iCs/>
      <w:color w:val="auto"/>
    </w:rPr>
  </w:style>
  <w:style w:type="paragraph" w:styleId="IntenseQuote">
    <w:name w:val="Intense Quote"/>
    <w:basedOn w:val="Normal"/>
    <w:next w:val="Normal"/>
    <w:link w:val="IntenseQuoteChar"/>
    <w:uiPriority w:val="30"/>
    <w:qFormat/>
    <w:rsid w:val="007F6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6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6EF"/>
    <w:rPr>
      <w:smallCaps/>
      <w:color w:val="auto"/>
      <w:u w:val="single"/>
    </w:rPr>
  </w:style>
  <w:style w:type="character" w:styleId="IntenseReference">
    <w:name w:val="Intense Reference"/>
    <w:basedOn w:val="DefaultParagraphFont"/>
    <w:uiPriority w:val="32"/>
    <w:qFormat/>
    <w:rsid w:val="007F66EF"/>
    <w:rPr>
      <w:b/>
      <w:bCs/>
      <w:smallCaps/>
      <w:color w:val="auto"/>
      <w:spacing w:val="5"/>
      <w:u w:val="single"/>
    </w:rPr>
  </w:style>
  <w:style w:type="paragraph" w:customStyle="1" w:styleId="2ColumnHeading">
    <w:name w:val="2Column Heading"/>
    <w:basedOn w:val="BodyText"/>
    <w:qFormat/>
    <w:rsid w:val="007F66EF"/>
    <w:pPr>
      <w:spacing w:after="60"/>
      <w:ind w:left="-2268"/>
    </w:pPr>
    <w:rPr>
      <w:b/>
    </w:rPr>
  </w:style>
  <w:style w:type="paragraph" w:customStyle="1" w:styleId="Heading1TOC">
    <w:name w:val="Heading1 TOC"/>
    <w:basedOn w:val="Normal"/>
    <w:qFormat/>
    <w:rsid w:val="007F66EF"/>
    <w:pPr>
      <w:spacing w:before="240" w:after="120"/>
    </w:pPr>
    <w:rPr>
      <w:rFonts w:ascii="Times New Roman" w:hAnsi="Times New Roman"/>
      <w:b/>
      <w:sz w:val="32"/>
    </w:rPr>
  </w:style>
  <w:style w:type="paragraph" w:customStyle="1" w:styleId="Heading2TOC">
    <w:name w:val="Heading2 TOC"/>
    <w:basedOn w:val="Normal"/>
    <w:qFormat/>
    <w:rsid w:val="007F66EF"/>
    <w:pPr>
      <w:spacing w:before="240" w:after="60"/>
    </w:pPr>
    <w:rPr>
      <w:rFonts w:ascii="Times New Roman" w:hAnsi="Times New Roman"/>
      <w:b/>
      <w:sz w:val="28"/>
    </w:rPr>
  </w:style>
  <w:style w:type="character" w:customStyle="1" w:styleId="Underline">
    <w:name w:val="Underline"/>
    <w:basedOn w:val="DefaultParagraphFont"/>
    <w:qFormat/>
    <w:rsid w:val="007F66EF"/>
    <w:rPr>
      <w:u w:val="single"/>
    </w:rPr>
  </w:style>
  <w:style w:type="character" w:customStyle="1" w:styleId="BoldandItalics">
    <w:name w:val="Bold and Italics"/>
    <w:qFormat/>
    <w:rsid w:val="007F66EF"/>
    <w:rPr>
      <w:b/>
      <w:i/>
      <w:u w:val="none"/>
    </w:rPr>
  </w:style>
  <w:style w:type="paragraph" w:styleId="BalloonText">
    <w:name w:val="Balloon Text"/>
    <w:basedOn w:val="Normal"/>
    <w:link w:val="BalloonTextChar"/>
    <w:rsid w:val="007F66EF"/>
    <w:rPr>
      <w:rFonts w:ascii="Tahoma" w:hAnsi="Tahoma" w:cs="Tahoma"/>
      <w:sz w:val="16"/>
      <w:szCs w:val="16"/>
    </w:rPr>
  </w:style>
  <w:style w:type="character" w:customStyle="1" w:styleId="BalloonTextChar">
    <w:name w:val="Balloon Text Char"/>
    <w:basedOn w:val="DefaultParagraphFont"/>
    <w:link w:val="BalloonText"/>
    <w:rsid w:val="007F66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6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6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6758</Characters>
  <Application>Microsoft Office Word</Application>
  <DocSecurity>0</DocSecurity>
  <Lines>251</Lines>
  <Paragraphs>133</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PMC552058B Demould concrete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